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仿宋_GB2312"/>
          <w:color w:val="auto"/>
          <w:sz w:val="32"/>
          <w:szCs w:val="32"/>
        </w:rPr>
      </w:pPr>
    </w:p>
    <w:p>
      <w:pPr>
        <w:rPr>
          <w:rFonts w:hint="eastAsia" w:ascii="宋体" w:hAnsi="宋体"/>
          <w:color w:val="auto"/>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方正仿宋简体" w:cs="仿宋_GB2312"/>
          <w:color w:val="auto"/>
          <w:kern w:val="0"/>
          <w:sz w:val="32"/>
          <w:szCs w:val="32"/>
          <w:lang w:val="en-US" w:eastAsia="zh-CN" w:bidi="ar-SA"/>
        </w:rPr>
      </w:pPr>
      <w:r>
        <w:rPr>
          <w:rFonts w:hint="eastAsia" w:ascii="宋体" w:hAnsi="宋体" w:eastAsia="方正仿宋简体" w:cs="仿宋_GB2312"/>
          <w:color w:val="auto"/>
          <w:kern w:val="0"/>
          <w:sz w:val="32"/>
          <w:szCs w:val="32"/>
          <w:lang w:val="en-US" w:eastAsia="zh-CN" w:bidi="ar-SA"/>
        </w:rPr>
        <w:t>伊州环函</w:t>
      </w:r>
      <w:r>
        <w:rPr>
          <w:rFonts w:hint="eastAsia" w:ascii="宋体" w:hAnsi="宋体" w:eastAsia="方正仿宋简体" w:cs="黑体"/>
          <w:color w:val="auto"/>
          <w:kern w:val="0"/>
          <w:sz w:val="32"/>
          <w:szCs w:val="32"/>
          <w:lang w:val="en-US" w:eastAsia="zh-CN" w:bidi="ar-SA"/>
        </w:rPr>
        <w:t>〔</w:t>
      </w:r>
      <w:r>
        <w:rPr>
          <w:rFonts w:hint="eastAsia" w:ascii="宋体" w:hAnsi="宋体" w:eastAsia="方正仿宋简体" w:cs="仿宋_GB2312"/>
          <w:color w:val="auto"/>
          <w:kern w:val="0"/>
          <w:sz w:val="32"/>
          <w:szCs w:val="32"/>
          <w:lang w:val="en-US" w:eastAsia="zh-CN" w:bidi="ar-SA"/>
        </w:rPr>
        <w:t>2024〕40号</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方正仿宋简体"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方正小标宋简体" w:cs="方正小标宋简体"/>
          <w:b w:val="0"/>
          <w:bCs/>
          <w:color w:val="auto"/>
          <w:sz w:val="44"/>
          <w:szCs w:val="44"/>
        </w:rPr>
      </w:pPr>
      <w:r>
        <w:rPr>
          <w:rFonts w:hint="eastAsia" w:ascii="宋体" w:hAnsi="宋体" w:eastAsia="方正小标宋简体" w:cs="方正小标宋简体"/>
          <w:b w:val="0"/>
          <w:bCs/>
          <w:color w:val="auto"/>
          <w:sz w:val="44"/>
          <w:szCs w:val="44"/>
        </w:rPr>
        <w:t>关于新疆疆珏盛农业发展有限公司制种玉米</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cs="Times New Roman"/>
          <w:b w:val="0"/>
          <w:bCs/>
          <w:color w:val="auto"/>
          <w:sz w:val="36"/>
          <w:szCs w:val="36"/>
        </w:rPr>
      </w:pPr>
      <w:r>
        <w:rPr>
          <w:rFonts w:hint="eastAsia" w:ascii="宋体" w:hAnsi="宋体" w:eastAsia="方正小标宋简体" w:cs="方正小标宋简体"/>
          <w:b w:val="0"/>
          <w:bCs/>
          <w:color w:val="auto"/>
          <w:sz w:val="44"/>
          <w:szCs w:val="44"/>
        </w:rPr>
        <w:t>生产线建设项目环境影响报告</w:t>
      </w:r>
      <w:r>
        <w:rPr>
          <w:rFonts w:hint="eastAsia" w:ascii="宋体" w:hAnsi="宋体" w:eastAsia="方正小标宋简体" w:cs="方正小标宋简体"/>
          <w:b w:val="0"/>
          <w:bCs/>
          <w:color w:val="auto"/>
          <w:sz w:val="44"/>
          <w:szCs w:val="44"/>
          <w:lang w:eastAsia="zh-CN"/>
        </w:rPr>
        <w:t>表</w:t>
      </w:r>
      <w:r>
        <w:rPr>
          <w:rFonts w:hint="eastAsia" w:ascii="宋体" w:hAnsi="宋体" w:eastAsia="方正小标宋简体" w:cs="方正小标宋简体"/>
          <w:b w:val="0"/>
          <w:bCs/>
          <w:color w:val="auto"/>
          <w:sz w:val="44"/>
          <w:szCs w:val="44"/>
        </w:rPr>
        <w:t>的批复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简体" w:cs="方正仿宋简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新疆疆珏盛农业发展有限公司: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你公司报批的《</w:t>
      </w:r>
      <w:r>
        <w:rPr>
          <w:rFonts w:hint="eastAsia" w:ascii="宋体" w:hAnsi="宋体" w:eastAsia="方正仿宋简体" w:cs="方正仿宋简体"/>
          <w:b w:val="0"/>
          <w:bCs w:val="0"/>
          <w:sz w:val="32"/>
          <w:szCs w:val="32"/>
          <w:lang w:val="en-US" w:eastAsia="zh-CN"/>
        </w:rPr>
        <w:t>新疆疆珏盛农业发展有限公司制种玉米生产线建设项目环境影响报告表</w:t>
      </w:r>
      <w:r>
        <w:rPr>
          <w:rFonts w:hint="eastAsia" w:ascii="宋体" w:hAnsi="宋体" w:eastAsia="方正仿宋简体" w:cs="方正仿宋简体"/>
          <w:color w:val="auto"/>
          <w:sz w:val="32"/>
          <w:szCs w:val="32"/>
          <w:lang w:val="en-US" w:eastAsia="zh-CN"/>
        </w:rPr>
        <w:t>报批的请示》及相关附件均收悉，经研究，批复如下:</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firstLine="640"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color w:val="auto"/>
          <w:sz w:val="32"/>
          <w:szCs w:val="32"/>
          <w:lang w:val="en-US" w:eastAsia="zh-CN"/>
        </w:rPr>
        <w:t>一、本项目位于</w:t>
      </w:r>
      <w:r>
        <w:rPr>
          <w:rFonts w:hint="eastAsia" w:ascii="宋体" w:hAnsi="宋体" w:eastAsia="方正仿宋简体" w:cs="方正仿宋简体"/>
          <w:spacing w:val="-6"/>
          <w:sz w:val="32"/>
          <w:szCs w:val="32"/>
          <w:lang w:val="en-US" w:eastAsia="zh-CN"/>
        </w:rPr>
        <w:t>霍城县三道河乡沙门子村新材料产业园</w:t>
      </w:r>
      <w:r>
        <w:rPr>
          <w:rFonts w:hint="eastAsia" w:ascii="宋体" w:hAnsi="宋体" w:eastAsia="方正仿宋简体" w:cs="方正仿宋简体"/>
          <w:spacing w:val="-6"/>
          <w:sz w:val="32"/>
          <w:szCs w:val="32"/>
          <w:lang w:eastAsia="zh-CN"/>
        </w:rPr>
        <w:t>，</w:t>
      </w:r>
      <w:r>
        <w:rPr>
          <w:rFonts w:hint="eastAsia" w:ascii="宋体" w:hAnsi="宋体" w:eastAsia="方正仿宋简体" w:cs="方正仿宋简体"/>
          <w:color w:val="000000"/>
          <w:kern w:val="0"/>
          <w:sz w:val="32"/>
          <w:szCs w:val="32"/>
          <w:lang w:eastAsia="zh-CN"/>
        </w:rPr>
        <w:t>项目中心地理坐标</w:t>
      </w:r>
      <w:r>
        <w:rPr>
          <w:rFonts w:hint="eastAsia" w:ascii="宋体" w:hAnsi="宋体" w:eastAsia="方正仿宋简体" w:cs="方正仿宋简体"/>
          <w:spacing w:val="-6"/>
          <w:sz w:val="32"/>
          <w:szCs w:val="32"/>
        </w:rPr>
        <w:t>：</w:t>
      </w:r>
      <w:r>
        <w:rPr>
          <w:rFonts w:hint="eastAsia" w:ascii="宋体" w:hAnsi="宋体" w:eastAsia="方正仿宋简体" w:cs="方正仿宋简体"/>
          <w:spacing w:val="-6"/>
          <w:sz w:val="32"/>
          <w:szCs w:val="32"/>
          <w:lang w:eastAsia="zh-CN"/>
        </w:rPr>
        <w:t>东经</w:t>
      </w:r>
      <w:r>
        <w:rPr>
          <w:rFonts w:hint="eastAsia" w:ascii="宋体" w:hAnsi="宋体" w:eastAsia="方正仿宋简体" w:cs="方正仿宋简体"/>
          <w:spacing w:val="-6"/>
          <w:sz w:val="32"/>
          <w:szCs w:val="32"/>
          <w:lang w:val="en-US" w:eastAsia="zh-CN"/>
        </w:rPr>
        <w:t>80°44′51.058″，北纬44°2′1.714″</w:t>
      </w:r>
      <w:r>
        <w:rPr>
          <w:rFonts w:hint="eastAsia" w:ascii="宋体" w:hAnsi="宋体" w:eastAsia="方正仿宋简体" w:cs="方正仿宋简体"/>
          <w:spacing w:val="-6"/>
          <w:sz w:val="32"/>
          <w:szCs w:val="32"/>
        </w:rPr>
        <w:t>。</w:t>
      </w:r>
      <w:r>
        <w:rPr>
          <w:rFonts w:hint="eastAsia" w:ascii="宋体" w:hAnsi="宋体" w:eastAsia="方正仿宋简体" w:cs="方正仿宋简体"/>
          <w:color w:val="auto"/>
          <w:sz w:val="32"/>
          <w:szCs w:val="32"/>
          <w:lang w:val="en-US" w:eastAsia="zh-CN"/>
        </w:rPr>
        <w:t>主要建设内容包括（1）主体工程：新建2条年产15000t/a制种玉米烘干生产线，项目分两期进行建设；（2）辅助工程：新建800m</w:t>
      </w:r>
      <w:r>
        <w:rPr>
          <w:rFonts w:hint="eastAsia" w:ascii="宋体" w:hAnsi="宋体" w:eastAsia="方正仿宋简体" w:cs="方正仿宋简体"/>
          <w:color w:val="auto"/>
          <w:sz w:val="32"/>
          <w:szCs w:val="32"/>
          <w:vertAlign w:val="superscript"/>
          <w:lang w:val="en-US" w:eastAsia="zh-CN"/>
        </w:rPr>
        <w:t>2</w:t>
      </w:r>
      <w:r>
        <w:rPr>
          <w:rFonts w:hint="eastAsia" w:ascii="宋体" w:hAnsi="宋体" w:eastAsia="方正仿宋简体" w:cs="方正仿宋简体"/>
          <w:color w:val="auto"/>
          <w:sz w:val="32"/>
          <w:szCs w:val="32"/>
          <w:lang w:val="en-US" w:eastAsia="zh-CN"/>
        </w:rPr>
        <w:t>锅炉房一座，内设2台10t/h生物质热风炉、灰渣间、燃料间，办公楼1栋；（3）储运工程：新建4座库房，均用于玉米棒包装及储存，库房4#内设置脱粒工作塔2台；公用工程包括供水、排水、供电工程；环保工程包括废气、废水、噪声、固废等治理设施及绿化工程。</w:t>
      </w:r>
      <w:r>
        <w:rPr>
          <w:rFonts w:hint="eastAsia" w:ascii="宋体" w:hAnsi="宋体" w:eastAsia="方正仿宋简体" w:cs="方正仿宋简体"/>
          <w:color w:val="000000"/>
          <w:kern w:val="0"/>
          <w:sz w:val="32"/>
          <w:szCs w:val="32"/>
        </w:rPr>
        <w:t>本项目为新建项目，</w:t>
      </w:r>
      <w:r>
        <w:rPr>
          <w:rFonts w:hint="eastAsia" w:ascii="宋体" w:hAnsi="宋体" w:eastAsia="方正仿宋简体" w:cs="方正仿宋简体"/>
          <w:sz w:val="32"/>
          <w:szCs w:val="32"/>
        </w:rPr>
        <w:t>总占地面积</w:t>
      </w:r>
      <w:r>
        <w:rPr>
          <w:rFonts w:hint="eastAsia" w:ascii="宋体" w:hAnsi="宋体" w:eastAsia="方正仿宋简体" w:cs="方正仿宋简体"/>
          <w:spacing w:val="-6"/>
          <w:sz w:val="32"/>
          <w:szCs w:val="32"/>
          <w:lang w:val="en-US" w:eastAsia="zh-CN"/>
        </w:rPr>
        <w:t>16147.09</w:t>
      </w:r>
      <w:r>
        <w:rPr>
          <w:rFonts w:hint="eastAsia" w:ascii="宋体" w:hAnsi="宋体" w:eastAsia="方正仿宋简体" w:cs="方正仿宋简体"/>
          <w:sz w:val="32"/>
          <w:szCs w:val="32"/>
          <w:lang w:val="en-US" w:eastAsia="zh-CN"/>
        </w:rPr>
        <w:t>m</w:t>
      </w:r>
      <w:r>
        <w:rPr>
          <w:rFonts w:hint="eastAsia" w:ascii="宋体" w:hAnsi="宋体" w:eastAsia="方正仿宋简体" w:cs="方正仿宋简体"/>
          <w:sz w:val="32"/>
          <w:szCs w:val="32"/>
          <w:vertAlign w:val="superscript"/>
          <w:lang w:val="en-US" w:eastAsia="zh-CN"/>
        </w:rPr>
        <w:t>2</w:t>
      </w:r>
      <w:r>
        <w:rPr>
          <w:rFonts w:hint="eastAsia" w:ascii="宋体" w:hAnsi="宋体" w:eastAsia="方正仿宋简体" w:cs="方正仿宋简体"/>
          <w:spacing w:val="-6"/>
          <w:sz w:val="32"/>
          <w:szCs w:val="32"/>
        </w:rPr>
        <w:t>。</w:t>
      </w:r>
      <w:r>
        <w:rPr>
          <w:rFonts w:hint="eastAsia" w:ascii="宋体" w:hAnsi="宋体" w:eastAsia="方正仿宋简体" w:cs="方正仿宋简体"/>
          <w:b w:val="0"/>
          <w:bCs w:val="0"/>
          <w:color w:val="auto"/>
          <w:spacing w:val="-6"/>
          <w:kern w:val="0"/>
          <w:sz w:val="32"/>
          <w:szCs w:val="32"/>
          <w:lang w:val="en-US" w:eastAsia="zh-CN" w:bidi="ar"/>
        </w:rPr>
        <w:t>项目总投资3000万元，其中环保投资74万元，占总投资的2.47%。</w:t>
      </w:r>
    </w:p>
    <w:p>
      <w:pPr>
        <w:pStyle w:val="15"/>
        <w:keepNext w:val="0"/>
        <w:keepLines w:val="0"/>
        <w:pageBreakBefore w:val="0"/>
        <w:widowControl w:val="0"/>
        <w:kinsoku/>
        <w:wordWrap/>
        <w:overflowPunct/>
        <w:topLinePunct w:val="0"/>
        <w:autoSpaceDE w:val="0"/>
        <w:autoSpaceDN/>
        <w:bidi w:val="0"/>
        <w:spacing w:line="560" w:lineRule="exact"/>
        <w:ind w:firstLine="640"/>
        <w:jc w:val="both"/>
        <w:textAlignment w:val="auto"/>
        <w:rPr>
          <w:rFonts w:hint="eastAsia" w:ascii="宋体" w:hAnsi="宋体" w:eastAsia="方正仿宋简体" w:cs="方正仿宋简体"/>
          <w:color w:val="auto"/>
          <w:kern w:val="32"/>
          <w:sz w:val="32"/>
          <w:szCs w:val="32"/>
        </w:rPr>
      </w:pPr>
      <w:r>
        <w:rPr>
          <w:rFonts w:hint="eastAsia" w:ascii="宋体" w:hAnsi="宋体" w:eastAsia="方正仿宋简体" w:cs="方正仿宋简体"/>
          <w:color w:val="auto"/>
          <w:kern w:val="32"/>
          <w:sz w:val="32"/>
          <w:szCs w:val="32"/>
        </w:rPr>
        <w:t>二、根</w:t>
      </w:r>
      <w:r>
        <w:rPr>
          <w:rFonts w:hint="eastAsia" w:ascii="宋体" w:hAnsi="宋体" w:eastAsia="方正仿宋简体" w:cs="方正仿宋简体"/>
          <w:color w:val="auto"/>
          <w:sz w:val="32"/>
          <w:szCs w:val="32"/>
          <w:lang w:val="en-US" w:eastAsia="zh-CN"/>
        </w:rPr>
        <w:t>据湖南昊烁环境评估有限公司编制的《</w:t>
      </w:r>
      <w:r>
        <w:rPr>
          <w:rFonts w:hint="eastAsia" w:ascii="宋体" w:hAnsi="宋体" w:eastAsia="方正仿宋简体" w:cs="方正仿宋简体"/>
          <w:b w:val="0"/>
          <w:bCs w:val="0"/>
          <w:sz w:val="32"/>
          <w:szCs w:val="32"/>
          <w:lang w:val="en-US" w:eastAsia="zh-CN"/>
        </w:rPr>
        <w:t>新疆疆珏盛农业发展有限公司制种玉米生产线建设项目环境影响报告表</w:t>
      </w:r>
      <w:r>
        <w:rPr>
          <w:rFonts w:hint="eastAsia" w:ascii="宋体" w:hAnsi="宋体" w:eastAsia="方正仿宋简体" w:cs="方正仿宋简体"/>
          <w:color w:val="auto"/>
          <w:sz w:val="32"/>
          <w:szCs w:val="32"/>
          <w:lang w:val="en-US" w:eastAsia="zh-CN"/>
        </w:rPr>
        <w:t>》（以下简称《</w:t>
      </w:r>
      <w:r>
        <w:rPr>
          <w:rFonts w:hint="eastAsia" w:ascii="宋体" w:hAnsi="宋体" w:eastAsia="方正仿宋简体" w:cs="方正仿宋简体"/>
          <w:color w:val="auto"/>
          <w:kern w:val="32"/>
          <w:sz w:val="32"/>
          <w:szCs w:val="32"/>
        </w:rPr>
        <w:t>报告</w:t>
      </w:r>
      <w:r>
        <w:rPr>
          <w:rFonts w:hint="eastAsia" w:ascii="宋体" w:hAnsi="宋体" w:eastAsia="方正仿宋简体" w:cs="方正仿宋简体"/>
          <w:color w:val="auto"/>
          <w:kern w:val="32"/>
          <w:sz w:val="32"/>
          <w:szCs w:val="32"/>
          <w:lang w:eastAsia="zh-CN"/>
        </w:rPr>
        <w:t>表</w:t>
      </w:r>
      <w:r>
        <w:rPr>
          <w:rFonts w:hint="eastAsia" w:ascii="宋体" w:hAnsi="宋体" w:eastAsia="方正仿宋简体" w:cs="方正仿宋简体"/>
          <w:color w:val="auto"/>
          <w:kern w:val="32"/>
          <w:sz w:val="32"/>
          <w:szCs w:val="32"/>
        </w:rPr>
        <w:t>》）的评价结论</w:t>
      </w:r>
      <w:r>
        <w:rPr>
          <w:rFonts w:hint="eastAsia" w:ascii="宋体" w:hAnsi="宋体" w:eastAsia="方正仿宋简体" w:cs="方正仿宋简体"/>
          <w:color w:val="auto"/>
          <w:kern w:val="32"/>
          <w:sz w:val="32"/>
          <w:szCs w:val="32"/>
          <w:lang w:eastAsia="zh-CN"/>
        </w:rPr>
        <w:t>和</w:t>
      </w:r>
      <w:r>
        <w:rPr>
          <w:rFonts w:hint="eastAsia" w:ascii="宋体" w:hAnsi="宋体" w:eastAsia="方正仿宋简体" w:cs="方正仿宋简体"/>
          <w:color w:val="auto"/>
          <w:sz w:val="32"/>
          <w:szCs w:val="32"/>
          <w:lang w:val="en-US" w:eastAsia="zh-CN"/>
        </w:rPr>
        <w:t>专家技术审查</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kern w:val="32"/>
          <w:sz w:val="32"/>
          <w:szCs w:val="32"/>
        </w:rPr>
        <w:t>在严格落实《报告</w:t>
      </w:r>
      <w:r>
        <w:rPr>
          <w:rFonts w:hint="eastAsia" w:ascii="宋体" w:hAnsi="宋体" w:eastAsia="方正仿宋简体" w:cs="方正仿宋简体"/>
          <w:color w:val="auto"/>
          <w:kern w:val="32"/>
          <w:sz w:val="32"/>
          <w:szCs w:val="32"/>
          <w:lang w:eastAsia="zh-CN"/>
        </w:rPr>
        <w:t>表</w:t>
      </w:r>
      <w:r>
        <w:rPr>
          <w:rFonts w:hint="eastAsia" w:ascii="宋体" w:hAnsi="宋体" w:eastAsia="方正仿宋简体" w:cs="方正仿宋简体"/>
          <w:color w:val="auto"/>
          <w:kern w:val="32"/>
          <w:sz w:val="32"/>
          <w:szCs w:val="32"/>
        </w:rPr>
        <w:t>》提出的各项环境保护措施后，各项污染物可达标排放。从环境保护角度考虑，我</w:t>
      </w:r>
      <w:r>
        <w:rPr>
          <w:rFonts w:hint="eastAsia" w:ascii="宋体" w:hAnsi="宋体" w:eastAsia="方正仿宋简体" w:cs="方正仿宋简体"/>
          <w:color w:val="auto"/>
          <w:kern w:val="32"/>
          <w:sz w:val="32"/>
          <w:szCs w:val="32"/>
          <w:lang w:val="en-US" w:eastAsia="zh-CN"/>
        </w:rPr>
        <w:t>局</w:t>
      </w:r>
      <w:r>
        <w:rPr>
          <w:rFonts w:hint="eastAsia" w:ascii="宋体" w:hAnsi="宋体" w:eastAsia="方正仿宋简体" w:cs="方正仿宋简体"/>
          <w:color w:val="auto"/>
          <w:kern w:val="32"/>
          <w:sz w:val="32"/>
          <w:szCs w:val="32"/>
        </w:rPr>
        <w:t>同意你公司按照《报告</w:t>
      </w:r>
      <w:r>
        <w:rPr>
          <w:rFonts w:hint="eastAsia" w:ascii="宋体" w:hAnsi="宋体" w:eastAsia="方正仿宋简体" w:cs="方正仿宋简体"/>
          <w:color w:val="auto"/>
          <w:kern w:val="32"/>
          <w:sz w:val="32"/>
          <w:szCs w:val="32"/>
          <w:lang w:eastAsia="zh-CN"/>
        </w:rPr>
        <w:t>表</w:t>
      </w:r>
      <w:r>
        <w:rPr>
          <w:rFonts w:hint="eastAsia" w:ascii="宋体" w:hAnsi="宋体" w:eastAsia="方正仿宋简体" w:cs="方正仿宋简体"/>
          <w:color w:val="auto"/>
          <w:kern w:val="32"/>
          <w:sz w:val="32"/>
          <w:szCs w:val="32"/>
        </w:rPr>
        <w:t>》中所列建设项目的性质、规模、工艺、地点和拟采取的各项环境保护对策措施进行建设。</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三</w:t>
      </w:r>
      <w:r>
        <w:rPr>
          <w:rFonts w:hint="eastAsia" w:ascii="宋体" w:hAnsi="宋体" w:eastAsia="方正仿宋简体" w:cs="方正仿宋简体"/>
          <w:color w:val="auto"/>
          <w:sz w:val="32"/>
          <w:szCs w:val="32"/>
        </w:rPr>
        <w:t>、在项目环境管理中要认真落实《报告</w:t>
      </w:r>
      <w:r>
        <w:rPr>
          <w:rFonts w:hint="eastAsia" w:ascii="宋体" w:hAnsi="宋体" w:eastAsia="方正仿宋简体" w:cs="方正仿宋简体"/>
          <w:color w:val="auto"/>
          <w:sz w:val="32"/>
          <w:szCs w:val="32"/>
          <w:lang w:eastAsia="zh-CN"/>
        </w:rPr>
        <w:t>表</w:t>
      </w:r>
      <w:r>
        <w:rPr>
          <w:rFonts w:hint="eastAsia" w:ascii="宋体" w:hAnsi="宋体" w:eastAsia="方正仿宋简体" w:cs="方正仿宋简体"/>
          <w:color w:val="auto"/>
          <w:sz w:val="32"/>
          <w:szCs w:val="32"/>
        </w:rPr>
        <w:t>》提出的各项环保要求，严格执行环保“三同时”制度，确保各类污染物稳定达标排放，并达到以下要求：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（一）</w:t>
      </w:r>
      <w:r>
        <w:rPr>
          <w:rFonts w:hint="eastAsia" w:ascii="宋体" w:hAnsi="宋体" w:eastAsia="方正仿宋简体" w:cs="方正仿宋简体"/>
          <w:b w:val="0"/>
          <w:bCs w:val="0"/>
          <w:color w:val="auto"/>
          <w:kern w:val="0"/>
          <w:sz w:val="32"/>
          <w:szCs w:val="32"/>
          <w:lang w:val="en-US" w:eastAsia="zh-CN" w:bidi="ar"/>
        </w:rPr>
        <w:t>严格落实施工期各项环保措施。加强施工期环境保护管理工作，防止施工期扬尘、废水、固体废物和噪声对周围环境产生不利影响，严格控制施工占地，施工结束后及时进行迹地恢复。</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方正仿宋简体" w:cs="方正仿宋简体"/>
          <w:b w:val="0"/>
          <w:bCs w:val="0"/>
          <w:kern w:val="0"/>
          <w:sz w:val="32"/>
          <w:szCs w:val="32"/>
          <w:lang w:val="en-US" w:eastAsia="zh-CN" w:bidi="ar"/>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二</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严格落实各项大气污染防治措施。运营期</w:t>
      </w:r>
      <w:r>
        <w:rPr>
          <w:rFonts w:hint="eastAsia" w:ascii="宋体" w:hAnsi="宋体" w:eastAsia="方正仿宋简体" w:cs="方正仿宋简体"/>
          <w:b w:val="0"/>
          <w:bCs w:val="0"/>
          <w:kern w:val="0"/>
          <w:sz w:val="32"/>
          <w:szCs w:val="32"/>
          <w:lang w:val="en-US" w:eastAsia="zh-CN" w:bidi="ar"/>
        </w:rPr>
        <w:t>脱粒清选粉尘采用集气罩收集+袋式除尘器处理后经15m高排气筒排放；籽粒筛选粉尘采用集气罩收集+袋式除尘器处理后经15m高排气筒排放；一期生物质热风炉废气采用低氮燃烧技术+SNCR组合脱硝+旋风除尘和袋式除尘+15m高排气筒排放；二期生物质热风炉废气采用低氮燃烧技术+SNCR组合脱硝+旋风除尘和袋式除尘+15m高排气筒排放。生物质热风炉污染物排放浓度需满足《锅炉大气污染物排放标准》（GB13271-2014）表2浓度限值（</w:t>
      </w:r>
      <w:r>
        <w:rPr>
          <w:rFonts w:hint="eastAsia" w:ascii="宋体" w:hAnsi="宋体" w:eastAsia="方正仿宋简体" w:cs="方正仿宋简体"/>
          <w:color w:val="auto"/>
          <w:sz w:val="32"/>
          <w:szCs w:val="32"/>
        </w:rPr>
        <w:t>颗粒物：20mg/m</w:t>
      </w:r>
      <w:r>
        <w:rPr>
          <w:rFonts w:hint="eastAsia" w:ascii="宋体" w:hAnsi="宋体" w:eastAsia="方正仿宋简体" w:cs="方正仿宋简体"/>
          <w:color w:val="auto"/>
          <w:sz w:val="32"/>
          <w:szCs w:val="32"/>
          <w:vertAlign w:val="superscript"/>
        </w:rPr>
        <w:t>3</w:t>
      </w:r>
      <w:r>
        <w:rPr>
          <w:rFonts w:hint="eastAsia" w:ascii="宋体" w:hAnsi="宋体" w:eastAsia="方正仿宋简体" w:cs="方正仿宋简体"/>
          <w:color w:val="auto"/>
          <w:sz w:val="32"/>
          <w:szCs w:val="32"/>
        </w:rPr>
        <w:t>，二氧化硫：50mg/m</w:t>
      </w:r>
      <w:r>
        <w:rPr>
          <w:rFonts w:hint="eastAsia" w:ascii="宋体" w:hAnsi="宋体" w:eastAsia="方正仿宋简体" w:cs="方正仿宋简体"/>
          <w:color w:val="auto"/>
          <w:sz w:val="32"/>
          <w:szCs w:val="32"/>
          <w:vertAlign w:val="superscript"/>
        </w:rPr>
        <w:t>3</w:t>
      </w:r>
      <w:r>
        <w:rPr>
          <w:rFonts w:hint="eastAsia" w:ascii="宋体" w:hAnsi="宋体" w:eastAsia="方正仿宋简体" w:cs="方正仿宋简体"/>
          <w:b w:val="0"/>
          <w:bCs w:val="0"/>
          <w:kern w:val="0"/>
          <w:sz w:val="32"/>
          <w:szCs w:val="32"/>
          <w:lang w:val="en-US" w:eastAsia="zh-CN" w:bidi="ar"/>
        </w:rPr>
        <w:t>），NO</w:t>
      </w:r>
      <w:r>
        <w:rPr>
          <w:rFonts w:hint="eastAsia" w:ascii="宋体" w:hAnsi="宋体" w:eastAsia="方正仿宋简体" w:cs="方正仿宋简体"/>
          <w:b w:val="0"/>
          <w:bCs w:val="0"/>
          <w:kern w:val="0"/>
          <w:sz w:val="32"/>
          <w:szCs w:val="32"/>
          <w:vertAlign w:val="subscript"/>
          <w:lang w:val="en-US" w:eastAsia="zh-CN" w:bidi="ar"/>
        </w:rPr>
        <w:t>X</w:t>
      </w:r>
      <w:r>
        <w:rPr>
          <w:rFonts w:hint="eastAsia" w:ascii="宋体" w:hAnsi="宋体" w:eastAsia="方正仿宋简体" w:cs="方正仿宋简体"/>
          <w:b w:val="0"/>
          <w:bCs w:val="0"/>
          <w:kern w:val="0"/>
          <w:sz w:val="32"/>
          <w:szCs w:val="32"/>
          <w:lang w:val="en-US" w:eastAsia="zh-CN" w:bidi="ar"/>
        </w:rPr>
        <w:t>需满足《关于开展自治区2022年度夏秋季大气污染防治“冬病夏治”工作的通知》（NOx排放浓度不高于50mg/m</w:t>
      </w:r>
      <w:r>
        <w:rPr>
          <w:rFonts w:hint="eastAsia" w:ascii="宋体" w:hAnsi="宋体" w:eastAsia="方正仿宋简体" w:cs="方正仿宋简体"/>
          <w:b w:val="0"/>
          <w:bCs w:val="0"/>
          <w:kern w:val="0"/>
          <w:sz w:val="32"/>
          <w:szCs w:val="32"/>
          <w:vertAlign w:val="superscript"/>
          <w:lang w:val="en-US" w:eastAsia="zh-CN" w:bidi="ar"/>
        </w:rPr>
        <w:t>3</w:t>
      </w:r>
      <w:r>
        <w:rPr>
          <w:rFonts w:hint="eastAsia" w:ascii="宋体" w:hAnsi="宋体" w:eastAsia="方正仿宋简体" w:cs="方正仿宋简体"/>
          <w:b w:val="0"/>
          <w:bCs w:val="0"/>
          <w:kern w:val="0"/>
          <w:sz w:val="32"/>
          <w:szCs w:val="32"/>
          <w:lang w:val="en-US" w:eastAsia="zh-CN" w:bidi="ar"/>
        </w:rPr>
        <w:t>）；脱粒清选粉尘、籽粒筛选粉尘需满足《大气污染物综合排放标准》（GB16297-1996）表2浓度限值；厂界无组织颗粒物需满足</w:t>
      </w:r>
      <w:r>
        <w:rPr>
          <w:rFonts w:hint="eastAsia" w:ascii="宋体" w:hAnsi="宋体" w:eastAsia="方正仿宋简体" w:cs="方正仿宋简体"/>
          <w:color w:val="auto"/>
          <w:sz w:val="32"/>
          <w:szCs w:val="32"/>
        </w:rPr>
        <w:t>《大气污染物综合排放标准》（GB16297-1996）表2二级标准要求</w:t>
      </w:r>
      <w:r>
        <w:rPr>
          <w:rFonts w:hint="eastAsia" w:ascii="宋体" w:hAnsi="宋体" w:eastAsia="方正仿宋简体" w:cs="方正仿宋简体"/>
          <w:color w:val="auto"/>
          <w:sz w:val="32"/>
          <w:szCs w:val="32"/>
          <w:lang w:eastAsia="zh-CN"/>
        </w:rPr>
        <w:t>（颗粒物：</w:t>
      </w:r>
      <w:r>
        <w:rPr>
          <w:rFonts w:hint="eastAsia" w:ascii="宋体" w:hAnsi="宋体" w:eastAsia="方正仿宋简体" w:cs="方正仿宋简体"/>
          <w:color w:val="auto"/>
          <w:sz w:val="32"/>
          <w:szCs w:val="32"/>
          <w:lang w:val="en-US" w:eastAsia="zh-CN"/>
        </w:rPr>
        <w:t>1.0</w:t>
      </w:r>
      <w:r>
        <w:rPr>
          <w:rFonts w:hint="eastAsia" w:ascii="宋体" w:hAnsi="宋体" w:eastAsia="方正仿宋简体" w:cs="方正仿宋简体"/>
          <w:color w:val="auto"/>
          <w:sz w:val="32"/>
          <w:szCs w:val="32"/>
        </w:rPr>
        <w:t>mg/m</w:t>
      </w:r>
      <w:r>
        <w:rPr>
          <w:rFonts w:hint="eastAsia" w:ascii="宋体" w:hAnsi="宋体" w:eastAsia="方正仿宋简体" w:cs="方正仿宋简体"/>
          <w:color w:val="auto"/>
          <w:sz w:val="32"/>
          <w:szCs w:val="32"/>
          <w:vertAlign w:val="superscript"/>
        </w:rPr>
        <w:t>3</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b w:val="0"/>
          <w:bCs w:val="0"/>
          <w:kern w:val="0"/>
          <w:sz w:val="32"/>
          <w:szCs w:val="32"/>
          <w:lang w:val="en-US" w:eastAsia="zh-CN" w:bidi="ar"/>
        </w:rPr>
        <w:t>。</w:t>
      </w: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宋体" w:hAnsi="宋体" w:eastAsia="方正仿宋简体" w:cs="方正仿宋简体"/>
          <w:color w:val="auto"/>
          <w:kern w:val="2"/>
          <w:sz w:val="32"/>
          <w:szCs w:val="32"/>
          <w:lang w:val="en-US" w:eastAsia="zh-CN" w:bidi="ar-SA"/>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三</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严格落实各项废水治理措施。</w:t>
      </w:r>
      <w:r>
        <w:rPr>
          <w:rFonts w:hint="eastAsia" w:ascii="宋体" w:hAnsi="宋体" w:eastAsia="方正仿宋简体" w:cs="方正仿宋简体"/>
          <w:color w:val="auto"/>
          <w:kern w:val="2"/>
          <w:sz w:val="32"/>
          <w:szCs w:val="32"/>
          <w:lang w:val="en-US" w:eastAsia="zh-CN" w:bidi="ar-SA"/>
        </w:rPr>
        <w:t>项目生活污水排入园区污水管网，进入霍城县污水处理厂集中处理，项目排水水质符合《污水综合排放标准》（GB8978-1996）三级标准，同时满足污水处理厂进水水质要求。</w:t>
      </w:r>
    </w:p>
    <w:p>
      <w:pPr>
        <w:pStyle w:val="16"/>
        <w:keepNext w:val="0"/>
        <w:keepLines w:val="0"/>
        <w:pageBreakBefore w:val="0"/>
        <w:kinsoku/>
        <w:wordWrap/>
        <w:overflowPunct/>
        <w:topLinePunct w:val="0"/>
        <w:autoSpaceDE/>
        <w:autoSpaceDN/>
        <w:bidi w:val="0"/>
        <w:adjustRightInd/>
        <w:snapToGrid w:val="0"/>
        <w:spacing w:line="560" w:lineRule="exact"/>
        <w:ind w:left="0" w:leftChars="0" w:firstLine="48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四</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严格落实固体废物治理措施。</w:t>
      </w:r>
      <w:r>
        <w:rPr>
          <w:rFonts w:hint="eastAsia" w:ascii="宋体" w:hAnsi="宋体" w:eastAsia="方正仿宋简体" w:cs="方正仿宋简体"/>
          <w:b w:val="0"/>
          <w:bCs w:val="0"/>
          <w:color w:val="auto"/>
          <w:kern w:val="0"/>
          <w:sz w:val="32"/>
          <w:szCs w:val="32"/>
          <w:lang w:val="en-US" w:eastAsia="zh-CN" w:bidi="ar"/>
        </w:rPr>
        <w:t>项目清选杂质收集后外售当地农户；灰渣收集后暂存至灰渣间，外售给农户做肥料还田；除尘器收集粉尘收集后外售肥料厂；生活垃圾收集后定期交由当地环卫部门统一处理；废机油为危险废物，暂存于危废暂存间，定期交由有资质单位进行处置。一般固废按照</w:t>
      </w:r>
      <w:r>
        <w:rPr>
          <w:rFonts w:hint="eastAsia" w:ascii="宋体" w:hAnsi="宋体" w:eastAsia="方正仿宋简体" w:cs="方正仿宋简体"/>
          <w:color w:val="auto"/>
          <w:sz w:val="32"/>
          <w:szCs w:val="32"/>
          <w:lang w:bidi="ar-SA"/>
        </w:rPr>
        <w:t>《一般工业固体废物贮存和填埋污染控制标准》（GB18599-2020）</w:t>
      </w:r>
      <w:r>
        <w:rPr>
          <w:rFonts w:hint="eastAsia" w:ascii="宋体" w:hAnsi="宋体" w:eastAsia="方正仿宋简体" w:cs="方正仿宋简体"/>
          <w:color w:val="auto"/>
          <w:sz w:val="32"/>
          <w:szCs w:val="32"/>
          <w:lang w:eastAsia="zh-CN" w:bidi="ar-SA"/>
        </w:rPr>
        <w:t>进行</w:t>
      </w:r>
      <w:r>
        <w:rPr>
          <w:rFonts w:hint="eastAsia" w:ascii="宋体" w:hAnsi="宋体" w:eastAsia="方正仿宋简体" w:cs="方正仿宋简体"/>
          <w:b w:val="0"/>
          <w:bCs w:val="0"/>
          <w:color w:val="auto"/>
          <w:kern w:val="0"/>
          <w:sz w:val="32"/>
          <w:szCs w:val="32"/>
          <w:lang w:val="en-US" w:eastAsia="zh-CN" w:bidi="ar"/>
        </w:rPr>
        <w:t>管理</w:t>
      </w:r>
      <w:r>
        <w:rPr>
          <w:rFonts w:hint="eastAsia" w:ascii="宋体" w:hAnsi="宋体" w:eastAsia="方正仿宋简体" w:cs="方正仿宋简体"/>
          <w:color w:val="auto"/>
          <w:sz w:val="32"/>
          <w:szCs w:val="32"/>
          <w:lang w:eastAsia="zh-CN" w:bidi="ar-SA"/>
        </w:rPr>
        <w:t>，</w:t>
      </w:r>
      <w:r>
        <w:rPr>
          <w:rFonts w:hint="eastAsia" w:ascii="宋体" w:hAnsi="宋体" w:eastAsia="方正仿宋简体" w:cs="方正仿宋简体"/>
          <w:b w:val="0"/>
          <w:bCs w:val="0"/>
          <w:color w:val="auto"/>
          <w:kern w:val="0"/>
          <w:sz w:val="32"/>
          <w:szCs w:val="32"/>
          <w:lang w:val="en-US" w:eastAsia="zh-CN" w:bidi="ar"/>
        </w:rPr>
        <w:t>危险废物严格按照《危险废物贮存污染控制标准》(GB18597-2023)、《危险废物收集贮存运输技术规范》(HJ2025-2012) 进行管理。</w:t>
      </w:r>
    </w:p>
    <w:p>
      <w:pPr>
        <w:keepNext w:val="0"/>
        <w:keepLines w:val="0"/>
        <w:pageBreakBefore w:val="0"/>
        <w:widowControl/>
        <w:suppressLineNumbers w:val="0"/>
        <w:kinsoku/>
        <w:wordWrap/>
        <w:overflowPunct/>
        <w:topLinePunct w:val="0"/>
        <w:bidi w:val="0"/>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五</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严格落实各项噪声治理措施。</w:t>
      </w:r>
      <w:r>
        <w:rPr>
          <w:rFonts w:hint="eastAsia" w:ascii="宋体" w:hAnsi="宋体" w:eastAsia="方正仿宋简体" w:cs="方正仿宋简体"/>
          <w:color w:val="auto"/>
          <w:sz w:val="32"/>
          <w:szCs w:val="32"/>
        </w:rPr>
        <w:t>采用</w:t>
      </w:r>
      <w:r>
        <w:rPr>
          <w:rFonts w:hint="eastAsia" w:ascii="宋体" w:hAnsi="宋体" w:eastAsia="方正仿宋简体" w:cs="方正仿宋简体"/>
          <w:color w:val="auto"/>
          <w:kern w:val="0"/>
          <w:sz w:val="32"/>
          <w:szCs w:val="32"/>
          <w:lang w:val="en-US" w:eastAsia="zh-CN" w:bidi="ar"/>
        </w:rPr>
        <w:t>隔声、消声、吸声、隔振</w:t>
      </w:r>
      <w:r>
        <w:rPr>
          <w:rFonts w:hint="eastAsia" w:ascii="宋体" w:hAnsi="宋体" w:eastAsia="方正仿宋简体" w:cs="方正仿宋简体"/>
          <w:color w:val="auto"/>
          <w:sz w:val="32"/>
          <w:szCs w:val="32"/>
          <w:lang w:eastAsia="zh-CN"/>
        </w:rPr>
        <w:t>等</w:t>
      </w:r>
      <w:r>
        <w:rPr>
          <w:rFonts w:hint="eastAsia" w:ascii="宋体" w:hAnsi="宋体" w:eastAsia="方正仿宋简体" w:cs="方正仿宋简体"/>
          <w:color w:val="auto"/>
          <w:sz w:val="32"/>
          <w:szCs w:val="32"/>
        </w:rPr>
        <w:t>有效隔声降噪措施</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确保厂界噪声排放达到《工业企业厂界环境噪声排放标准》(GB12348-2008)</w:t>
      </w:r>
      <w:r>
        <w:rPr>
          <w:rFonts w:hint="eastAsia" w:ascii="宋体" w:hAnsi="宋体" w:eastAsia="方正仿宋简体" w:cs="方正仿宋简体"/>
          <w:color w:val="auto"/>
          <w:sz w:val="32"/>
          <w:szCs w:val="32"/>
          <w:lang w:val="en-US" w:eastAsia="zh-CN"/>
        </w:rPr>
        <w:t>3</w:t>
      </w:r>
      <w:r>
        <w:rPr>
          <w:rFonts w:hint="eastAsia" w:ascii="宋体" w:hAnsi="宋体" w:eastAsia="方正仿宋简体" w:cs="方正仿宋简体"/>
          <w:color w:val="auto"/>
          <w:sz w:val="32"/>
          <w:szCs w:val="32"/>
        </w:rPr>
        <w:t>类标准要求。</w:t>
      </w:r>
    </w:p>
    <w:p>
      <w:pPr>
        <w:pStyle w:val="2"/>
        <w:keepNext w:val="0"/>
        <w:keepLines w:val="0"/>
        <w:pageBreakBefore w:val="0"/>
        <w:widowControl w:val="0"/>
        <w:kinsoku/>
        <w:overflowPunct/>
        <w:topLinePunct w:val="0"/>
        <w:bidi w:val="0"/>
        <w:spacing w:line="54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方正仿宋简体" w:cs="方正仿宋简体"/>
          <w:color w:val="auto"/>
          <w:sz w:val="32"/>
          <w:szCs w:val="32"/>
          <w:lang w:val="en-US" w:eastAsia="zh-CN"/>
        </w:rPr>
        <w:t>四</w:t>
      </w:r>
      <w:r>
        <w:rPr>
          <w:rFonts w:hint="eastAsia" w:ascii="宋体" w:hAnsi="宋体" w:eastAsia="方正仿宋简体" w:cs="方正仿宋简体"/>
          <w:color w:val="auto"/>
          <w:sz w:val="32"/>
          <w:szCs w:val="32"/>
        </w:rPr>
        <w:t>、</w:t>
      </w:r>
      <w:r>
        <w:rPr>
          <w:rFonts w:hint="eastAsia" w:ascii="宋体" w:hAnsi="宋体" w:eastAsia="仿宋_GB2312" w:cs="仿宋_GB2312"/>
          <w:color w:val="auto"/>
          <w:sz w:val="32"/>
          <w:szCs w:val="32"/>
          <w:lang w:val="en-US" w:eastAsia="zh-CN"/>
        </w:rPr>
        <w:t>项目运行期必须严格执行区域污染物排放总量控制要求，确保工程实施后污染物排放总量控制在核定的指标内(</w:t>
      </w:r>
      <w:r>
        <w:rPr>
          <w:rFonts w:hint="eastAsia" w:ascii="宋体" w:hAnsi="宋体" w:eastAsia="方正仿宋简体" w:cs="方正仿宋简体"/>
          <w:color w:val="auto"/>
          <w:kern w:val="0"/>
          <w:sz w:val="32"/>
          <w:szCs w:val="32"/>
        </w:rPr>
        <w:t>二氧化硫</w:t>
      </w:r>
      <w:r>
        <w:rPr>
          <w:rFonts w:hint="eastAsia" w:ascii="宋体" w:hAnsi="宋体" w:eastAsia="方正仿宋简体" w:cs="方正仿宋简体"/>
          <w:color w:val="auto"/>
          <w:kern w:val="0"/>
          <w:sz w:val="32"/>
          <w:szCs w:val="32"/>
          <w:lang w:val="en-US" w:eastAsia="zh-CN"/>
        </w:rPr>
        <w:t>2.24</w:t>
      </w:r>
      <w:r>
        <w:rPr>
          <w:rFonts w:hint="eastAsia" w:ascii="宋体" w:hAnsi="宋体" w:eastAsia="方正仿宋简体" w:cs="方正仿宋简体"/>
          <w:color w:val="auto"/>
          <w:kern w:val="0"/>
          <w:sz w:val="32"/>
          <w:szCs w:val="32"/>
        </w:rPr>
        <w:t>t/a、氮氧化物</w:t>
      </w:r>
      <w:r>
        <w:rPr>
          <w:rFonts w:hint="eastAsia" w:ascii="宋体" w:hAnsi="宋体" w:eastAsia="方正仿宋简体" w:cs="方正仿宋简体"/>
          <w:color w:val="auto"/>
          <w:kern w:val="0"/>
          <w:sz w:val="32"/>
          <w:szCs w:val="32"/>
          <w:lang w:val="en-US" w:eastAsia="zh-CN"/>
        </w:rPr>
        <w:t>1.814</w:t>
      </w:r>
      <w:r>
        <w:rPr>
          <w:rFonts w:hint="eastAsia" w:ascii="宋体" w:hAnsi="宋体" w:eastAsia="方正仿宋简体" w:cs="方正仿宋简体"/>
          <w:color w:val="auto"/>
          <w:kern w:val="0"/>
          <w:sz w:val="32"/>
          <w:szCs w:val="32"/>
        </w:rPr>
        <w:t>t/a</w:t>
      </w:r>
      <w:r>
        <w:rPr>
          <w:rFonts w:hint="eastAsia" w:ascii="宋体" w:hAnsi="宋体" w:eastAsia="方正仿宋简体" w:cs="方正仿宋简体"/>
          <w:color w:val="auto"/>
          <w:kern w:val="0"/>
          <w:sz w:val="32"/>
          <w:szCs w:val="32"/>
          <w:lang w:eastAsia="zh-CN"/>
        </w:rPr>
        <w:t>、颗粒物</w:t>
      </w:r>
      <w:r>
        <w:rPr>
          <w:rFonts w:hint="eastAsia" w:ascii="宋体" w:hAnsi="宋体" w:eastAsia="方正仿宋简体" w:cs="方正仿宋简体"/>
          <w:color w:val="auto"/>
          <w:kern w:val="0"/>
          <w:sz w:val="32"/>
          <w:szCs w:val="32"/>
          <w:lang w:val="en-US" w:eastAsia="zh-CN"/>
        </w:rPr>
        <w:t>0.286</w:t>
      </w:r>
      <w:r>
        <w:rPr>
          <w:rFonts w:hint="eastAsia" w:ascii="宋体" w:hAnsi="宋体" w:eastAsia="方正仿宋简体" w:cs="方正仿宋简体"/>
          <w:color w:val="auto"/>
          <w:kern w:val="0"/>
          <w:sz w:val="32"/>
          <w:szCs w:val="32"/>
        </w:rPr>
        <w:t>t/a</w:t>
      </w:r>
      <w:r>
        <w:rPr>
          <w:rFonts w:hint="eastAsia" w:ascii="宋体" w:hAnsi="宋体" w:eastAsia="仿宋_GB2312" w:cs="仿宋_GB2312"/>
          <w:color w:val="auto"/>
          <w:sz w:val="32"/>
          <w:szCs w:val="32"/>
          <w:lang w:val="en-US" w:eastAsia="zh-CN"/>
        </w:rPr>
        <w:t>)，且稳定达标排放，本项目总量指标来源为伊犁州2021-2023年棚改集中供热项目中解决。</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auto"/>
          <w:kern w:val="0"/>
          <w:sz w:val="32"/>
          <w:szCs w:val="32"/>
          <w:lang w:eastAsia="zh-CN"/>
        </w:rPr>
        <w:t>五</w:t>
      </w:r>
      <w:r>
        <w:rPr>
          <w:rFonts w:hint="eastAsia" w:ascii="宋体" w:hAnsi="宋体" w:eastAsia="方正仿宋简体" w:cs="方正仿宋简体"/>
          <w:color w:val="auto"/>
          <w:kern w:val="0"/>
          <w:sz w:val="32"/>
          <w:szCs w:val="32"/>
        </w:rPr>
        <w:t>、运营期的环境监督管理由</w:t>
      </w:r>
      <w:r>
        <w:rPr>
          <w:rFonts w:hint="eastAsia" w:ascii="宋体" w:hAnsi="宋体" w:eastAsia="方正仿宋简体" w:cs="方正仿宋简体"/>
          <w:color w:val="auto"/>
          <w:kern w:val="0"/>
          <w:sz w:val="32"/>
          <w:szCs w:val="32"/>
          <w:lang w:eastAsia="zh-CN"/>
        </w:rPr>
        <w:t>霍城县分局</w:t>
      </w:r>
      <w:r>
        <w:rPr>
          <w:rFonts w:hint="eastAsia" w:ascii="宋体" w:hAnsi="宋体" w:eastAsia="方正仿宋简体" w:cs="方正仿宋简体"/>
          <w:color w:val="auto"/>
          <w:kern w:val="0"/>
          <w:sz w:val="32"/>
          <w:szCs w:val="32"/>
        </w:rPr>
        <w:t>负责，</w:t>
      </w:r>
      <w:r>
        <w:rPr>
          <w:rFonts w:hint="eastAsia" w:ascii="宋体" w:hAnsi="宋体" w:eastAsia="方正仿宋简体" w:cs="方正仿宋简体"/>
          <w:color w:val="auto"/>
          <w:sz w:val="32"/>
          <w:szCs w:val="32"/>
        </w:rPr>
        <w:t>州生态环境保护综合行政执法支队</w:t>
      </w:r>
      <w:r>
        <w:rPr>
          <w:rFonts w:hint="eastAsia" w:ascii="宋体" w:hAnsi="宋体" w:eastAsia="方正仿宋简体" w:cs="方正仿宋简体"/>
          <w:color w:val="auto"/>
          <w:kern w:val="0"/>
          <w:sz w:val="32"/>
          <w:szCs w:val="32"/>
        </w:rPr>
        <w:t>不定期进行抽查。</w:t>
      </w:r>
      <w:r>
        <w:rPr>
          <w:rFonts w:hint="eastAsia" w:ascii="宋体" w:hAnsi="宋体" w:eastAsia="方正仿宋简体" w:cs="方正仿宋简体"/>
          <w:color w:val="000000"/>
          <w:sz w:val="32"/>
          <w:szCs w:val="32"/>
        </w:rPr>
        <w:t>项目竣工后，应按规定程序开展项目竣工环境保护验收，经验收合格后，方可正式投入运营。工程建设的地点、性质、规模、污染防治、防止生态破坏措施如有重大变化，须报我局重新审批。自环评批复文件批准之日起，如工程超过5年开工建设，环境影响评价文件应当报我局重新审核。</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eastAsia="zh-CN"/>
        </w:rPr>
        <w:t>六</w:t>
      </w:r>
      <w:r>
        <w:rPr>
          <w:rFonts w:hint="eastAsia" w:ascii="宋体" w:hAnsi="宋体" w:eastAsia="方正仿宋简体" w:cs="方正仿宋简体"/>
          <w:color w:val="auto"/>
          <w:sz w:val="32"/>
          <w:szCs w:val="32"/>
        </w:rPr>
        <w:t>、你公司应在收到本批复后20个工作日内，将批准后的《报告</w:t>
      </w:r>
      <w:r>
        <w:rPr>
          <w:rFonts w:hint="eastAsia" w:ascii="宋体" w:hAnsi="宋体" w:eastAsia="方正仿宋简体" w:cs="方正仿宋简体"/>
          <w:color w:val="auto"/>
          <w:sz w:val="32"/>
          <w:szCs w:val="32"/>
          <w:lang w:eastAsia="zh-CN"/>
        </w:rPr>
        <w:t>表</w:t>
      </w:r>
      <w:r>
        <w:rPr>
          <w:rFonts w:hint="eastAsia" w:ascii="宋体" w:hAnsi="宋体" w:eastAsia="方正仿宋简体" w:cs="方正仿宋简体"/>
          <w:color w:val="auto"/>
          <w:sz w:val="32"/>
          <w:szCs w:val="32"/>
        </w:rPr>
        <w:t>》送</w:t>
      </w:r>
      <w:r>
        <w:rPr>
          <w:rFonts w:hint="eastAsia" w:ascii="宋体" w:hAnsi="宋体" w:eastAsia="方正仿宋简体" w:cs="方正仿宋简体"/>
          <w:color w:val="auto"/>
          <w:sz w:val="32"/>
          <w:szCs w:val="32"/>
          <w:lang w:eastAsia="zh-CN"/>
        </w:rPr>
        <w:t>霍城县分局</w:t>
      </w:r>
      <w:r>
        <w:rPr>
          <w:rFonts w:hint="eastAsia" w:ascii="宋体" w:hAnsi="宋体" w:eastAsia="方正仿宋简体" w:cs="方正仿宋简体"/>
          <w:color w:val="auto"/>
          <w:sz w:val="32"/>
          <w:szCs w:val="32"/>
        </w:rPr>
        <w:t>，并按规定接受各级生态环境行政主管部门的监督检查。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eastAsia="zh-CN"/>
        </w:rPr>
        <w:t>（此件社会公开）</w:t>
      </w:r>
      <w:r>
        <w:rPr>
          <w:rFonts w:hint="eastAsia" w:ascii="宋体" w:hAnsi="宋体" w:eastAsia="方正仿宋简体" w:cs="方正仿宋简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2024年3月20日</w:t>
      </w:r>
    </w:p>
    <w:p>
      <w:pPr>
        <w:pStyle w:val="2"/>
        <w:rPr>
          <w:rFonts w:hint="eastAsia" w:ascii="宋体" w:hAnsi="宋体" w:eastAsia="方正仿宋简体" w:cs="方正仿宋简体"/>
          <w:color w:val="auto"/>
          <w:sz w:val="32"/>
          <w:szCs w:val="32"/>
        </w:rPr>
      </w:pPr>
    </w:p>
    <w:p>
      <w:pPr>
        <w:pStyle w:val="2"/>
        <w:rPr>
          <w:rFonts w:hint="eastAsia" w:ascii="宋体" w:hAnsi="宋体" w:eastAsia="方正仿宋简体" w:cs="方正仿宋简体"/>
          <w:color w:val="auto"/>
          <w:sz w:val="32"/>
          <w:szCs w:val="32"/>
        </w:rPr>
      </w:pPr>
    </w:p>
    <w:p>
      <w:pPr>
        <w:pStyle w:val="2"/>
        <w:rPr>
          <w:rFonts w:hint="eastAsia" w:ascii="宋体" w:hAnsi="宋体"/>
          <w:color w:val="auto"/>
        </w:rPr>
      </w:pPr>
      <w:bookmarkStart w:id="0" w:name="_GoBack"/>
      <w:bookmarkEnd w:id="0"/>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pStyle w:val="7"/>
        <w:pBdr>
          <w:top w:val="single" w:color="auto" w:sz="12" w:space="1"/>
          <w:bottom w:val="single" w:color="auto" w:sz="12" w:space="1"/>
        </w:pBdr>
        <w:tabs>
          <w:tab w:val="left" w:pos="6840"/>
        </w:tabs>
        <w:spacing w:line="480" w:lineRule="exact"/>
        <w:ind w:left="840" w:hanging="840" w:hangingChars="300"/>
        <w:rPr>
          <w:rFonts w:hint="eastAsia" w:ascii="宋体" w:hAnsi="宋体" w:eastAsia="仿宋_GB2312" w:cs="仿宋_GB2312"/>
          <w:color w:val="auto"/>
          <w:sz w:val="28"/>
          <w:szCs w:val="28"/>
        </w:rPr>
      </w:pPr>
      <w:r>
        <w:rPr>
          <w:rFonts w:hint="eastAsia" w:ascii="宋体" w:hAnsi="宋体" w:eastAsia="仿宋_GB2312" w:cs="仿宋_GB2312"/>
          <w:color w:val="auto"/>
          <w:sz w:val="28"/>
          <w:szCs w:val="28"/>
        </w:rPr>
        <w:t>抄送：</w:t>
      </w:r>
      <w:r>
        <w:rPr>
          <w:rFonts w:hint="eastAsia" w:ascii="宋体" w:hAnsi="宋体" w:eastAsia="仿宋_GB2312" w:cs="仿宋_GB2312"/>
          <w:color w:val="auto"/>
          <w:sz w:val="28"/>
          <w:szCs w:val="28"/>
          <w:lang w:eastAsia="zh-CN"/>
        </w:rPr>
        <w:t>州</w:t>
      </w:r>
      <w:r>
        <w:rPr>
          <w:rFonts w:hint="eastAsia" w:ascii="宋体" w:hAnsi="宋体" w:eastAsia="仿宋_GB2312" w:cs="仿宋_GB2312"/>
          <w:color w:val="auto"/>
          <w:sz w:val="28"/>
          <w:szCs w:val="28"/>
          <w:lang w:val="en-US" w:eastAsia="zh-CN"/>
        </w:rPr>
        <w:t>生态环境行政执法综合支队</w:t>
      </w:r>
      <w:r>
        <w:rPr>
          <w:rFonts w:hint="eastAsia" w:ascii="宋体" w:hAnsi="宋体" w:eastAsia="仿宋_GB2312" w:cs="仿宋_GB2312"/>
          <w:color w:val="auto"/>
          <w:sz w:val="28"/>
          <w:szCs w:val="28"/>
        </w:rPr>
        <w:t>，</w:t>
      </w:r>
      <w:r>
        <w:rPr>
          <w:rFonts w:hint="eastAsia" w:ascii="宋体" w:hAnsi="宋体" w:eastAsia="仿宋_GB2312" w:cs="仿宋_GB2312"/>
          <w:color w:val="auto"/>
          <w:sz w:val="28"/>
          <w:szCs w:val="28"/>
          <w:lang w:val="en-US" w:eastAsia="zh-CN"/>
        </w:rPr>
        <w:t>霍城县</w:t>
      </w:r>
      <w:r>
        <w:rPr>
          <w:rFonts w:hint="eastAsia" w:ascii="宋体" w:hAnsi="宋体" w:eastAsia="仿宋_GB2312" w:cs="仿宋_GB2312"/>
          <w:color w:val="auto"/>
          <w:sz w:val="28"/>
          <w:szCs w:val="28"/>
          <w:lang w:eastAsia="zh-CN"/>
        </w:rPr>
        <w:t>分局</w:t>
      </w:r>
      <w:r>
        <w:rPr>
          <w:rFonts w:hint="eastAsia" w:ascii="宋体" w:hAnsi="宋体" w:eastAsia="仿宋_GB2312" w:cs="仿宋_GB2312"/>
          <w:color w:val="auto"/>
          <w:sz w:val="28"/>
          <w:szCs w:val="28"/>
        </w:rPr>
        <w:t>，</w:t>
      </w:r>
      <w:r>
        <w:rPr>
          <w:rFonts w:hint="eastAsia" w:ascii="宋体" w:hAnsi="宋体" w:eastAsia="仿宋_GB2312" w:cs="仿宋_GB2312"/>
          <w:bCs/>
          <w:color w:val="auto"/>
          <w:sz w:val="28"/>
          <w:szCs w:val="28"/>
          <w:shd w:val="clear" w:color="auto" w:fill="FFFFFF"/>
        </w:rPr>
        <w:t>湖南昊烁环境评估有限公司</w:t>
      </w:r>
      <w:r>
        <w:rPr>
          <w:rFonts w:hint="eastAsia" w:ascii="宋体" w:hAnsi="宋体" w:eastAsia="仿宋_GB2312" w:cs="仿宋_GB2312"/>
          <w:color w:val="auto"/>
          <w:sz w:val="28"/>
          <w:szCs w:val="28"/>
        </w:rPr>
        <w:t>，本局存档。</w:t>
      </w:r>
    </w:p>
    <w:p>
      <w:pPr>
        <w:pStyle w:val="7"/>
        <w:pBdr>
          <w:bottom w:val="single" w:color="auto" w:sz="12" w:space="1"/>
          <w:between w:val="single" w:color="auto" w:sz="12" w:space="1"/>
        </w:pBdr>
        <w:tabs>
          <w:tab w:val="left" w:pos="6840"/>
        </w:tabs>
        <w:spacing w:line="480" w:lineRule="exact"/>
        <w:ind w:firstLine="140" w:firstLineChars="50"/>
        <w:rPr>
          <w:rFonts w:hint="eastAsia" w:ascii="宋体" w:hAnsi="宋体" w:eastAsia="仿宋_GB2312" w:cs="仿宋_GB2312"/>
          <w:color w:val="auto"/>
          <w:sz w:val="28"/>
          <w:szCs w:val="28"/>
        </w:rPr>
      </w:pPr>
      <w:r>
        <w:rPr>
          <w:rFonts w:hint="eastAsia" w:ascii="宋体" w:hAnsi="宋体" w:eastAsia="仿宋_GB2312" w:cs="仿宋_GB2312"/>
          <w:color w:val="auto"/>
          <w:sz w:val="28"/>
          <w:szCs w:val="28"/>
        </w:rPr>
        <w:t xml:space="preserve">伊犁哈萨克自治州环境保护局    </w:t>
      </w:r>
      <w:r>
        <w:rPr>
          <w:rFonts w:hint="eastAsia" w:ascii="宋体" w:hAnsi="宋体" w:eastAsia="仿宋_GB2312" w:cs="仿宋_GB2312"/>
          <w:color w:val="auto"/>
          <w:sz w:val="28"/>
          <w:szCs w:val="28"/>
          <w:lang w:val="en-US" w:eastAsia="zh-CN"/>
        </w:rPr>
        <w:t xml:space="preserve">       </w:t>
      </w:r>
      <w:r>
        <w:rPr>
          <w:rFonts w:hint="eastAsia" w:ascii="宋体" w:hAnsi="宋体" w:eastAsia="仿宋_GB2312" w:cs="仿宋_GB2312"/>
          <w:color w:val="auto"/>
          <w:sz w:val="28"/>
          <w:szCs w:val="28"/>
        </w:rPr>
        <w:t xml:space="preserve">   20</w:t>
      </w:r>
      <w:r>
        <w:rPr>
          <w:rFonts w:hint="eastAsia" w:ascii="宋体" w:hAnsi="宋体" w:eastAsia="仿宋_GB2312" w:cs="仿宋_GB2312"/>
          <w:color w:val="auto"/>
          <w:sz w:val="28"/>
          <w:szCs w:val="28"/>
          <w:lang w:val="en-US" w:eastAsia="zh-CN"/>
        </w:rPr>
        <w:t>24</w:t>
      </w:r>
      <w:r>
        <w:rPr>
          <w:rFonts w:hint="eastAsia" w:ascii="宋体" w:hAnsi="宋体" w:eastAsia="仿宋_GB2312" w:cs="仿宋_GB2312"/>
          <w:color w:val="auto"/>
          <w:sz w:val="28"/>
          <w:szCs w:val="28"/>
        </w:rPr>
        <w:t>年</w:t>
      </w:r>
      <w:r>
        <w:rPr>
          <w:rFonts w:hint="eastAsia" w:ascii="宋体" w:hAnsi="宋体" w:eastAsia="仿宋_GB2312" w:cs="仿宋_GB2312"/>
          <w:color w:val="auto"/>
          <w:sz w:val="28"/>
          <w:szCs w:val="28"/>
          <w:lang w:val="en-US" w:eastAsia="zh-CN"/>
        </w:rPr>
        <w:t>3</w:t>
      </w:r>
      <w:r>
        <w:rPr>
          <w:rFonts w:hint="eastAsia" w:ascii="宋体" w:hAnsi="宋体" w:eastAsia="仿宋_GB2312" w:cs="仿宋_GB2312"/>
          <w:color w:val="auto"/>
          <w:sz w:val="28"/>
          <w:szCs w:val="28"/>
        </w:rPr>
        <w:t>月</w:t>
      </w:r>
      <w:r>
        <w:rPr>
          <w:rFonts w:hint="eastAsia" w:hAnsi="宋体" w:eastAsia="仿宋_GB2312" w:cs="仿宋_GB2312"/>
          <w:color w:val="auto"/>
          <w:sz w:val="28"/>
          <w:szCs w:val="28"/>
          <w:lang w:val="en-US" w:eastAsia="zh-CN"/>
        </w:rPr>
        <w:t>20</w:t>
      </w:r>
      <w:r>
        <w:rPr>
          <w:rFonts w:hint="eastAsia" w:ascii="宋体" w:hAnsi="宋体" w:eastAsia="仿宋_GB2312" w:cs="仿宋_GB2312"/>
          <w:color w:val="auto"/>
          <w:sz w:val="28"/>
          <w:szCs w:val="28"/>
        </w:rPr>
        <w:t>日  印发</w:t>
      </w:r>
    </w:p>
    <w:sectPr>
      <w:footerReference r:id="rId3" w:type="default"/>
      <w:footerReference r:id="rId4" w:type="even"/>
      <w:pgSz w:w="11906" w:h="16838"/>
      <w:pgMar w:top="2098" w:right="1531" w:bottom="1531" w:left="1531"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4"/>
                              <w:rFonts w:hint="eastAsia" w:ascii="宋体" w:hAnsi="宋体" w:eastAsia="宋体" w:cs="宋体"/>
                              <w:sz w:val="24"/>
                              <w:szCs w:val="24"/>
                              <w:lang w:eastAsia="zh-CN"/>
                            </w:rPr>
                          </w:pPr>
                          <w:r>
                            <w:rPr>
                              <w:rStyle w:val="14"/>
                              <w:rFonts w:hint="eastAsia" w:ascii="宋体" w:hAnsi="宋体" w:cs="宋体"/>
                              <w:sz w:val="24"/>
                              <w:szCs w:val="24"/>
                              <w:lang w:eastAsia="zh-CN"/>
                            </w:rPr>
                            <w:t xml:space="preserve">— </w:t>
                          </w:r>
                          <w:r>
                            <w:rPr>
                              <w:rStyle w:val="14"/>
                              <w:rFonts w:hint="eastAsia" w:ascii="宋体" w:hAnsi="宋体" w:cs="宋体"/>
                              <w:sz w:val="24"/>
                              <w:szCs w:val="24"/>
                              <w:lang w:eastAsia="zh-CN"/>
                            </w:rPr>
                            <w:fldChar w:fldCharType="begin"/>
                          </w:r>
                          <w:r>
                            <w:rPr>
                              <w:rStyle w:val="14"/>
                              <w:rFonts w:hint="eastAsia" w:ascii="宋体" w:hAnsi="宋体" w:cs="宋体"/>
                              <w:sz w:val="24"/>
                              <w:szCs w:val="24"/>
                              <w:lang w:eastAsia="zh-CN"/>
                            </w:rPr>
                            <w:instrText xml:space="preserve"> PAGE  \* MERGEFORMAT </w:instrText>
                          </w:r>
                          <w:r>
                            <w:rPr>
                              <w:rStyle w:val="14"/>
                              <w:rFonts w:hint="eastAsia" w:ascii="宋体" w:hAnsi="宋体" w:cs="宋体"/>
                              <w:sz w:val="24"/>
                              <w:szCs w:val="24"/>
                              <w:lang w:eastAsia="zh-CN"/>
                            </w:rPr>
                            <w:fldChar w:fldCharType="separate"/>
                          </w:r>
                          <w:r>
                            <w:rPr>
                              <w:rStyle w:val="14"/>
                              <w:rFonts w:hint="eastAsia" w:ascii="宋体" w:hAnsi="宋体" w:cs="宋体"/>
                              <w:sz w:val="24"/>
                              <w:szCs w:val="24"/>
                              <w:lang w:eastAsia="zh-CN"/>
                            </w:rPr>
                            <w:t>- 1 -</w:t>
                          </w:r>
                          <w:r>
                            <w:rPr>
                              <w:rStyle w:val="14"/>
                              <w:rFonts w:hint="eastAsia" w:ascii="宋体" w:hAnsi="宋体" w:cs="宋体"/>
                              <w:sz w:val="24"/>
                              <w:szCs w:val="24"/>
                              <w:lang w:eastAsia="zh-CN"/>
                            </w:rPr>
                            <w:fldChar w:fldCharType="end"/>
                          </w:r>
                          <w:r>
                            <w:rPr>
                              <w:rStyle w:val="14"/>
                              <w:rFonts w:hint="eastAsia" w:ascii="宋体" w:hAnsi="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Style w:val="14"/>
                        <w:rFonts w:hint="eastAsia" w:ascii="宋体" w:hAnsi="宋体" w:eastAsia="宋体" w:cs="宋体"/>
                        <w:sz w:val="24"/>
                        <w:szCs w:val="24"/>
                        <w:lang w:eastAsia="zh-CN"/>
                      </w:rPr>
                    </w:pPr>
                    <w:r>
                      <w:rPr>
                        <w:rStyle w:val="14"/>
                        <w:rFonts w:hint="eastAsia" w:ascii="宋体" w:hAnsi="宋体" w:cs="宋体"/>
                        <w:sz w:val="24"/>
                        <w:szCs w:val="24"/>
                        <w:lang w:eastAsia="zh-CN"/>
                      </w:rPr>
                      <w:t xml:space="preserve">— </w:t>
                    </w:r>
                    <w:r>
                      <w:rPr>
                        <w:rStyle w:val="14"/>
                        <w:rFonts w:hint="eastAsia" w:ascii="宋体" w:hAnsi="宋体" w:cs="宋体"/>
                        <w:sz w:val="24"/>
                        <w:szCs w:val="24"/>
                        <w:lang w:eastAsia="zh-CN"/>
                      </w:rPr>
                      <w:fldChar w:fldCharType="begin"/>
                    </w:r>
                    <w:r>
                      <w:rPr>
                        <w:rStyle w:val="14"/>
                        <w:rFonts w:hint="eastAsia" w:ascii="宋体" w:hAnsi="宋体" w:cs="宋体"/>
                        <w:sz w:val="24"/>
                        <w:szCs w:val="24"/>
                        <w:lang w:eastAsia="zh-CN"/>
                      </w:rPr>
                      <w:instrText xml:space="preserve"> PAGE  \* MERGEFORMAT </w:instrText>
                    </w:r>
                    <w:r>
                      <w:rPr>
                        <w:rStyle w:val="14"/>
                        <w:rFonts w:hint="eastAsia" w:ascii="宋体" w:hAnsi="宋体" w:cs="宋体"/>
                        <w:sz w:val="24"/>
                        <w:szCs w:val="24"/>
                        <w:lang w:eastAsia="zh-CN"/>
                      </w:rPr>
                      <w:fldChar w:fldCharType="separate"/>
                    </w:r>
                    <w:r>
                      <w:rPr>
                        <w:rStyle w:val="14"/>
                        <w:rFonts w:hint="eastAsia" w:ascii="宋体" w:hAnsi="宋体" w:cs="宋体"/>
                        <w:sz w:val="24"/>
                        <w:szCs w:val="24"/>
                        <w:lang w:eastAsia="zh-CN"/>
                      </w:rPr>
                      <w:t>- 1 -</w:t>
                    </w:r>
                    <w:r>
                      <w:rPr>
                        <w:rStyle w:val="14"/>
                        <w:rFonts w:hint="eastAsia" w:ascii="宋体" w:hAnsi="宋体" w:cs="宋体"/>
                        <w:sz w:val="24"/>
                        <w:szCs w:val="24"/>
                        <w:lang w:eastAsia="zh-CN"/>
                      </w:rPr>
                      <w:fldChar w:fldCharType="end"/>
                    </w:r>
                    <w:r>
                      <w:rPr>
                        <w:rStyle w:val="14"/>
                        <w:rFonts w:hint="eastAsia" w:ascii="宋体" w:hAnsi="宋体" w:cs="宋体"/>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inside" w:y="1"/>
      <w:rPr>
        <w:rStyle w:val="14"/>
      </w:rPr>
    </w:pPr>
    <w:r>
      <w:fldChar w:fldCharType="begin"/>
    </w:r>
    <w:r>
      <w:rPr>
        <w:rStyle w:val="14"/>
      </w:rPr>
      <w:instrText xml:space="preserve">PAGE  </w:instrText>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2Y4MjJkNDdjNTUyNzU4MDFkMmY4NGRhNmNjMzUifQ=="/>
  </w:docVars>
  <w:rsids>
    <w:rsidRoot w:val="7BA63C67"/>
    <w:rsid w:val="004F211C"/>
    <w:rsid w:val="0175688E"/>
    <w:rsid w:val="01B1062E"/>
    <w:rsid w:val="0A4A63EE"/>
    <w:rsid w:val="0EE07714"/>
    <w:rsid w:val="136F732F"/>
    <w:rsid w:val="17DF7B09"/>
    <w:rsid w:val="197E13DE"/>
    <w:rsid w:val="22311B26"/>
    <w:rsid w:val="25DE616A"/>
    <w:rsid w:val="2C852804"/>
    <w:rsid w:val="2CC3587C"/>
    <w:rsid w:val="3C67458E"/>
    <w:rsid w:val="446F58A8"/>
    <w:rsid w:val="47190301"/>
    <w:rsid w:val="498A61BE"/>
    <w:rsid w:val="49905BFE"/>
    <w:rsid w:val="4D637566"/>
    <w:rsid w:val="505E2B57"/>
    <w:rsid w:val="56F37EF6"/>
    <w:rsid w:val="60101445"/>
    <w:rsid w:val="639D4C96"/>
    <w:rsid w:val="67926255"/>
    <w:rsid w:val="73D146AC"/>
    <w:rsid w:val="76BF71A5"/>
    <w:rsid w:val="7BA63C67"/>
    <w:rsid w:val="7E81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2">
    <w:name w:val="Default Paragraph Font"/>
    <w:link w:val="13"/>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2760"/>
      </w:tabs>
      <w:autoSpaceDE w:val="0"/>
      <w:autoSpaceDN w:val="0"/>
      <w:adjustRightInd w:val="0"/>
    </w:pPr>
    <w:rPr>
      <w:rFonts w:ascii="隶书" w:hAnsi="Times New Roman" w:eastAsia="隶书" w:cs="隶书"/>
      <w:color w:val="000000"/>
      <w:sz w:val="24"/>
      <w:szCs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Body Text Indent"/>
    <w:basedOn w:val="1"/>
    <w:next w:val="6"/>
    <w:qFormat/>
    <w:uiPriority w:val="0"/>
    <w:pPr>
      <w:spacing w:after="120"/>
      <w:ind w:left="420" w:leftChars="200"/>
    </w:pPr>
    <w:rPr>
      <w:kern w:val="0"/>
      <w:sz w:val="24"/>
      <w:szCs w:val="20"/>
    </w:rPr>
  </w:style>
  <w:style w:type="paragraph" w:styleId="6">
    <w:name w:val="Normal (Web)"/>
    <w:basedOn w:val="1"/>
    <w:next w:val="1"/>
    <w:qFormat/>
    <w:uiPriority w:val="0"/>
    <w:pPr>
      <w:widowControl/>
      <w:spacing w:before="100" w:beforeAutospacing="1" w:after="100" w:afterAutospacing="1"/>
      <w:jc w:val="left"/>
    </w:pPr>
    <w:rPr>
      <w:rFonts w:ascii="宋体" w:hAnsi="宋体" w:cs="宋体"/>
      <w:kern w:val="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1"/>
    <w:next w:val="5"/>
    <w:qFormat/>
    <w:uiPriority w:val="0"/>
    <w:pPr>
      <w:ind w:firstLine="420" w:firstLineChars="200"/>
    </w:pPr>
    <w:rPr>
      <w:rFonts w:ascii="Times New Roman" w:hAnsi="Times New Roman" w:eastAsia="宋体" w:cs="Times New Roman"/>
    </w:rPr>
  </w:style>
  <w:style w:type="paragraph" w:customStyle="1" w:styleId="13">
    <w:name w:val="Char Char11"/>
    <w:basedOn w:val="1"/>
    <w:link w:val="12"/>
    <w:qFormat/>
    <w:uiPriority w:val="0"/>
  </w:style>
  <w:style w:type="character" w:styleId="14">
    <w:name w:val="page number"/>
    <w:basedOn w:val="12"/>
    <w:qFormat/>
    <w:uiPriority w:val="0"/>
  </w:style>
  <w:style w:type="paragraph" w:customStyle="1" w:styleId="15">
    <w:name w:val="B正文"/>
    <w:basedOn w:val="1"/>
    <w:qFormat/>
    <w:uiPriority w:val="0"/>
    <w:pPr>
      <w:widowControl/>
      <w:spacing w:line="360" w:lineRule="auto"/>
      <w:ind w:firstLine="200" w:firstLineChars="200"/>
      <w:jc w:val="left"/>
    </w:pPr>
    <w:rPr>
      <w:rFonts w:cs="宋体"/>
      <w:kern w:val="0"/>
      <w:sz w:val="24"/>
    </w:rPr>
  </w:style>
  <w:style w:type="paragraph" w:customStyle="1" w:styleId="16">
    <w:name w:val="1正文段落"/>
    <w:basedOn w:val="1"/>
    <w:qFormat/>
    <w:uiPriority w:val="99"/>
    <w:pPr>
      <w:spacing w:line="360" w:lineRule="auto"/>
      <w:ind w:firstLine="200" w:firstLineChars="200"/>
    </w:pPr>
    <w:rPr>
      <w:snapToGrid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1763</Words>
  <Characters>1946</Characters>
  <Lines>0</Lines>
  <Paragraphs>0</Paragraphs>
  <TotalTime>18</TotalTime>
  <ScaleCrop>false</ScaleCrop>
  <LinksUpToDate>false</LinksUpToDate>
  <CharactersWithSpaces>1996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2022-06-09T03:28:00Z</dcterms:created>
  <dc:creator>xinjian</dc:creator>
  <cp:lastModifiedBy>Administrator</cp:lastModifiedBy>
  <cp:lastPrinted>2023-11-16T08:41:00Z</cp:lastPrinted>
  <dcterms:modified xsi:type="dcterms:W3CDTF">2024-03-21T03:18:35Z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CAF2771A893842B6893AAC7D8675643A</vt:lpwstr>
  </property>
</Properties>
</file>