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仿宋_GB2312"/>
          <w:lang w:val="en-US" w:eastAsia="zh-CN"/>
        </w:rPr>
      </w:pPr>
    </w:p>
    <w:p>
      <w:pPr>
        <w:keepNext w:val="0"/>
        <w:keepLines w:val="0"/>
        <w:pageBreakBefore w:val="0"/>
        <w:kinsoku w:val="0"/>
        <w:wordWrap/>
        <w:overflowPunct w:val="0"/>
        <w:topLinePunct w:val="0"/>
        <w:bidi w:val="0"/>
        <w:ind w:left="0"/>
        <w:jc w:val="both"/>
        <w:textAlignment w:val="auto"/>
        <w:rPr>
          <w:rFonts w:hint="eastAsia" w:ascii="宋体" w:hAnsi="宋体"/>
          <w:color w:val="auto"/>
          <w:sz w:val="16"/>
          <w:szCs w:val="16"/>
        </w:rPr>
      </w:pPr>
    </w:p>
    <w:p>
      <w:pPr>
        <w:pStyle w:val="2"/>
        <w:rPr>
          <w:rFonts w:hint="eastAsia"/>
        </w:rPr>
      </w:pPr>
    </w:p>
    <w:p>
      <w:pPr>
        <w:keepNext w:val="0"/>
        <w:keepLines w:val="0"/>
        <w:pageBreakBefore w:val="0"/>
        <w:kinsoku w:val="0"/>
        <w:wordWrap/>
        <w:overflowPunct w:val="0"/>
        <w:topLinePunct w:val="0"/>
        <w:bidi w:val="0"/>
        <w:ind w:left="0" w:firstLine="640" w:firstLineChars="200"/>
        <w:jc w:val="right"/>
        <w:textAlignment w:val="auto"/>
        <w:rPr>
          <w:rFonts w:hint="eastAsia" w:ascii="宋体" w:hAnsi="宋体" w:eastAsia="方正仿宋简体" w:cs="仿宋_GB2312"/>
          <w:color w:val="auto"/>
          <w:kern w:val="0"/>
          <w:sz w:val="32"/>
          <w:szCs w:val="32"/>
          <w:lang w:val="en-US" w:eastAsia="zh-CN" w:bidi="ar-SA"/>
        </w:rPr>
      </w:pPr>
      <w:r>
        <w:rPr>
          <w:rFonts w:hint="eastAsia" w:ascii="宋体" w:hAnsi="宋体" w:eastAsia="方正仿宋简体" w:cs="仿宋_GB2312"/>
          <w:color w:val="auto"/>
          <w:kern w:val="0"/>
          <w:sz w:val="32"/>
          <w:szCs w:val="32"/>
          <w:lang w:val="en-US" w:eastAsia="zh-CN" w:bidi="ar-SA"/>
        </w:rPr>
        <w:t>伊州环函</w:t>
      </w:r>
      <w:r>
        <w:rPr>
          <w:rFonts w:hint="eastAsia" w:ascii="宋体" w:hAnsi="宋体" w:eastAsia="方正仿宋简体" w:cs="黑体"/>
          <w:color w:val="auto"/>
          <w:kern w:val="0"/>
          <w:sz w:val="32"/>
          <w:szCs w:val="32"/>
          <w:lang w:val="en-US" w:eastAsia="zh-CN" w:bidi="ar-SA"/>
        </w:rPr>
        <w:t>〔</w:t>
      </w:r>
      <w:r>
        <w:rPr>
          <w:rFonts w:hint="eastAsia" w:ascii="宋体" w:hAnsi="宋体" w:eastAsia="方正仿宋简体" w:cs="仿宋_GB2312"/>
          <w:color w:val="auto"/>
          <w:kern w:val="0"/>
          <w:sz w:val="32"/>
          <w:szCs w:val="32"/>
          <w:lang w:val="en-US" w:eastAsia="zh-CN" w:bidi="ar-SA"/>
        </w:rPr>
        <w:t>2024</w:t>
      </w:r>
      <w:r>
        <w:rPr>
          <w:rFonts w:hint="eastAsia" w:ascii="宋体" w:hAnsi="宋体" w:eastAsia="方正仿宋简体" w:cs="黑体"/>
          <w:color w:val="auto"/>
          <w:kern w:val="0"/>
          <w:sz w:val="32"/>
          <w:szCs w:val="32"/>
          <w:lang w:val="en-US" w:eastAsia="zh-CN" w:bidi="ar-SA"/>
        </w:rPr>
        <w:t>〕52</w:t>
      </w:r>
      <w:r>
        <w:rPr>
          <w:rFonts w:hint="eastAsia" w:ascii="宋体" w:hAnsi="宋体" w:eastAsia="方正仿宋简体" w:cs="仿宋_GB2312"/>
          <w:color w:val="auto"/>
          <w:kern w:val="0"/>
          <w:sz w:val="32"/>
          <w:szCs w:val="32"/>
          <w:lang w:val="en-US" w:eastAsia="zh-CN" w:bidi="ar-SA"/>
        </w:rPr>
        <w:t>号</w:t>
      </w:r>
    </w:p>
    <w:p>
      <w:pPr>
        <w:keepNext w:val="0"/>
        <w:keepLines w:val="0"/>
        <w:pageBreakBefore w:val="0"/>
        <w:widowControl w:val="0"/>
        <w:kinsoku w:val="0"/>
        <w:wordWrap/>
        <w:overflowPunct w:val="0"/>
        <w:topLinePunct w:val="0"/>
        <w:autoSpaceDE/>
        <w:autoSpaceDN/>
        <w:bidi w:val="0"/>
        <w:adjustRightInd/>
        <w:snapToGrid/>
        <w:spacing w:line="400" w:lineRule="exact"/>
        <w:ind w:left="0"/>
        <w:jc w:val="both"/>
        <w:textAlignment w:val="auto"/>
        <w:outlineLvl w:val="9"/>
        <w:rPr>
          <w:rFonts w:hint="eastAsia" w:ascii="宋体" w:hAnsi="宋体"/>
          <w:b/>
          <w:color w:val="auto"/>
          <w:sz w:val="36"/>
          <w:szCs w:val="36"/>
        </w:rPr>
      </w:pPr>
    </w:p>
    <w:p>
      <w:pPr>
        <w:spacing w:line="600" w:lineRule="exact"/>
        <w:jc w:val="center"/>
        <w:rPr>
          <w:rFonts w:hint="eastAsia" w:ascii="宋体" w:hAnsi="宋体" w:eastAsia="方正小标宋简体" w:cs="方正小标宋简体"/>
          <w:bCs/>
          <w:sz w:val="44"/>
          <w:szCs w:val="44"/>
          <w:lang w:val="en-US" w:eastAsia="zh-CN"/>
        </w:rPr>
      </w:pPr>
      <w:r>
        <w:rPr>
          <w:rFonts w:hint="eastAsia" w:ascii="宋体" w:hAnsi="宋体" w:eastAsia="方正小标宋简体" w:cs="方正小标宋简体"/>
          <w:bCs/>
          <w:sz w:val="44"/>
          <w:szCs w:val="44"/>
          <w:lang w:val="en-US" w:eastAsia="zh-CN"/>
        </w:rPr>
        <w:t>关于伊宁市荣鑫石粉加工厂年产15万吨矿渣微粉加工项目环境影响报告表的批复</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宋体" w:hAnsi="宋体" w:eastAsia="仿宋_GB2312" w:cs="仿宋_GB2312"/>
          <w:b w:val="0"/>
          <w:bCs w:val="0"/>
          <w:color w:val="auto"/>
          <w:kern w:val="0"/>
          <w:sz w:val="32"/>
          <w:szCs w:val="32"/>
          <w:lang w:val="en-US" w:eastAsia="zh-CN" w:bidi="ar"/>
        </w:rPr>
      </w:pPr>
      <w:r>
        <w:rPr>
          <w:rFonts w:hint="eastAsia" w:ascii="宋体" w:hAnsi="宋体" w:eastAsia="仿宋_GB2312" w:cs="仿宋_GB2312"/>
          <w:b w:val="0"/>
          <w:bCs w:val="0"/>
          <w:color w:val="auto"/>
          <w:kern w:val="0"/>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伊宁市荣鑫石粉加工厂：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你公司报批的《关于伊宁市荣鑫石粉加工厂年产15万吨矿渣微粉加工项目环境影响报告表申请审批的请示》及相关附件均已收悉。经研究，批复如下：</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firstLine="616"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b w:val="0"/>
          <w:bCs w:val="0"/>
          <w:color w:val="auto"/>
          <w:spacing w:val="-6"/>
          <w:kern w:val="0"/>
          <w:sz w:val="32"/>
          <w:szCs w:val="32"/>
          <w:lang w:val="en-US" w:eastAsia="zh-CN" w:bidi="ar"/>
        </w:rPr>
        <w:t>一、拟建</w:t>
      </w:r>
      <w:r>
        <w:rPr>
          <w:rFonts w:hint="eastAsia" w:ascii="宋体" w:hAnsi="宋体" w:eastAsia="方正仿宋简体" w:cs="方正仿宋简体"/>
          <w:spacing w:val="-6"/>
          <w:sz w:val="32"/>
          <w:szCs w:val="32"/>
        </w:rPr>
        <w:t>项目位于</w:t>
      </w:r>
      <w:r>
        <w:rPr>
          <w:rFonts w:hint="eastAsia" w:ascii="宋体" w:hAnsi="宋体" w:eastAsia="方正仿宋简体" w:cs="方正仿宋简体"/>
          <w:spacing w:val="-6"/>
          <w:sz w:val="32"/>
          <w:szCs w:val="32"/>
          <w:lang w:val="en-US" w:eastAsia="zh-CN"/>
        </w:rPr>
        <w:t>伊宁市巴彦岱镇干沟村</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项目中心地理坐标</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东经</w:t>
      </w:r>
      <w:r>
        <w:rPr>
          <w:rFonts w:hint="eastAsia" w:ascii="宋体" w:hAnsi="宋体" w:eastAsia="方正仿宋简体" w:cs="方正仿宋简体"/>
          <w:spacing w:val="-6"/>
          <w:sz w:val="32"/>
          <w:szCs w:val="32"/>
          <w:lang w:val="en-US" w:eastAsia="zh-CN"/>
        </w:rPr>
        <w:t>81°11′20.355″，北纬44°0′25.556″</w:t>
      </w:r>
      <w:r>
        <w:rPr>
          <w:rFonts w:hint="eastAsia" w:ascii="宋体" w:hAnsi="宋体" w:eastAsia="方正仿宋简体" w:cs="方正仿宋简体"/>
          <w:spacing w:val="-6"/>
          <w:sz w:val="32"/>
          <w:szCs w:val="32"/>
        </w:rPr>
        <w:t>。</w:t>
      </w:r>
      <w:bookmarkStart w:id="0" w:name="_Hlk144206396"/>
      <w:r>
        <w:rPr>
          <w:rFonts w:hint="eastAsia" w:ascii="宋体" w:hAnsi="宋体" w:eastAsia="方正仿宋简体" w:cs="方正仿宋简体"/>
          <w:color w:val="000000" w:themeColor="text1"/>
          <w:kern w:val="0"/>
          <w:sz w:val="32"/>
          <w:szCs w:val="32"/>
          <w:lang w:eastAsia="zh-CN"/>
          <w14:textFill>
            <w14:solidFill>
              <w14:schemeClr w14:val="tx1"/>
            </w14:solidFill>
          </w14:textFill>
        </w:rPr>
        <w:t>项目主要建设内容为：</w:t>
      </w:r>
      <w:bookmarkEnd w:id="0"/>
      <w:r>
        <w:rPr>
          <w:rFonts w:hint="eastAsia" w:ascii="宋体" w:hAnsi="宋体" w:eastAsia="方正仿宋简体" w:cs="方正仿宋简体"/>
          <w:spacing w:val="-6"/>
          <w:sz w:val="32"/>
          <w:szCs w:val="32"/>
        </w:rPr>
        <w:t>新建2座生产车间，1台1t/h醇基燃料沸腾炉</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spacing w:val="-6"/>
          <w:sz w:val="32"/>
          <w:szCs w:val="32"/>
        </w:rPr>
        <w:t>1#</w:t>
      </w:r>
      <w:r>
        <w:rPr>
          <w:rFonts w:hint="eastAsia" w:ascii="宋体" w:hAnsi="宋体" w:eastAsia="方正仿宋简体" w:cs="方正仿宋简体"/>
          <w:spacing w:val="-6"/>
          <w:sz w:val="32"/>
          <w:szCs w:val="32"/>
          <w:lang w:eastAsia="zh-CN"/>
        </w:rPr>
        <w:t>生产车间设置</w:t>
      </w:r>
      <w:r>
        <w:rPr>
          <w:rFonts w:hint="eastAsia" w:ascii="宋体" w:hAnsi="宋体" w:eastAsia="方正仿宋简体" w:cs="方正仿宋简体"/>
          <w:spacing w:val="-6"/>
          <w:sz w:val="32"/>
          <w:szCs w:val="32"/>
          <w:lang w:val="en-US" w:eastAsia="zh-CN"/>
        </w:rPr>
        <w:t>1条8</w:t>
      </w:r>
      <w:r>
        <w:rPr>
          <w:rFonts w:hint="eastAsia" w:ascii="宋体" w:hAnsi="宋体" w:eastAsia="方正仿宋简体" w:cs="方正仿宋简体"/>
          <w:spacing w:val="-6"/>
          <w:sz w:val="32"/>
          <w:szCs w:val="32"/>
        </w:rPr>
        <w:t>万吨矿渣微粉加工生产线，</w:t>
      </w:r>
      <w:r>
        <w:rPr>
          <w:rFonts w:hint="eastAsia" w:ascii="宋体" w:hAnsi="宋体" w:eastAsia="方正仿宋简体" w:cs="方正仿宋简体"/>
          <w:spacing w:val="-6"/>
          <w:sz w:val="32"/>
          <w:szCs w:val="32"/>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spacing w:val="-6"/>
          <w:sz w:val="32"/>
          <w:szCs w:val="32"/>
          <w:lang w:eastAsia="zh-CN"/>
        </w:rPr>
        <w:t>生产车间设置</w:t>
      </w:r>
      <w:r>
        <w:rPr>
          <w:rFonts w:hint="eastAsia" w:ascii="宋体" w:hAnsi="宋体" w:eastAsia="方正仿宋简体" w:cs="方正仿宋简体"/>
          <w:spacing w:val="-6"/>
          <w:sz w:val="32"/>
          <w:szCs w:val="32"/>
          <w:lang w:val="en-US" w:eastAsia="zh-CN"/>
        </w:rPr>
        <w:t>1条7</w:t>
      </w:r>
      <w:r>
        <w:rPr>
          <w:rFonts w:hint="eastAsia" w:ascii="宋体" w:hAnsi="宋体" w:eastAsia="方正仿宋简体" w:cs="方正仿宋简体"/>
          <w:spacing w:val="-6"/>
          <w:sz w:val="32"/>
          <w:szCs w:val="32"/>
        </w:rPr>
        <w:t>万吨矿渣微粉加工生产线</w:t>
      </w:r>
      <w:r>
        <w:rPr>
          <w:rFonts w:hint="eastAsia" w:ascii="宋体" w:hAnsi="宋体" w:eastAsia="方正仿宋简体" w:cs="方正仿宋简体"/>
          <w:spacing w:val="-6"/>
          <w:sz w:val="32"/>
          <w:szCs w:val="32"/>
          <w:lang w:eastAsia="zh-CN"/>
        </w:rPr>
        <w:t>；建设</w:t>
      </w:r>
      <w:r>
        <w:rPr>
          <w:rFonts w:hint="eastAsia" w:ascii="宋体" w:hAnsi="宋体" w:eastAsia="方正仿宋简体" w:cs="方正仿宋简体"/>
          <w:spacing w:val="-6"/>
          <w:sz w:val="32"/>
          <w:szCs w:val="32"/>
        </w:rPr>
        <w:t>矿渣原料库房、封闭式烘干料筒仓</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spacing w:val="-6"/>
          <w:sz w:val="32"/>
          <w:szCs w:val="32"/>
        </w:rPr>
        <w:t>成品料筒仓</w:t>
      </w:r>
      <w:r>
        <w:rPr>
          <w:rFonts w:hint="eastAsia" w:ascii="宋体" w:hAnsi="宋体" w:eastAsia="方正仿宋简体" w:cs="方正仿宋简体"/>
          <w:spacing w:val="-6"/>
          <w:sz w:val="32"/>
          <w:szCs w:val="32"/>
          <w:lang w:eastAsia="zh-CN"/>
        </w:rPr>
        <w:t>、</w:t>
      </w:r>
      <w:r>
        <w:rPr>
          <w:rFonts w:hint="eastAsia" w:ascii="宋体" w:hAnsi="宋体" w:eastAsia="方正仿宋简体" w:cs="方正仿宋简体"/>
          <w:spacing w:val="-6"/>
          <w:sz w:val="32"/>
          <w:szCs w:val="32"/>
        </w:rPr>
        <w:t>库房</w:t>
      </w:r>
      <w:r>
        <w:rPr>
          <w:rFonts w:hint="eastAsia" w:ascii="宋体" w:hAnsi="宋体" w:eastAsia="方正仿宋简体" w:cs="方正仿宋简体"/>
          <w:spacing w:val="-6"/>
          <w:sz w:val="32"/>
          <w:szCs w:val="32"/>
          <w:lang w:eastAsia="zh-CN"/>
        </w:rPr>
        <w:t>等储运工程；</w:t>
      </w:r>
      <w:r>
        <w:rPr>
          <w:rFonts w:hint="eastAsia" w:ascii="宋体" w:hAnsi="宋体" w:eastAsia="方正仿宋简体" w:cs="方正仿宋简体"/>
          <w:spacing w:val="-6"/>
          <w:sz w:val="32"/>
          <w:szCs w:val="32"/>
        </w:rPr>
        <w:t>办公用房、职工宿舍等</w:t>
      </w:r>
      <w:r>
        <w:rPr>
          <w:rFonts w:hint="eastAsia" w:ascii="宋体" w:hAnsi="宋体" w:eastAsia="方正仿宋简体" w:cs="方正仿宋简体"/>
          <w:spacing w:val="-6"/>
          <w:sz w:val="32"/>
          <w:szCs w:val="32"/>
          <w:lang w:eastAsia="zh-CN"/>
        </w:rPr>
        <w:t>辅助工程</w:t>
      </w:r>
      <w:r>
        <w:rPr>
          <w:rFonts w:hint="eastAsia" w:ascii="宋体" w:hAnsi="宋体" w:eastAsia="方正仿宋简体" w:cs="方正仿宋简体"/>
          <w:spacing w:val="-6"/>
          <w:sz w:val="32"/>
          <w:szCs w:val="32"/>
        </w:rPr>
        <w:t>，</w:t>
      </w:r>
      <w:r>
        <w:rPr>
          <w:rFonts w:hint="eastAsia" w:ascii="宋体" w:hAnsi="宋体" w:eastAsia="方正仿宋简体" w:cs="方正仿宋简体"/>
          <w:color w:val="000000" w:themeColor="text1"/>
          <w:kern w:val="0"/>
          <w:sz w:val="32"/>
          <w:szCs w:val="32"/>
          <w:lang w:val="en-US" w:eastAsia="zh-CN"/>
          <w14:textFill>
            <w14:solidFill>
              <w14:schemeClr w14:val="tx1"/>
            </w14:solidFill>
          </w14:textFill>
        </w:rPr>
        <w:t>供水、供电、供热、排水等公用工程；废气、废水、固废、噪声治理等环保工程</w:t>
      </w:r>
      <w:r>
        <w:rPr>
          <w:rFonts w:hint="eastAsia" w:ascii="宋体" w:hAnsi="宋体" w:eastAsia="方正仿宋简体" w:cs="方正仿宋简体"/>
          <w:snapToGrid w:val="0"/>
          <w:spacing w:val="-6"/>
          <w:sz w:val="32"/>
          <w:szCs w:val="32"/>
          <w:lang w:val="en-US" w:eastAsia="zh-CN"/>
        </w:rPr>
        <w:t>。项目建设性质为新建，项目</w:t>
      </w:r>
      <w:r>
        <w:rPr>
          <w:rFonts w:hint="eastAsia" w:ascii="宋体" w:hAnsi="宋体" w:eastAsia="方正仿宋简体" w:cs="方正仿宋简体"/>
          <w:sz w:val="32"/>
          <w:szCs w:val="32"/>
        </w:rPr>
        <w:t>总占地面积</w:t>
      </w:r>
      <w:r>
        <w:rPr>
          <w:rFonts w:hint="eastAsia" w:ascii="宋体" w:hAnsi="宋体" w:eastAsia="方正仿宋简体" w:cs="方正仿宋简体"/>
          <w:spacing w:val="-6"/>
          <w:sz w:val="32"/>
          <w:szCs w:val="32"/>
          <w:lang w:val="en-US" w:eastAsia="zh-CN"/>
        </w:rPr>
        <w:t>20000</w:t>
      </w:r>
      <w:r>
        <w:rPr>
          <w:rFonts w:hint="eastAsia" w:ascii="宋体" w:hAnsi="宋体" w:eastAsia="方正仿宋简体" w:cs="方正仿宋简体"/>
          <w:sz w:val="32"/>
          <w:szCs w:val="32"/>
          <w:lang w:val="en-US" w:eastAsia="zh-CN"/>
        </w:rPr>
        <w:t>m</w:t>
      </w:r>
      <w:r>
        <w:rPr>
          <w:rFonts w:hint="eastAsia" w:ascii="宋体" w:hAnsi="宋体" w:eastAsia="方正仿宋简体" w:cs="方正仿宋简体"/>
          <w:sz w:val="32"/>
          <w:szCs w:val="32"/>
          <w:vertAlign w:val="superscript"/>
          <w:lang w:val="en-US" w:eastAsia="zh-CN"/>
        </w:rPr>
        <w:t>2</w:t>
      </w:r>
      <w:r>
        <w:rPr>
          <w:rFonts w:hint="eastAsia" w:ascii="宋体" w:hAnsi="宋体" w:eastAsia="方正仿宋简体" w:cs="方正仿宋简体"/>
          <w:spacing w:val="-6"/>
          <w:sz w:val="32"/>
          <w:szCs w:val="32"/>
        </w:rPr>
        <w:t>。</w:t>
      </w:r>
      <w:r>
        <w:rPr>
          <w:rFonts w:hint="eastAsia" w:ascii="宋体" w:hAnsi="宋体" w:eastAsia="方正仿宋简体" w:cs="方正仿宋简体"/>
          <w:b w:val="0"/>
          <w:bCs w:val="0"/>
          <w:color w:val="auto"/>
          <w:spacing w:val="-6"/>
          <w:kern w:val="0"/>
          <w:sz w:val="32"/>
          <w:szCs w:val="32"/>
          <w:lang w:val="en-US" w:eastAsia="zh-CN" w:bidi="ar"/>
        </w:rPr>
        <w:t>项目总投资2500万元，环保投资54.5万元，占总投资的2.18%。</w:t>
      </w:r>
    </w:p>
    <w:p>
      <w:pPr>
        <w:pStyle w:val="2"/>
        <w:keepNext w:val="0"/>
        <w:keepLines w:val="0"/>
        <w:pageBreakBefore w:val="0"/>
        <w:numPr>
          <w:ilvl w:val="0"/>
          <w:numId w:val="0"/>
        </w:numPr>
        <w:kinsoku/>
        <w:wordWrap/>
        <w:overflowPunct/>
        <w:topLinePunct w:val="0"/>
        <w:autoSpaceDE/>
        <w:autoSpaceDN/>
        <w:bidi w:val="0"/>
        <w:adjustRightInd/>
        <w:snapToGrid/>
        <w:spacing w:after="0" w:line="54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eastAsia="zh-CN"/>
        </w:rPr>
        <w:t>本</w:t>
      </w:r>
      <w:r>
        <w:rPr>
          <w:rFonts w:hint="eastAsia" w:ascii="宋体" w:hAnsi="宋体" w:eastAsia="方正仿宋简体" w:cs="方正仿宋简体"/>
          <w:sz w:val="32"/>
          <w:szCs w:val="32"/>
        </w:rPr>
        <w:t>项目环境影响评价文件未经批准即擅自建设，违反了《中华人民共和国环境保护法》《中华人民共和国环境影响评价法》《建设项目环境保护管理条例》的有关规定</w:t>
      </w:r>
      <w:r>
        <w:rPr>
          <w:rFonts w:hint="eastAsia" w:ascii="宋体" w:hAnsi="宋体" w:eastAsia="方正仿宋简体" w:cs="方正仿宋简体"/>
          <w:sz w:val="32"/>
          <w:szCs w:val="32"/>
          <w:lang w:eastAsia="zh-CN"/>
        </w:rPr>
        <w:t>，</w:t>
      </w:r>
      <w:r>
        <w:rPr>
          <w:rFonts w:hint="eastAsia" w:ascii="宋体" w:hAnsi="宋体" w:eastAsia="方正仿宋简体" w:cs="方正仿宋简体"/>
          <w:sz w:val="32"/>
          <w:szCs w:val="32"/>
        </w:rPr>
        <w:t>违法行为已</w:t>
      </w:r>
      <w:r>
        <w:rPr>
          <w:rFonts w:hint="eastAsia" w:ascii="宋体" w:hAnsi="宋体" w:eastAsia="方正仿宋简体" w:cs="方正仿宋简体"/>
          <w:sz w:val="32"/>
          <w:szCs w:val="32"/>
          <w:lang w:eastAsia="zh-CN"/>
        </w:rPr>
        <w:t>由</w:t>
      </w:r>
      <w:r>
        <w:rPr>
          <w:rFonts w:hint="eastAsia" w:ascii="宋体" w:hAnsi="宋体" w:eastAsia="方正仿宋简体" w:cs="方正仿宋简体"/>
          <w:sz w:val="32"/>
          <w:szCs w:val="32"/>
          <w:lang w:val="en-US" w:eastAsia="zh-CN"/>
        </w:rPr>
        <w:t>伊犁州生态环境局伊宁市分局</w:t>
      </w:r>
      <w:r>
        <w:rPr>
          <w:rFonts w:hint="eastAsia" w:ascii="宋体" w:hAnsi="宋体" w:eastAsia="方正仿宋简体" w:cs="方正仿宋简体"/>
          <w:sz w:val="32"/>
          <w:szCs w:val="32"/>
        </w:rPr>
        <w:t>查处。你公司必须认真汲取教训，增强守法意识，杜绝违法行为再次发生。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二、根据新疆众科咨询有限公司编制的《伊宁市荣鑫石粉加工厂年产15万吨矿渣微粉加工项目环境影响报告表》（以下简称《报告表》），在全面落实《报告表》提出的各项环境保护措施后，项目建设对环境产生的不利影响可以缓解和控制。从环境保护的角度，我局原则同意按照《报告表》中所列建设项目的性质、规模、地点和拟采取的环境保护措施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三、在项目运行过程中要严格落实《报告表》中提出的各项环保措施和建议，严格执行环保“三同时”制度，确保污染物稳定达标排放，并达到以下要求：</w:t>
      </w:r>
    </w:p>
    <w:p>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宋体" w:hAnsi="宋体" w:eastAsia="方正仿宋简体" w:cs="方正仿宋简体"/>
          <w:b w:val="0"/>
          <w:bCs w:val="0"/>
          <w:color w:val="auto"/>
          <w:kern w:val="0"/>
          <w:sz w:val="32"/>
          <w:szCs w:val="32"/>
          <w:lang w:val="en-GB" w:eastAsia="zh-CN" w:bidi="ar"/>
        </w:rPr>
      </w:pPr>
      <w:r>
        <w:rPr>
          <w:rFonts w:hint="eastAsia" w:ascii="宋体" w:hAnsi="宋体" w:eastAsia="方正仿宋简体" w:cs="方正仿宋简体"/>
          <w:b w:val="0"/>
          <w:bCs w:val="0"/>
          <w:color w:val="auto"/>
          <w:kern w:val="0"/>
          <w:sz w:val="32"/>
          <w:szCs w:val="32"/>
          <w:lang w:val="en-GB" w:eastAsia="zh-CN" w:bidi="ar"/>
        </w:rPr>
        <w:t>（一）</w:t>
      </w:r>
      <w:r>
        <w:rPr>
          <w:rFonts w:hint="eastAsia" w:ascii="宋体" w:hAnsi="宋体" w:eastAsia="方正仿宋简体" w:cs="方正仿宋简体"/>
          <w:b w:val="0"/>
          <w:bCs w:val="0"/>
          <w:color w:val="auto"/>
          <w:kern w:val="0"/>
          <w:sz w:val="32"/>
          <w:szCs w:val="32"/>
          <w:lang w:val="en-US" w:eastAsia="zh-CN" w:bidi="ar"/>
        </w:rPr>
        <w:t>严格落实施工期各项环保措施。加强施工期环境保护管理工作，防止施工期扬尘、废水、固体废物和噪声对周围环境产生不利影响，严格控制施工占地，施工结束后及时进行迹地恢复。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宋体" w:hAnsi="宋体" w:eastAsia="方正仿宋简体" w:cs="方正仿宋简体"/>
          <w:b w:val="0"/>
          <w:bCs w:val="0"/>
          <w:kern w:val="0"/>
          <w:sz w:val="32"/>
          <w:szCs w:val="32"/>
          <w:lang w:val="en-US" w:eastAsia="zh-CN" w:bidi="ar"/>
        </w:rPr>
      </w:pPr>
      <w:r>
        <w:rPr>
          <w:rFonts w:hint="eastAsia" w:ascii="宋体" w:hAnsi="宋体" w:eastAsia="方正仿宋简体" w:cs="方正仿宋简体"/>
          <w:b w:val="0"/>
          <w:bCs w:val="0"/>
          <w:color w:val="auto"/>
          <w:kern w:val="0"/>
          <w:sz w:val="32"/>
          <w:szCs w:val="32"/>
          <w:lang w:val="en-GB" w:eastAsia="zh-CN" w:bidi="ar"/>
        </w:rPr>
        <w:t>（二）</w:t>
      </w:r>
      <w:r>
        <w:rPr>
          <w:rFonts w:hint="eastAsia" w:ascii="宋体" w:hAnsi="宋体" w:eastAsia="方正仿宋简体" w:cs="方正仿宋简体"/>
          <w:b w:val="0"/>
          <w:bCs w:val="0"/>
          <w:kern w:val="0"/>
          <w:sz w:val="32"/>
          <w:szCs w:val="32"/>
          <w:lang w:val="en-US" w:eastAsia="zh-CN" w:bidi="ar"/>
        </w:rPr>
        <w:t>严格落实各项大气污染防治措</w:t>
      </w:r>
      <w:r>
        <w:rPr>
          <w:rFonts w:hint="eastAsia" w:ascii="宋体" w:hAnsi="宋体" w:eastAsia="方正仿宋简体" w:cs="方正仿宋简体"/>
          <w:b w:val="0"/>
          <w:bCs w:val="0"/>
          <w:color w:val="auto"/>
          <w:kern w:val="0"/>
          <w:sz w:val="32"/>
          <w:szCs w:val="32"/>
          <w:lang w:val="en-US" w:eastAsia="zh-CN" w:bidi="ar"/>
        </w:rPr>
        <w:t>施。</w:t>
      </w:r>
      <w:bookmarkStart w:id="1" w:name="_Hlk144139558"/>
      <w:r>
        <w:rPr>
          <w:rFonts w:hint="eastAsia" w:ascii="宋体" w:hAnsi="宋体" w:eastAsia="方正仿宋简体" w:cs="方正仿宋简体"/>
          <w:b w:val="0"/>
          <w:bCs w:val="0"/>
          <w:color w:val="auto"/>
          <w:kern w:val="0"/>
          <w:sz w:val="32"/>
          <w:szCs w:val="32"/>
          <w:lang w:val="en-US" w:eastAsia="zh-CN" w:bidi="ar"/>
        </w:rPr>
        <w:t>沸腾炉废气经低氮燃烧器+高效布袋除尘器处后通过8m高排气筒排放；1#、2#粉磨废气分别经集气罩+高效布袋除尘器处后通过15m高排气筒排放；3座烘干料筒仓顶部均设置布袋除尘器，处理后废气经过仓顶排放口排放；4座成品料筒仓顶部均设置布袋除尘器，处理后废气经过仓顶排放口排放。粉磨废气、料筒仓废气执行《水泥工业大气污染物排放标准》（GB94915-2013）表1排放限值，无组织颗粒物执行《水泥工业大气污染物排放标准》（GB94915-2013）表3排放限值；沸腾炉废气执行《锅炉大气污染物排放标准》(GB13271-2014)中表2燃油锅炉排放限值；项</w:t>
      </w:r>
      <w:r>
        <w:rPr>
          <w:rFonts w:hint="eastAsia" w:ascii="宋体" w:hAnsi="宋体" w:eastAsia="方正仿宋简体" w:cs="方正仿宋简体"/>
          <w:b w:val="0"/>
          <w:bCs w:val="0"/>
          <w:kern w:val="0"/>
          <w:sz w:val="32"/>
          <w:szCs w:val="32"/>
          <w:lang w:val="en-US" w:eastAsia="zh-CN" w:bidi="ar"/>
        </w:rPr>
        <w:t>目区无组织非甲烷总烃执行《挥发性有机物无组织排放控制标准》（GB37822-2019）中表 A.1 规定的排放限值，厂界非甲烷总烃执行《大气污染物综合排放标准》(GB16297—1996)。</w:t>
      </w:r>
    </w:p>
    <w:bookmarkEnd w:id="1"/>
    <w:p>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（三）</w:t>
      </w:r>
      <w:r>
        <w:rPr>
          <w:rFonts w:hint="eastAsia" w:ascii="宋体" w:hAnsi="宋体" w:eastAsia="方正仿宋简体" w:cs="方正仿宋简体"/>
          <w:color w:val="auto"/>
          <w:kern w:val="2"/>
          <w:sz w:val="32"/>
          <w:szCs w:val="32"/>
          <w:lang w:val="en-US" w:eastAsia="zh-CN" w:bidi="ar-SA"/>
        </w:rPr>
        <w:t>严格落实各项废水治理措施。车辆冲洗水经沉淀池处理后回用于车辆冲洗；工艺冷却水循环使用；喷淋抑尘水全部蒸发损耗；生活污水经防渗化粪池处理满足《污水综合排放标准》（GB8978-1996）表4中三级排放限值后，由吸污车定期清运至伊宁市西区污水处理厂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（四）严格落实各项噪声治理措施。</w:t>
      </w:r>
      <w:r>
        <w:rPr>
          <w:rFonts w:hint="eastAsia" w:ascii="宋体" w:hAnsi="宋体" w:eastAsia="方正仿宋简体" w:cs="方正仿宋简体"/>
          <w:color w:val="auto"/>
          <w:sz w:val="32"/>
          <w:szCs w:val="32"/>
          <w:lang w:val="en-US" w:eastAsia="zh-CN"/>
        </w:rPr>
        <w:t>选择低噪声设备</w:t>
      </w:r>
      <w:r>
        <w:rPr>
          <w:rFonts w:hint="eastAsia" w:ascii="宋体" w:hAnsi="宋体" w:eastAsia="方正仿宋简体" w:cs="方正仿宋简体"/>
          <w:color w:val="auto"/>
          <w:sz w:val="32"/>
          <w:szCs w:val="32"/>
        </w:rPr>
        <w:t>，</w:t>
      </w:r>
      <w:r>
        <w:rPr>
          <w:rFonts w:hint="eastAsia" w:ascii="宋体" w:hAnsi="宋体" w:eastAsia="方正仿宋简体" w:cs="方正仿宋简体"/>
          <w:color w:val="auto"/>
          <w:sz w:val="32"/>
          <w:szCs w:val="32"/>
          <w:lang w:eastAsia="zh-CN"/>
        </w:rPr>
        <w:t>采取</w:t>
      </w:r>
      <w:r>
        <w:rPr>
          <w:rFonts w:hint="eastAsia" w:ascii="宋体" w:hAnsi="宋体" w:eastAsia="方正仿宋简体" w:cs="方正仿宋简体"/>
          <w:color w:val="auto"/>
          <w:sz w:val="32"/>
          <w:szCs w:val="32"/>
        </w:rPr>
        <w:t>减震等措施</w:t>
      </w:r>
      <w:r>
        <w:rPr>
          <w:rFonts w:hint="eastAsia" w:ascii="宋体" w:hAnsi="宋体" w:eastAsia="方正仿宋简体" w:cs="方正仿宋简体"/>
          <w:color w:val="auto"/>
          <w:sz w:val="32"/>
          <w:szCs w:val="32"/>
          <w:lang w:eastAsia="zh-CN"/>
        </w:rPr>
        <w:t>。</w:t>
      </w:r>
      <w:r>
        <w:rPr>
          <w:rFonts w:hint="eastAsia" w:ascii="宋体" w:hAnsi="宋体" w:eastAsia="方正仿宋简体" w:cs="方正仿宋简体"/>
          <w:color w:val="auto"/>
          <w:sz w:val="32"/>
          <w:szCs w:val="32"/>
        </w:rPr>
        <w:t>厂界噪声排放执行《工业企业厂界环境噪声排放标准》（GB12348-2008）中</w:t>
      </w:r>
      <w:r>
        <w:rPr>
          <w:rFonts w:hint="eastAsia" w:ascii="宋体" w:hAnsi="宋体" w:eastAsia="方正仿宋简体" w:cs="方正仿宋简体"/>
          <w:color w:val="auto"/>
          <w:sz w:val="32"/>
          <w:szCs w:val="32"/>
          <w:lang w:val="en-US" w:eastAsia="zh-CN"/>
        </w:rPr>
        <w:t>2</w:t>
      </w:r>
      <w:r>
        <w:rPr>
          <w:rFonts w:hint="eastAsia" w:ascii="宋体" w:hAnsi="宋体" w:eastAsia="方正仿宋简体" w:cs="方正仿宋简体"/>
          <w:color w:val="auto"/>
          <w:sz w:val="32"/>
          <w:szCs w:val="32"/>
        </w:rPr>
        <w:t>类标准。</w:t>
      </w:r>
    </w:p>
    <w:p>
      <w:pPr>
        <w:pStyle w:val="23"/>
        <w:keepNext w:val="0"/>
        <w:keepLines w:val="0"/>
        <w:pageBreakBefore w:val="0"/>
        <w:kinsoku/>
        <w:wordWrap/>
        <w:overflowPunct/>
        <w:topLinePunct w:val="0"/>
        <w:autoSpaceDE/>
        <w:autoSpaceDN/>
        <w:bidi w:val="0"/>
        <w:adjustRightInd/>
        <w:snapToGrid w:val="0"/>
        <w:spacing w:line="560" w:lineRule="exact"/>
        <w:ind w:left="0" w:leftChars="0" w:firstLine="480"/>
        <w:textAlignment w:val="auto"/>
        <w:rPr>
          <w:rFonts w:hint="eastAsia" w:ascii="宋体" w:hAnsi="宋体" w:eastAsia="方正仿宋简体" w:cs="方正仿宋简体"/>
          <w:color w:val="auto"/>
          <w:sz w:val="32"/>
          <w:szCs w:val="32"/>
        </w:rPr>
      </w:pPr>
      <w:r>
        <w:rPr>
          <w:rFonts w:hint="eastAsia" w:ascii="宋体" w:hAnsi="宋体" w:eastAsia="方正仿宋简体" w:cs="方正仿宋简体"/>
          <w:b w:val="0"/>
          <w:bCs w:val="0"/>
          <w:color w:val="auto"/>
          <w:kern w:val="0"/>
          <w:sz w:val="32"/>
          <w:szCs w:val="32"/>
          <w:lang w:val="en-US" w:eastAsia="zh-CN" w:bidi="ar"/>
        </w:rPr>
        <w:t>（五）加强固体废物收集、贮存、综合利用和处置工作。生活垃圾收集后由环卫部门定期清运；磁选工序产生的含铁废料外售废品回收站；沉渣和收尘灰回用于生产；废润滑油、废润滑油桶暂存于危废暂存间，定期交由有资质单位处置。一般工业固体废物处置执行《一般工业固体废物贮存和填埋污染控制标准》（GB18599—2020）的规定，危险废物处置执行《危险废物贮存污染控制标准》（GB18597-2023）的规定。</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四、项目运行期必须严格执行区域污染物排放总量控制要求，确保项目实施后各类污染物排放总量控制在核定的指标内且稳定达标排放。</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rPr>
          <w:rFonts w:hint="eastAsia" w:ascii="宋体" w:hAnsi="宋体" w:eastAsia="方正仿宋简体" w:cs="方正仿宋简体"/>
          <w:bCs/>
          <w:color w:val="000000"/>
          <w:sz w:val="32"/>
          <w:szCs w:val="32"/>
        </w:rPr>
      </w:pPr>
      <w:r>
        <w:rPr>
          <w:rFonts w:hint="eastAsia" w:ascii="宋体" w:hAnsi="宋体" w:eastAsia="方正仿宋简体" w:cs="方正仿宋简体"/>
          <w:b w:val="0"/>
          <w:bCs w:val="0"/>
          <w:color w:val="auto"/>
          <w:kern w:val="0"/>
          <w:sz w:val="32"/>
          <w:szCs w:val="32"/>
          <w:lang w:val="en-US" w:eastAsia="zh-CN" w:bidi="ar"/>
        </w:rPr>
        <w:t>五、</w:t>
      </w:r>
      <w:r>
        <w:rPr>
          <w:rFonts w:hint="eastAsia" w:ascii="宋体" w:hAnsi="宋体" w:eastAsia="方正仿宋简体" w:cs="方正仿宋简体"/>
          <w:color w:val="000000" w:themeColor="text1"/>
          <w:kern w:val="0"/>
          <w:sz w:val="32"/>
          <w:szCs w:val="32"/>
          <w14:textFill>
            <w14:solidFill>
              <w14:schemeClr w14:val="tx1"/>
            </w14:solidFill>
          </w14:textFill>
        </w:rPr>
        <w:t>运营期的环境监督管理由</w:t>
      </w:r>
      <w:r>
        <w:rPr>
          <w:rFonts w:hint="eastAsia" w:ascii="宋体" w:hAnsi="宋体" w:eastAsia="方正仿宋简体" w:cs="方正仿宋简体"/>
          <w:color w:val="000000" w:themeColor="text1"/>
          <w:sz w:val="32"/>
          <w:szCs w:val="32"/>
          <w:lang w:eastAsia="zh-CN"/>
          <w14:textFill>
            <w14:solidFill>
              <w14:schemeClr w14:val="tx1"/>
            </w14:solidFill>
          </w14:textFill>
        </w:rPr>
        <w:t>伊宁市分局</w:t>
      </w:r>
      <w:r>
        <w:rPr>
          <w:rFonts w:hint="eastAsia" w:ascii="宋体" w:hAnsi="宋体" w:eastAsia="方正仿宋简体" w:cs="方正仿宋简体"/>
          <w:color w:val="000000" w:themeColor="text1"/>
          <w:kern w:val="0"/>
          <w:sz w:val="32"/>
          <w:szCs w:val="32"/>
          <w14:textFill>
            <w14:solidFill>
              <w14:schemeClr w14:val="tx1"/>
            </w14:solidFill>
          </w14:textFill>
        </w:rPr>
        <w:t>负责，</w:t>
      </w:r>
      <w:r>
        <w:rPr>
          <w:rFonts w:hint="eastAsia" w:ascii="宋体" w:hAnsi="宋体" w:eastAsia="方正仿宋简体" w:cs="方正仿宋简体"/>
          <w:color w:val="000000" w:themeColor="text1"/>
          <w:sz w:val="32"/>
          <w:szCs w:val="32"/>
          <w14:textFill>
            <w14:solidFill>
              <w14:schemeClr w14:val="tx1"/>
            </w14:solidFill>
          </w14:textFill>
        </w:rPr>
        <w:t>州生态环境保护综合行政执法支队</w:t>
      </w:r>
      <w:r>
        <w:rPr>
          <w:rFonts w:hint="eastAsia" w:ascii="宋体" w:hAnsi="宋体" w:eastAsia="方正仿宋简体" w:cs="方正仿宋简体"/>
          <w:color w:val="000000" w:themeColor="text1"/>
          <w:kern w:val="0"/>
          <w:sz w:val="32"/>
          <w:szCs w:val="32"/>
          <w14:textFill>
            <w14:solidFill>
              <w14:schemeClr w14:val="tx1"/>
            </w14:solidFill>
          </w14:textFill>
        </w:rPr>
        <w:t>不定期进行抽查。</w:t>
      </w:r>
      <w:r>
        <w:rPr>
          <w:rFonts w:hint="eastAsia" w:ascii="宋体" w:hAnsi="宋体" w:eastAsia="方正仿宋简体" w:cs="方正仿宋简体"/>
          <w:color w:val="000000"/>
          <w:sz w:val="32"/>
          <w:szCs w:val="32"/>
        </w:rPr>
        <w:t>项目竣工后，应按规定程序开展项目竣工环境保护验收，经验收合格后，方可正式投入运营。工程建设的地点、性质、规模、污染防治、防止生态破坏措施如有重大变化，须报我局重新审批。自环评批复文件批准之日起，如工程超过5年开工建设，环境影响评价文件应当报我局重新审核。</w:t>
      </w:r>
    </w:p>
    <w:p>
      <w:pPr>
        <w:pStyle w:val="13"/>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color w:val="000000" w:themeColor="text1"/>
          <w:kern w:val="0"/>
          <w:sz w:val="32"/>
          <w:szCs w:val="32"/>
          <w:lang w:eastAsia="zh-CN"/>
          <w14:textFill>
            <w14:solidFill>
              <w14:schemeClr w14:val="tx1"/>
            </w14:solidFill>
          </w14:textFill>
        </w:rPr>
        <w:t>六</w:t>
      </w:r>
      <w:r>
        <w:rPr>
          <w:rFonts w:hint="eastAsia" w:ascii="宋体" w:hAnsi="宋体" w:eastAsia="方正仿宋简体" w:cs="方正仿宋简体"/>
          <w:color w:val="000000" w:themeColor="text1"/>
          <w:kern w:val="0"/>
          <w:sz w:val="32"/>
          <w:szCs w:val="32"/>
          <w14:textFill>
            <w14:solidFill>
              <w14:schemeClr w14:val="tx1"/>
            </w14:solidFill>
          </w14:textFill>
        </w:rPr>
        <w:t>、</w:t>
      </w:r>
      <w:r>
        <w:rPr>
          <w:rFonts w:hint="eastAsia" w:ascii="宋体" w:hAnsi="宋体" w:eastAsia="方正仿宋简体" w:cs="方正仿宋简体"/>
          <w:color w:val="000000" w:themeColor="text1"/>
          <w:sz w:val="32"/>
          <w:szCs w:val="32"/>
          <w14:textFill>
            <w14:solidFill>
              <w14:schemeClr w14:val="tx1"/>
            </w14:solidFill>
          </w14:textFill>
        </w:rPr>
        <w:t>你单位应在收到本批复后20个工作日内，将批准后的《报告表》送</w:t>
      </w:r>
      <w:r>
        <w:rPr>
          <w:rFonts w:hint="eastAsia" w:ascii="宋体" w:hAnsi="宋体" w:eastAsia="方正仿宋简体" w:cs="方正仿宋简体"/>
          <w:color w:val="000000" w:themeColor="text1"/>
          <w:sz w:val="32"/>
          <w:szCs w:val="32"/>
          <w:lang w:eastAsia="zh-CN"/>
          <w14:textFill>
            <w14:solidFill>
              <w14:schemeClr w14:val="tx1"/>
            </w14:solidFill>
          </w14:textFill>
        </w:rPr>
        <w:t>伊宁市</w:t>
      </w:r>
      <w:r>
        <w:rPr>
          <w:rFonts w:hint="eastAsia" w:ascii="宋体" w:hAnsi="宋体" w:eastAsia="方正仿宋简体" w:cs="方正仿宋简体"/>
          <w:color w:val="000000" w:themeColor="text1"/>
          <w:sz w:val="32"/>
          <w:szCs w:val="32"/>
          <w14:textFill>
            <w14:solidFill>
              <w14:schemeClr w14:val="tx1"/>
            </w14:solidFill>
          </w14:textFill>
        </w:rPr>
        <w:t xml:space="preserve">分局，并按规定接受各级生态环境行政主管部门的监督检查。  </w:t>
      </w:r>
    </w:p>
    <w:p>
      <w:pPr>
        <w:pStyle w:val="23"/>
        <w:keepNext w:val="0"/>
        <w:keepLines w:val="0"/>
        <w:pageBreakBefore w:val="0"/>
        <w:kinsoku/>
        <w:wordWrap w:val="0"/>
        <w:overflowPunct/>
        <w:topLinePunct w:val="0"/>
        <w:autoSpaceDE/>
        <w:autoSpaceDN/>
        <w:bidi w:val="0"/>
        <w:adjustRightInd/>
        <w:snapToGrid w:val="0"/>
        <w:spacing w:line="560" w:lineRule="exact"/>
        <w:ind w:left="0" w:leftChars="0" w:firstLine="480"/>
        <w:jc w:val="both"/>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（此件社会公开）</w:t>
      </w:r>
      <w:bookmarkStart w:id="2" w:name="_GoBack"/>
      <w:bookmarkEnd w:id="2"/>
    </w:p>
    <w:p>
      <w:pPr>
        <w:pStyle w:val="23"/>
        <w:keepNext w:val="0"/>
        <w:keepLines w:val="0"/>
        <w:pageBreakBefore w:val="0"/>
        <w:kinsoku/>
        <w:wordWrap w:val="0"/>
        <w:overflowPunct/>
        <w:topLinePunct w:val="0"/>
        <w:autoSpaceDE/>
        <w:autoSpaceDN/>
        <w:bidi w:val="0"/>
        <w:adjustRightInd/>
        <w:snapToGrid w:val="0"/>
        <w:spacing w:line="560" w:lineRule="exact"/>
        <w:ind w:left="0" w:leftChars="0" w:firstLine="480"/>
        <w:jc w:val="center"/>
        <w:textAlignment w:val="auto"/>
        <w:rPr>
          <w:rFonts w:hint="eastAsia" w:ascii="宋体" w:hAnsi="宋体" w:eastAsia="方正仿宋简体" w:cs="方正仿宋简体"/>
          <w:b w:val="0"/>
          <w:bCs w:val="0"/>
          <w:color w:val="auto"/>
          <w:kern w:val="0"/>
          <w:sz w:val="32"/>
          <w:szCs w:val="32"/>
          <w:lang w:val="en-US" w:eastAsia="zh-CN" w:bidi="ar"/>
        </w:rPr>
      </w:pPr>
    </w:p>
    <w:p>
      <w:pPr>
        <w:pStyle w:val="23"/>
        <w:keepNext w:val="0"/>
        <w:keepLines w:val="0"/>
        <w:pageBreakBefore w:val="0"/>
        <w:kinsoku/>
        <w:wordWrap w:val="0"/>
        <w:overflowPunct/>
        <w:topLinePunct w:val="0"/>
        <w:autoSpaceDE/>
        <w:autoSpaceDN/>
        <w:bidi w:val="0"/>
        <w:adjustRightInd/>
        <w:snapToGrid w:val="0"/>
        <w:spacing w:line="560" w:lineRule="exact"/>
        <w:ind w:left="0" w:leftChars="0" w:firstLine="480"/>
        <w:jc w:val="center"/>
        <w:textAlignment w:val="auto"/>
        <w:rPr>
          <w:rFonts w:hint="eastAsia" w:ascii="宋体" w:hAnsi="宋体" w:eastAsia="方正仿宋简体" w:cs="方正仿宋简体"/>
          <w:b w:val="0"/>
          <w:bCs w:val="0"/>
          <w:color w:val="auto"/>
          <w:kern w:val="0"/>
          <w:sz w:val="32"/>
          <w:szCs w:val="32"/>
          <w:lang w:val="en-US" w:eastAsia="zh-CN" w:bidi="ar"/>
        </w:rPr>
      </w:pPr>
      <w:r>
        <w:rPr>
          <w:rFonts w:hint="eastAsia" w:ascii="宋体" w:hAnsi="宋体" w:eastAsia="方正仿宋简体" w:cs="方正仿宋简体"/>
          <w:b w:val="0"/>
          <w:bCs w:val="0"/>
          <w:color w:val="auto"/>
          <w:kern w:val="0"/>
          <w:sz w:val="32"/>
          <w:szCs w:val="32"/>
          <w:lang w:val="en-US" w:eastAsia="zh-CN" w:bidi="ar"/>
        </w:rPr>
        <w:t xml:space="preserve">                   2024年4月3日    </w:t>
      </w:r>
    </w:p>
    <w:p>
      <w:pPr>
        <w:pStyle w:val="23"/>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方正仿宋简体" w:cs="方正仿宋简体"/>
          <w:b w:val="0"/>
          <w:bCs w:val="0"/>
          <w:color w:val="auto"/>
          <w:kern w:val="0"/>
          <w:sz w:val="32"/>
          <w:szCs w:val="32"/>
          <w:lang w:val="en-US" w:eastAsia="zh-CN" w:bidi="ar"/>
        </w:rPr>
      </w:pPr>
    </w:p>
    <w:p>
      <w:pPr>
        <w:pStyle w:val="23"/>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方正仿宋简体" w:cs="方正仿宋简体"/>
          <w:b w:val="0"/>
          <w:bCs w:val="0"/>
          <w:color w:val="auto"/>
          <w:kern w:val="0"/>
          <w:sz w:val="32"/>
          <w:szCs w:val="32"/>
          <w:lang w:val="en-US" w:eastAsia="zh-CN" w:bidi="ar"/>
        </w:rPr>
      </w:pPr>
    </w:p>
    <w:p>
      <w:pPr>
        <w:pStyle w:val="23"/>
        <w:keepNext w:val="0"/>
        <w:keepLines w:val="0"/>
        <w:pageBreakBefore w:val="0"/>
        <w:kinsoku/>
        <w:wordWrap/>
        <w:overflowPunct/>
        <w:topLinePunct w:val="0"/>
        <w:autoSpaceDE/>
        <w:autoSpaceDN/>
        <w:bidi w:val="0"/>
        <w:adjustRightInd/>
        <w:snapToGrid w:val="0"/>
        <w:spacing w:line="560" w:lineRule="exact"/>
        <w:ind w:left="0" w:leftChars="0" w:firstLine="480"/>
        <w:jc w:val="right"/>
        <w:textAlignment w:val="auto"/>
        <w:rPr>
          <w:rFonts w:hint="eastAsia" w:ascii="宋体" w:hAnsi="宋体" w:eastAsia="仿宋_GB2312" w:cs="仿宋_GB2312"/>
          <w:b w:val="0"/>
          <w:bCs w:val="0"/>
          <w:color w:val="auto"/>
          <w:kern w:val="0"/>
          <w:sz w:val="32"/>
          <w:szCs w:val="32"/>
          <w:lang w:val="en-US" w:eastAsia="zh-CN" w:bidi="ar"/>
        </w:rPr>
      </w:pPr>
    </w:p>
    <w:p>
      <w:pPr>
        <w:pStyle w:val="23"/>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3"/>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23"/>
        <w:keepNext w:val="0"/>
        <w:keepLines w:val="0"/>
        <w:pageBreakBefore w:val="0"/>
        <w:kinsoku/>
        <w:wordWrap/>
        <w:overflowPunct/>
        <w:topLinePunct w:val="0"/>
        <w:autoSpaceDE/>
        <w:autoSpaceDN/>
        <w:bidi w:val="0"/>
        <w:adjustRightInd/>
        <w:snapToGrid w:val="0"/>
        <w:spacing w:line="560" w:lineRule="exact"/>
        <w:ind w:left="0" w:leftChars="0" w:firstLine="0" w:firstLineChars="0"/>
        <w:jc w:val="both"/>
        <w:textAlignment w:val="auto"/>
        <w:rPr>
          <w:rFonts w:hint="eastAsia" w:ascii="宋体" w:hAnsi="宋体" w:eastAsia="仿宋_GB2312" w:cs="仿宋_GB2312"/>
          <w:b w:val="0"/>
          <w:bCs w:val="0"/>
          <w:color w:val="auto"/>
          <w:kern w:val="0"/>
          <w:sz w:val="32"/>
          <w:szCs w:val="32"/>
          <w:lang w:val="en-US" w:eastAsia="zh-CN" w:bidi="ar"/>
        </w:rPr>
      </w:pPr>
    </w:p>
    <w:p>
      <w:pPr>
        <w:pStyle w:val="9"/>
        <w:keepNext w:val="0"/>
        <w:keepLines w:val="0"/>
        <w:pageBreakBefore w:val="0"/>
        <w:widowControl w:val="0"/>
        <w:pBdr>
          <w:top w:val="single" w:color="auto" w:sz="12" w:space="1"/>
          <w:bottom w:val="single" w:color="auto" w:sz="12" w:space="1"/>
        </w:pBdr>
        <w:tabs>
          <w:tab w:val="left" w:pos="6840"/>
        </w:tabs>
        <w:kinsoku/>
        <w:wordWrap/>
        <w:overflowPunct/>
        <w:topLinePunct w:val="0"/>
        <w:autoSpaceDE/>
        <w:autoSpaceDN/>
        <w:bidi w:val="0"/>
        <w:adjustRightInd/>
        <w:snapToGrid/>
        <w:spacing w:line="520" w:lineRule="exact"/>
        <w:ind w:left="1120" w:hanging="1280" w:hangingChars="400"/>
        <w:textAlignment w:val="auto"/>
        <w:outlineLvl w:val="9"/>
        <w:rPr>
          <w:rFonts w:hint="eastAsia" w:ascii="宋体" w:hAnsi="宋体" w:eastAsia="方正仿宋简体" w:cs="方正仿宋简体"/>
          <w:b w:val="0"/>
          <w:bCs w:val="0"/>
          <w:snapToGrid w:val="0"/>
          <w:color w:val="auto"/>
          <w:kern w:val="0"/>
          <w:sz w:val="32"/>
          <w:szCs w:val="32"/>
          <w:lang w:val="en-US" w:eastAsia="zh-CN" w:bidi="ar"/>
        </w:rPr>
      </w:pP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 xml:space="preserve"> 抄送：州生态环境保护综合行政执法支队，伊犁哈萨克自治州生态环境局</w:t>
      </w:r>
      <w:r>
        <w:rPr>
          <w:rFonts w:hint="eastAsia" w:hAnsi="宋体" w:eastAsia="方正仿宋简体" w:cs="方正仿宋简体"/>
          <w:b w:val="0"/>
          <w:bCs w:val="0"/>
          <w:snapToGrid w:val="0"/>
          <w:color w:val="auto"/>
          <w:kern w:val="0"/>
          <w:sz w:val="32"/>
          <w:szCs w:val="32"/>
          <w:lang w:val="en-US" w:eastAsia="zh-CN" w:bidi="ar"/>
        </w:rPr>
        <w:t>伊宁市</w:t>
      </w:r>
      <w:r>
        <w:rPr>
          <w:rFonts w:hint="eastAsia" w:ascii="宋体" w:hAnsi="宋体" w:eastAsia="方正仿宋简体" w:cs="方正仿宋简体"/>
          <w:b w:val="0"/>
          <w:bCs w:val="0"/>
          <w:snapToGrid w:val="0"/>
          <w:color w:val="auto"/>
          <w:kern w:val="0"/>
          <w:sz w:val="32"/>
          <w:szCs w:val="32"/>
          <w:lang w:val="en-US" w:eastAsia="zh-CN" w:bidi="ar"/>
        </w:rPr>
        <w:t>分局，新疆众科咨询有限公司，本局存档。</w:t>
      </w:r>
    </w:p>
    <w:p>
      <w:pPr>
        <w:pStyle w:val="9"/>
        <w:keepNext w:val="0"/>
        <w:keepLines w:val="0"/>
        <w:pageBreakBefore w:val="0"/>
        <w:widowControl w:val="0"/>
        <w:pBdr>
          <w:bottom w:val="single" w:color="auto" w:sz="12" w:space="1"/>
          <w:between w:val="single" w:color="auto" w:sz="12" w:space="0"/>
        </w:pBdr>
        <w:tabs>
          <w:tab w:val="left" w:pos="6840"/>
        </w:tabs>
        <w:kinsoku/>
        <w:wordWrap/>
        <w:overflowPunct/>
        <w:topLinePunct w:val="0"/>
        <w:autoSpaceDE/>
        <w:autoSpaceDN/>
        <w:bidi w:val="0"/>
        <w:adjustRightInd/>
        <w:snapToGrid/>
        <w:spacing w:line="520" w:lineRule="exact"/>
        <w:ind w:firstLine="320" w:firstLineChars="100"/>
        <w:textAlignment w:val="auto"/>
        <w:outlineLvl w:val="9"/>
        <w:rPr>
          <w:rFonts w:hint="eastAsia" w:ascii="宋体" w:hAnsi="宋体" w:eastAsia="仿宋_GB2312" w:cs="仿宋_GB2312"/>
          <w:sz w:val="32"/>
          <w:szCs w:val="32"/>
        </w:rPr>
      </w:pPr>
      <w:r>
        <w:rPr>
          <w:rFonts w:hint="eastAsia" w:ascii="宋体" w:hAnsi="宋体" w:eastAsia="方正仿宋简体" w:cs="方正仿宋简体"/>
          <w:b w:val="0"/>
          <w:bCs w:val="0"/>
          <w:snapToGrid w:val="0"/>
          <w:color w:val="auto"/>
          <w:kern w:val="0"/>
          <w:sz w:val="32"/>
          <w:szCs w:val="32"/>
          <w:lang w:val="en-US" w:eastAsia="zh-CN" w:bidi="ar"/>
        </w:rPr>
        <w:t>伊犁哈萨克自治州生态环境局</w:t>
      </w:r>
      <w:r>
        <w:rPr>
          <w:rFonts w:hint="eastAsia" w:ascii="宋体" w:hAnsi="宋体" w:eastAsia="仿宋_GB2312" w:cs="仿宋_GB2312"/>
          <w:sz w:val="32"/>
          <w:szCs w:val="32"/>
        </w:rPr>
        <w:t xml:space="preserve"> </w:t>
      </w:r>
      <w:r>
        <w:rPr>
          <w:rFonts w:hint="eastAsia" w:ascii="宋体" w:hAnsi="宋体" w:eastAsia="仿宋_GB2312" w:cs="仿宋_GB2312"/>
          <w:sz w:val="32"/>
          <w:szCs w:val="32"/>
          <w:lang w:val="en-US" w:eastAsia="zh-CN"/>
        </w:rPr>
        <w:t xml:space="preserve">      </w:t>
      </w:r>
      <w:r>
        <w:rPr>
          <w:rFonts w:hint="eastAsia" w:ascii="宋体" w:hAnsi="宋体" w:eastAsia="方正仿宋简体" w:cs="方正仿宋简体"/>
          <w:b w:val="0"/>
          <w:bCs w:val="0"/>
          <w:snapToGrid w:val="0"/>
          <w:color w:val="auto"/>
          <w:kern w:val="0"/>
          <w:sz w:val="32"/>
          <w:szCs w:val="32"/>
          <w:lang w:val="en-US" w:eastAsia="zh-CN" w:bidi="ar"/>
        </w:rPr>
        <w:t>2024年</w:t>
      </w:r>
      <w:r>
        <w:rPr>
          <w:rFonts w:hint="eastAsia" w:hAnsi="宋体" w:eastAsia="方正仿宋简体" w:cs="方正仿宋简体"/>
          <w:b w:val="0"/>
          <w:bCs w:val="0"/>
          <w:snapToGrid w:val="0"/>
          <w:color w:val="auto"/>
          <w:kern w:val="0"/>
          <w:sz w:val="32"/>
          <w:szCs w:val="32"/>
          <w:lang w:val="en-US" w:eastAsia="zh-CN" w:bidi="ar"/>
        </w:rPr>
        <w:t>4</w:t>
      </w:r>
      <w:r>
        <w:rPr>
          <w:rFonts w:hint="eastAsia" w:ascii="宋体" w:hAnsi="宋体" w:eastAsia="方正仿宋简体" w:cs="方正仿宋简体"/>
          <w:b w:val="0"/>
          <w:bCs w:val="0"/>
          <w:snapToGrid w:val="0"/>
          <w:color w:val="auto"/>
          <w:kern w:val="0"/>
          <w:sz w:val="32"/>
          <w:szCs w:val="32"/>
          <w:lang w:val="en-US" w:eastAsia="zh-CN" w:bidi="ar"/>
        </w:rPr>
        <w:t>月</w:t>
      </w:r>
      <w:r>
        <w:rPr>
          <w:rFonts w:hint="eastAsia" w:hAnsi="宋体" w:eastAsia="方正仿宋简体" w:cs="方正仿宋简体"/>
          <w:b w:val="0"/>
          <w:bCs w:val="0"/>
          <w:snapToGrid w:val="0"/>
          <w:color w:val="auto"/>
          <w:kern w:val="0"/>
          <w:sz w:val="32"/>
          <w:szCs w:val="32"/>
          <w:lang w:val="en-US" w:eastAsia="zh-CN" w:bidi="ar"/>
        </w:rPr>
        <w:t>3</w:t>
      </w:r>
      <w:r>
        <w:rPr>
          <w:rFonts w:hint="eastAsia" w:ascii="宋体" w:hAnsi="宋体" w:eastAsia="方正仿宋简体" w:cs="方正仿宋简体"/>
          <w:b w:val="0"/>
          <w:bCs w:val="0"/>
          <w:snapToGrid w:val="0"/>
          <w:color w:val="auto"/>
          <w:kern w:val="0"/>
          <w:sz w:val="32"/>
          <w:szCs w:val="32"/>
          <w:lang w:val="en-US" w:eastAsia="zh-CN" w:bidi="ar"/>
        </w:rPr>
        <w:t>日 印发</w:t>
      </w:r>
    </w:p>
    <w:sectPr>
      <w:footerReference r:id="rId3" w:type="default"/>
      <w:pgSz w:w="11906" w:h="16838"/>
      <w:pgMar w:top="2098" w:right="1531" w:bottom="1531" w:left="1531" w:header="1134" w:footer="1587"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105" w:leftChars="50" w:right="105" w:rightChars="5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- 2 -</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C4EB2"/>
    <w:multiLevelType w:val="singleLevel"/>
    <w:tmpl w:val="6BCC4EB2"/>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N2Y4MjJkNDdjNTUyNzU4MDFkMmY4NGRhNmNjMzUifQ=="/>
  </w:docVars>
  <w:rsids>
    <w:rsidRoot w:val="58DD03BD"/>
    <w:rsid w:val="00311582"/>
    <w:rsid w:val="01E053DD"/>
    <w:rsid w:val="01F32784"/>
    <w:rsid w:val="02D23B66"/>
    <w:rsid w:val="04BA1E76"/>
    <w:rsid w:val="067E7B0D"/>
    <w:rsid w:val="074227B3"/>
    <w:rsid w:val="084F1FBE"/>
    <w:rsid w:val="0A5E60CD"/>
    <w:rsid w:val="0B6E5C2C"/>
    <w:rsid w:val="0BCF5993"/>
    <w:rsid w:val="0C073C1C"/>
    <w:rsid w:val="0C5E6268"/>
    <w:rsid w:val="0CBE3081"/>
    <w:rsid w:val="0D5E48F5"/>
    <w:rsid w:val="0D7A52E7"/>
    <w:rsid w:val="0DCB07CA"/>
    <w:rsid w:val="15682600"/>
    <w:rsid w:val="16F3287A"/>
    <w:rsid w:val="197C50A5"/>
    <w:rsid w:val="20FA20E7"/>
    <w:rsid w:val="22DD6625"/>
    <w:rsid w:val="24932CA6"/>
    <w:rsid w:val="25DE0FDF"/>
    <w:rsid w:val="294F7B3E"/>
    <w:rsid w:val="2BA2365C"/>
    <w:rsid w:val="301A0104"/>
    <w:rsid w:val="31B6672A"/>
    <w:rsid w:val="32B11EAB"/>
    <w:rsid w:val="33C6373E"/>
    <w:rsid w:val="35850071"/>
    <w:rsid w:val="372C5B59"/>
    <w:rsid w:val="3B0F4A6E"/>
    <w:rsid w:val="3B881969"/>
    <w:rsid w:val="3C4746CF"/>
    <w:rsid w:val="3E2B583D"/>
    <w:rsid w:val="3FC577D7"/>
    <w:rsid w:val="400E0434"/>
    <w:rsid w:val="40A76F53"/>
    <w:rsid w:val="40E7216D"/>
    <w:rsid w:val="41497E32"/>
    <w:rsid w:val="41FF7922"/>
    <w:rsid w:val="42CA0CEB"/>
    <w:rsid w:val="439A1B78"/>
    <w:rsid w:val="43A51C1F"/>
    <w:rsid w:val="45E82672"/>
    <w:rsid w:val="45F752C6"/>
    <w:rsid w:val="468420D4"/>
    <w:rsid w:val="474D2762"/>
    <w:rsid w:val="476A1996"/>
    <w:rsid w:val="499A291E"/>
    <w:rsid w:val="4B976F98"/>
    <w:rsid w:val="4C5B1824"/>
    <w:rsid w:val="4DB45CED"/>
    <w:rsid w:val="4E8C1734"/>
    <w:rsid w:val="4ED863DC"/>
    <w:rsid w:val="4F502144"/>
    <w:rsid w:val="4F9216DF"/>
    <w:rsid w:val="5166017A"/>
    <w:rsid w:val="521923B3"/>
    <w:rsid w:val="53152F1F"/>
    <w:rsid w:val="55CB5F7D"/>
    <w:rsid w:val="56F03FF0"/>
    <w:rsid w:val="57142F2A"/>
    <w:rsid w:val="58DD03BD"/>
    <w:rsid w:val="59DB78BF"/>
    <w:rsid w:val="60507E95"/>
    <w:rsid w:val="609D1A5B"/>
    <w:rsid w:val="65BE3553"/>
    <w:rsid w:val="6717562A"/>
    <w:rsid w:val="671A73DB"/>
    <w:rsid w:val="68090D38"/>
    <w:rsid w:val="69865E72"/>
    <w:rsid w:val="69AD413F"/>
    <w:rsid w:val="6B4050EE"/>
    <w:rsid w:val="6BC71980"/>
    <w:rsid w:val="6D8F101A"/>
    <w:rsid w:val="6DDA6729"/>
    <w:rsid w:val="6E955BB2"/>
    <w:rsid w:val="732066EF"/>
    <w:rsid w:val="758D011E"/>
    <w:rsid w:val="7871000B"/>
    <w:rsid w:val="78B82A21"/>
    <w:rsid w:val="7A823ABA"/>
    <w:rsid w:val="7B6950CA"/>
    <w:rsid w:val="7CBB4AB6"/>
    <w:rsid w:val="7D5806C9"/>
    <w:rsid w:val="7D696F0E"/>
    <w:rsid w:val="7EC45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ascii="Times New Roman" w:hAnsi="Times New Roman" w:eastAsia="宋体" w:cs="Times New Roman"/>
    </w:rPr>
  </w:style>
  <w:style w:type="paragraph" w:styleId="3">
    <w:name w:val="Body Text Indent"/>
    <w:basedOn w:val="1"/>
    <w:next w:val="4"/>
    <w:qFormat/>
    <w:uiPriority w:val="0"/>
    <w:pPr>
      <w:spacing w:after="120"/>
      <w:ind w:left="420" w:leftChars="200"/>
    </w:pPr>
    <w:rPr>
      <w:kern w:val="0"/>
      <w:sz w:val="24"/>
      <w:szCs w:val="20"/>
    </w:rPr>
  </w:style>
  <w:style w:type="paragraph" w:styleId="6">
    <w:name w:val="annotation text"/>
    <w:basedOn w:val="1"/>
    <w:qFormat/>
    <w:uiPriority w:val="0"/>
    <w:pPr>
      <w:jc w:val="left"/>
    </w:pPr>
  </w:style>
  <w:style w:type="paragraph" w:styleId="7">
    <w:name w:val="Body Text"/>
    <w:basedOn w:val="1"/>
    <w:next w:val="8"/>
    <w:qFormat/>
    <w:uiPriority w:val="0"/>
    <w:pPr>
      <w:spacing w:afterLines="0" w:afterAutospacing="0" w:line="240" w:lineRule="auto"/>
      <w:ind w:firstLine="0" w:firstLineChars="0"/>
      <w:jc w:val="center"/>
    </w:pPr>
    <w:rPr>
      <w:rFonts w:ascii="Times New Roman" w:hAnsi="Times New Roman" w:eastAsia="宋体" w:cs="Times New Roman"/>
      <w:sz w:val="21"/>
      <w:szCs w:val="21"/>
    </w:rPr>
  </w:style>
  <w:style w:type="paragraph" w:styleId="8">
    <w:name w:val="List Bullet 5"/>
    <w:basedOn w:val="1"/>
    <w:qFormat/>
    <w:uiPriority w:val="0"/>
    <w:pPr>
      <w:numPr>
        <w:ilvl w:val="0"/>
        <w:numId w:val="1"/>
      </w:numPr>
    </w:pPr>
  </w:style>
  <w:style w:type="paragraph" w:styleId="9">
    <w:name w:val="Plain Text"/>
    <w:basedOn w:val="1"/>
    <w:qFormat/>
    <w:uiPriority w:val="0"/>
    <w:rPr>
      <w:rFonts w:ascii="宋体" w:cs="Courier New"/>
      <w:szCs w:val="21"/>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List"/>
    <w:basedOn w:val="1"/>
    <w:qFormat/>
    <w:uiPriority w:val="0"/>
    <w:pPr>
      <w:ind w:left="420" w:hanging="420"/>
    </w:p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5">
    <w:name w:val="Table Grid"/>
    <w:basedOn w:val="14"/>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
    <w:name w:val="Default"/>
    <w:basedOn w:val="18"/>
    <w:next w:val="1"/>
    <w:qFormat/>
    <w:uiPriority w:val="0"/>
    <w:pPr>
      <w:widowControl w:val="0"/>
      <w:tabs>
        <w:tab w:val="left" w:pos="2760"/>
      </w:tabs>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纯文本1"/>
    <w:basedOn w:val="1"/>
    <w:qFormat/>
    <w:uiPriority w:val="0"/>
    <w:pPr>
      <w:tabs>
        <w:tab w:val="left" w:pos="2760"/>
      </w:tabs>
      <w:adjustRightInd w:val="0"/>
    </w:pPr>
    <w:rPr>
      <w:rFonts w:ascii="宋体" w:hAnsi="Courier New"/>
      <w:szCs w:val="20"/>
    </w:rPr>
  </w:style>
  <w:style w:type="paragraph" w:customStyle="1" w:styleId="19">
    <w:name w:val="样式 首行缩进:  2 字符1"/>
    <w:basedOn w:val="1"/>
    <w:qFormat/>
    <w:uiPriority w:val="0"/>
    <w:pPr>
      <w:spacing w:line="360" w:lineRule="auto"/>
      <w:ind w:firstLine="200" w:firstLineChars="200"/>
    </w:pPr>
    <w:rPr>
      <w:rFonts w:cs="宋体"/>
      <w:sz w:val="24"/>
      <w:szCs w:val="20"/>
    </w:rPr>
  </w:style>
  <w:style w:type="paragraph" w:customStyle="1" w:styleId="20">
    <w:name w:val="Char"/>
    <w:basedOn w:val="1"/>
    <w:qFormat/>
    <w:uiPriority w:val="0"/>
    <w:pPr>
      <w:spacing w:line="360" w:lineRule="auto"/>
      <w:ind w:firstLine="200" w:firstLineChars="200"/>
    </w:pPr>
    <w:rPr>
      <w:rFonts w:ascii="宋体" w:hAnsi="宋体" w:cs="宋体"/>
      <w:sz w:val="24"/>
    </w:rPr>
  </w:style>
  <w:style w:type="paragraph" w:customStyle="1" w:styleId="21">
    <w:name w:val="Table Paragraph"/>
    <w:basedOn w:val="1"/>
    <w:qFormat/>
    <w:uiPriority w:val="1"/>
    <w:rPr>
      <w:rFonts w:ascii="宋体" w:hAnsi="宋体" w:eastAsia="宋体" w:cs="宋体"/>
      <w:lang w:val="zh-CN" w:eastAsia="zh-CN" w:bidi="zh-CN"/>
    </w:rPr>
  </w:style>
  <w:style w:type="paragraph" w:styleId="22">
    <w:name w:val="List Paragraph"/>
    <w:basedOn w:val="1"/>
    <w:qFormat/>
    <w:uiPriority w:val="99"/>
  </w:style>
  <w:style w:type="paragraph" w:customStyle="1" w:styleId="23">
    <w:name w:val="1正文段落"/>
    <w:basedOn w:val="1"/>
    <w:qFormat/>
    <w:uiPriority w:val="99"/>
    <w:pPr>
      <w:spacing w:line="360" w:lineRule="auto"/>
      <w:ind w:firstLine="200" w:firstLineChars="200"/>
    </w:pPr>
    <w:rPr>
      <w:snapToGrid w:val="0"/>
      <w:sz w:val="24"/>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2133</Words>
  <Characters>2302</Characters>
  <Lines>0</Lines>
  <Paragraphs>0</Paragraphs>
  <TotalTime>38</TotalTime>
  <ScaleCrop>false</ScaleCrop>
  <LinksUpToDate>false</LinksUpToDate>
  <CharactersWithSpaces>2350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xinjian</dc:creator>
  <cp:lastModifiedBy>Administrator</cp:lastModifiedBy>
  <cp:lastPrinted>2024-04-01T09:48:00Z</cp:lastPrinted>
  <dcterms:modified xsi:type="dcterms:W3CDTF">2024-04-08T04:08:12Z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3EC86990D1D943A7859B2C6541DD07A6</vt:lpwstr>
  </property>
</Properties>
</file>