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autoSpaceDN/>
        <w:bidi w:val="0"/>
        <w:adjustRightInd/>
        <w:snapToGrid/>
        <w:spacing w:line="580" w:lineRule="exact"/>
        <w:ind w:left="0"/>
        <w:jc w:val="both"/>
        <w:textAlignment w:val="auto"/>
        <w:rPr>
          <w:rFonts w:hint="eastAsia" w:ascii="仿宋_GB2312" w:eastAsia="仿宋_GB2312"/>
          <w:color w:val="auto"/>
          <w:sz w:val="32"/>
          <w:szCs w:val="32"/>
        </w:rPr>
      </w:pPr>
    </w:p>
    <w:p>
      <w:pPr>
        <w:pStyle w:val="16"/>
        <w:keepNext w:val="0"/>
        <w:keepLines w:val="0"/>
        <w:pageBreakBefore w:val="0"/>
        <w:kinsoku w:val="0"/>
        <w:wordWrap/>
        <w:overflowPunct w:val="0"/>
        <w:topLinePunct w:val="0"/>
        <w:bidi w:val="0"/>
        <w:ind w:left="0"/>
        <w:jc w:val="both"/>
        <w:textAlignment w:val="auto"/>
        <w:rPr>
          <w:rFonts w:hint="eastAsia" w:ascii="仿宋_GB2312" w:eastAsia="仿宋_GB2312"/>
          <w:color w:val="auto"/>
          <w:sz w:val="32"/>
          <w:szCs w:val="32"/>
        </w:rPr>
      </w:pPr>
    </w:p>
    <w:p>
      <w:pPr>
        <w:keepNext w:val="0"/>
        <w:keepLines w:val="0"/>
        <w:pageBreakBefore w:val="0"/>
        <w:kinsoku w:val="0"/>
        <w:wordWrap/>
        <w:overflowPunct w:val="0"/>
        <w:topLinePunct w:val="0"/>
        <w:bidi w:val="0"/>
        <w:ind w:left="0"/>
        <w:jc w:val="both"/>
        <w:textAlignment w:val="auto"/>
        <w:rPr>
          <w:rFonts w:hint="eastAsia"/>
          <w:color w:val="auto"/>
        </w:rPr>
      </w:pPr>
    </w:p>
    <w:p>
      <w:pPr>
        <w:keepNext w:val="0"/>
        <w:keepLines w:val="0"/>
        <w:pageBreakBefore w:val="0"/>
        <w:kinsoku w:val="0"/>
        <w:wordWrap/>
        <w:overflowPunct w:val="0"/>
        <w:topLinePunct w:val="0"/>
        <w:bidi w:val="0"/>
        <w:ind w:left="0" w:firstLine="640" w:firstLineChars="200"/>
        <w:jc w:val="righ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伊州环函〔2024〕87号</w:t>
      </w:r>
    </w:p>
    <w:p>
      <w:pPr>
        <w:keepNext w:val="0"/>
        <w:keepLines w:val="0"/>
        <w:pageBreakBefore w:val="0"/>
        <w:widowControl w:val="0"/>
        <w:kinsoku w:val="0"/>
        <w:wordWrap/>
        <w:overflowPunct w:val="0"/>
        <w:topLinePunct w:val="0"/>
        <w:autoSpaceDE/>
        <w:autoSpaceDN/>
        <w:bidi w:val="0"/>
        <w:adjustRightInd/>
        <w:snapToGrid/>
        <w:spacing w:line="580" w:lineRule="exact"/>
        <w:ind w:left="0"/>
        <w:jc w:val="both"/>
        <w:textAlignment w:val="auto"/>
        <w:rPr>
          <w:rFonts w:hint="eastAsia"/>
          <w:b/>
          <w:color w:val="auto"/>
          <w:sz w:val="36"/>
          <w:szCs w:val="36"/>
        </w:rPr>
      </w:pPr>
    </w:p>
    <w:p>
      <w:pPr>
        <w:keepNext w:val="0"/>
        <w:keepLines w:val="0"/>
        <w:pageBreakBefore w:val="0"/>
        <w:widowControl w:val="0"/>
        <w:kinsoku w:val="0"/>
        <w:wordWrap/>
        <w:overflowPunct w:val="0"/>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关于霍尔果斯市城南产业园基础设施建设项目-分布式集中供热建设项目环境</w:t>
      </w:r>
    </w:p>
    <w:p>
      <w:pPr>
        <w:keepNext w:val="0"/>
        <w:keepLines w:val="0"/>
        <w:pageBreakBefore w:val="0"/>
        <w:widowControl w:val="0"/>
        <w:kinsoku w:val="0"/>
        <w:wordWrap/>
        <w:overflowPunct w:val="0"/>
        <w:topLinePunct w:val="0"/>
        <w:autoSpaceDE/>
        <w:autoSpaceDN/>
        <w:bidi w:val="0"/>
        <w:adjustRightInd/>
        <w:snapToGrid/>
        <w:spacing w:line="600" w:lineRule="exact"/>
        <w:ind w:left="0"/>
        <w:jc w:val="center"/>
        <w:textAlignment w:val="auto"/>
        <w:rPr>
          <w:rFonts w:hint="eastAsia" w:ascii="宋体" w:hAnsi="宋体" w:cs="Times New Roman"/>
          <w:b w:val="0"/>
          <w:bCs/>
          <w:color w:val="auto"/>
          <w:sz w:val="44"/>
          <w:szCs w:val="44"/>
        </w:rPr>
      </w:pPr>
      <w:r>
        <w:rPr>
          <w:rFonts w:hint="eastAsia" w:ascii="方正小标宋简体" w:hAnsi="方正小标宋简体" w:eastAsia="方正小标宋简体" w:cs="方正小标宋简体"/>
          <w:b w:val="0"/>
          <w:bCs/>
          <w:color w:val="auto"/>
          <w:sz w:val="44"/>
          <w:szCs w:val="44"/>
        </w:rPr>
        <w:t>影响报告</w:t>
      </w:r>
      <w:r>
        <w:rPr>
          <w:rFonts w:hint="eastAsia" w:ascii="方正小标宋简体" w:hAnsi="方正小标宋简体" w:eastAsia="方正小标宋简体" w:cs="方正小标宋简体"/>
          <w:b w:val="0"/>
          <w:bCs/>
          <w:color w:val="auto"/>
          <w:sz w:val="44"/>
          <w:szCs w:val="44"/>
          <w:lang w:eastAsia="zh-CN"/>
        </w:rPr>
        <w:t>表</w:t>
      </w:r>
      <w:r>
        <w:rPr>
          <w:rFonts w:hint="eastAsia" w:ascii="方正小标宋简体" w:hAnsi="方正小标宋简体" w:eastAsia="方正小标宋简体" w:cs="方正小标宋简体"/>
          <w:b w:val="0"/>
          <w:bCs/>
          <w:color w:val="auto"/>
          <w:sz w:val="44"/>
          <w:szCs w:val="44"/>
        </w:rPr>
        <w:t>的批复</w:t>
      </w:r>
    </w:p>
    <w:p>
      <w:pPr>
        <w:pStyle w:val="11"/>
        <w:keepNext w:val="0"/>
        <w:keepLines w:val="0"/>
        <w:pageBreakBefore w:val="0"/>
        <w:widowControl w:val="0"/>
        <w:kinsoku w:val="0"/>
        <w:wordWrap/>
        <w:overflowPunct w:val="0"/>
        <w:topLinePunct w:val="0"/>
        <w:autoSpaceDN/>
        <w:bidi w:val="0"/>
        <w:spacing w:after="0" w:line="56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11"/>
        <w:keepNext w:val="0"/>
        <w:keepLines w:val="0"/>
        <w:pageBreakBefore w:val="0"/>
        <w:widowControl w:val="0"/>
        <w:kinsoku w:val="0"/>
        <w:wordWrap/>
        <w:overflowPunct w:val="0"/>
        <w:topLinePunct w:val="0"/>
        <w:autoSpaceDN/>
        <w:bidi w:val="0"/>
        <w:spacing w:after="0" w:line="56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霍尔果斯开建开发建设投资有限责任公司:</w:t>
      </w:r>
    </w:p>
    <w:p>
      <w:pPr>
        <w:pStyle w:val="11"/>
        <w:keepNext w:val="0"/>
        <w:keepLines w:val="0"/>
        <w:pageBreakBefore w:val="0"/>
        <w:widowControl w:val="0"/>
        <w:kinsoku w:val="0"/>
        <w:wordWrap/>
        <w:overflowPunct w:val="0"/>
        <w:topLinePunct w:val="0"/>
        <w:autoSpaceDN/>
        <w:bidi w:val="0"/>
        <w:spacing w:after="0" w:line="560" w:lineRule="exact"/>
        <w:ind w:left="0" w:lef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你公司报批的《关于审批&lt;霍尔果斯市城南产业园基础设施建设项目-分布式集中供热建设项目环境影响报告表&gt;审批的请示》及相关附件均收悉，经研究，批复如下:</w:t>
      </w:r>
    </w:p>
    <w:p>
      <w:pPr>
        <w:pStyle w:val="11"/>
        <w:keepNext w:val="0"/>
        <w:keepLines w:val="0"/>
        <w:pageBreakBefore w:val="0"/>
        <w:widowControl w:val="0"/>
        <w:kinsoku w:val="0"/>
        <w:wordWrap/>
        <w:overflowPunct w:val="0"/>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一、本项目位于新疆维吾尔自治区伊犁哈萨克自治州霍尔果斯市南部产业园内，A</w:t>
      </w:r>
      <w:r>
        <w:rPr>
          <w:rFonts w:hint="default" w:ascii="仿宋_GB2312" w:hAnsi="仿宋_GB2312" w:eastAsia="仿宋_GB2312" w:cs="仿宋_GB2312"/>
          <w:color w:val="auto"/>
          <w:sz w:val="32"/>
          <w:szCs w:val="32"/>
          <w:lang w:val="en-US" w:eastAsia="zh-CN"/>
        </w:rPr>
        <w:t>锅炉房中心坐标：E80°29′37.9</w:t>
      </w:r>
      <w:r>
        <w:rPr>
          <w:rFonts w:hint="eastAsia" w:ascii="仿宋_GB2312" w:hAnsi="仿宋_GB2312" w:eastAsia="仿宋_GB2312" w:cs="仿宋_GB2312"/>
          <w:color w:val="auto"/>
          <w:sz w:val="32"/>
          <w:szCs w:val="32"/>
          <w:lang w:val="en-US" w:eastAsia="zh-CN"/>
        </w:rPr>
        <w:t>18</w:t>
      </w:r>
      <w:r>
        <w:rPr>
          <w:rFonts w:hint="default" w:ascii="仿宋_GB2312" w:hAnsi="仿宋_GB2312" w:eastAsia="仿宋_GB2312" w:cs="仿宋_GB2312"/>
          <w:color w:val="auto"/>
          <w:sz w:val="32"/>
          <w:szCs w:val="32"/>
          <w:lang w:val="en-US" w:eastAsia="zh-CN"/>
        </w:rPr>
        <w:t>″，N44°7′9.17</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；B</w:t>
      </w:r>
      <w:r>
        <w:rPr>
          <w:rFonts w:hint="default" w:ascii="仿宋_GB2312" w:hAnsi="仿宋_GB2312" w:eastAsia="仿宋_GB2312" w:cs="仿宋_GB2312"/>
          <w:color w:val="auto"/>
          <w:sz w:val="32"/>
          <w:szCs w:val="32"/>
          <w:lang w:val="en-US" w:eastAsia="zh-CN"/>
        </w:rPr>
        <w:t>锅炉房中心坐标：E80°29′6.94</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″，N44°6′50.34</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项目新建锅炉房</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座</w:t>
      </w:r>
      <w:r>
        <w:rPr>
          <w:rFonts w:hint="eastAsia" w:ascii="仿宋_GB2312" w:hAnsi="仿宋_GB2312" w:eastAsia="仿宋_GB2312" w:cs="仿宋_GB2312"/>
          <w:color w:val="auto"/>
          <w:sz w:val="32"/>
          <w:szCs w:val="32"/>
          <w:lang w:val="en-US" w:eastAsia="zh-CN"/>
        </w:rPr>
        <w:t>，总建筑面积6242.8m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，A锅炉房内建设29MW（40t/h）燃气热水锅炉3台、4.2MW（6t/h）燃气热水锅炉2台，B锅炉房内建设21MW（30t/h）燃气热水锅炉3台、5.6MW（8t/h）燃气热水锅炉2台</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新建换热站9座，其中4座换热站位于锅炉房内，另有5座换热站单独建设，总建筑面积1408.2m</w:t>
      </w:r>
      <w:r>
        <w:rPr>
          <w:rFonts w:hint="eastAsia" w:ascii="仿宋_GB2312" w:hAnsi="仿宋_GB2312" w:eastAsia="仿宋_GB2312" w:cs="仿宋_GB2312"/>
          <w:color w:val="auto"/>
          <w:sz w:val="32"/>
          <w:szCs w:val="32"/>
          <w:vertAlign w:val="superscript"/>
          <w:lang w:val="en-US" w:eastAsia="zh-CN"/>
        </w:rPr>
        <w:t>2</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项目建成后设计总供热面积90万m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，服务于南部产业园集中供暖。项目总投资为13300万元，其中环保投资97.1万元，占总投资的0.73%。</w:t>
      </w:r>
    </w:p>
    <w:p>
      <w:pPr>
        <w:pStyle w:val="11"/>
        <w:keepNext w:val="0"/>
        <w:keepLines w:val="0"/>
        <w:pageBreakBefore w:val="0"/>
        <w:widowControl w:val="0"/>
        <w:kinsoku w:val="0"/>
        <w:wordWrap/>
        <w:overflowPunct w:val="0"/>
        <w:topLinePunct w:val="0"/>
        <w:autoSpaceDN/>
        <w:bidi w:val="0"/>
        <w:spacing w:after="0" w:line="560" w:lineRule="exact"/>
        <w:ind w:left="0" w:lef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本项目环境影响评价文件未经批准即擅自建设，违反了《中华人民共和国环境保护法》《中华人民共和国环境影响评价法》《建设项目环境保护管理条例》的有关规定，</w:t>
      </w:r>
      <w:r>
        <w:rPr>
          <w:rFonts w:hint="eastAsia" w:ascii="仿宋_GB2312" w:hAnsi="仿宋_GB2312" w:eastAsia="仿宋_GB2312" w:cs="仿宋_GB2312"/>
          <w:color w:val="auto"/>
          <w:sz w:val="32"/>
          <w:szCs w:val="32"/>
          <w:lang w:eastAsia="zh-CN"/>
        </w:rPr>
        <w:t>违法行为已由我局查处</w:t>
      </w:r>
      <w:r>
        <w:rPr>
          <w:rFonts w:hint="eastAsia" w:ascii="仿宋_GB2312" w:hAnsi="仿宋_GB2312" w:eastAsia="仿宋_GB2312" w:cs="仿宋_GB2312"/>
          <w:color w:val="auto"/>
          <w:sz w:val="32"/>
          <w:szCs w:val="32"/>
        </w:rPr>
        <w:t>。你公司必须认真汲取教训，增强守法意识，杜绝违法行为再次发生。</w:t>
      </w:r>
    </w:p>
    <w:p>
      <w:pPr>
        <w:pStyle w:val="18"/>
        <w:keepNext w:val="0"/>
        <w:keepLines w:val="0"/>
        <w:pageBreakBefore w:val="0"/>
        <w:widowControl w:val="0"/>
        <w:kinsoku w:val="0"/>
        <w:wordWrap/>
        <w:overflowPunct w:val="0"/>
        <w:topLinePunct w:val="0"/>
        <w:autoSpaceDE w:val="0"/>
        <w:autoSpaceDN/>
        <w:bidi w:val="0"/>
        <w:spacing w:line="560" w:lineRule="exact"/>
        <w:ind w:left="0" w:firstLine="640"/>
        <w:jc w:val="both"/>
        <w:textAlignment w:val="auto"/>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二、根</w:t>
      </w:r>
      <w:r>
        <w:rPr>
          <w:rFonts w:hint="eastAsia" w:ascii="仿宋_GB2312" w:hAnsi="仿宋_GB2312" w:eastAsia="仿宋_GB2312" w:cs="仿宋_GB2312"/>
          <w:color w:val="auto"/>
          <w:kern w:val="32"/>
          <w:sz w:val="32"/>
          <w:szCs w:val="32"/>
          <w:lang w:val="en-US" w:eastAsia="zh-CN"/>
        </w:rPr>
        <w:t>据新疆天润坤成环保科技有限公司编制的</w:t>
      </w:r>
      <w:r>
        <w:rPr>
          <w:rFonts w:hint="eastAsia" w:ascii="仿宋_GB2312" w:hAnsi="仿宋_GB2312" w:eastAsia="仿宋_GB2312" w:cs="仿宋_GB2312"/>
          <w:color w:val="auto"/>
          <w:sz w:val="32"/>
          <w:szCs w:val="32"/>
          <w:lang w:val="en-US" w:eastAsia="zh-CN"/>
        </w:rPr>
        <w:t>《霍尔果斯市城南产业园基础设施建设项目-分布式集中供热建设项目环境影响报告表》（以下简称《</w:t>
      </w:r>
      <w:r>
        <w:rPr>
          <w:rFonts w:hint="eastAsia" w:ascii="仿宋_GB2312" w:hAnsi="仿宋_GB2312" w:eastAsia="仿宋_GB2312" w:cs="仿宋_GB2312"/>
          <w:color w:val="auto"/>
          <w:kern w:val="32"/>
          <w:sz w:val="32"/>
          <w:szCs w:val="32"/>
        </w:rPr>
        <w:t>报告</w:t>
      </w:r>
      <w:r>
        <w:rPr>
          <w:rFonts w:hint="eastAsia" w:ascii="仿宋_GB2312" w:hAnsi="仿宋_GB2312" w:eastAsia="仿宋_GB2312" w:cs="仿宋_GB2312"/>
          <w:color w:val="auto"/>
          <w:kern w:val="32"/>
          <w:sz w:val="32"/>
          <w:szCs w:val="32"/>
          <w:lang w:eastAsia="zh-CN"/>
        </w:rPr>
        <w:t>表</w:t>
      </w:r>
      <w:r>
        <w:rPr>
          <w:rFonts w:hint="eastAsia" w:ascii="仿宋_GB2312" w:hAnsi="仿宋_GB2312" w:eastAsia="仿宋_GB2312" w:cs="仿宋_GB2312"/>
          <w:color w:val="auto"/>
          <w:kern w:val="32"/>
          <w:sz w:val="32"/>
          <w:szCs w:val="32"/>
        </w:rPr>
        <w:t>》）的评价结论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32"/>
          <w:sz w:val="32"/>
          <w:szCs w:val="32"/>
        </w:rPr>
        <w:t>在严格落实《报告</w:t>
      </w:r>
      <w:r>
        <w:rPr>
          <w:rFonts w:hint="eastAsia" w:ascii="仿宋_GB2312" w:hAnsi="仿宋_GB2312" w:eastAsia="仿宋_GB2312" w:cs="仿宋_GB2312"/>
          <w:color w:val="auto"/>
          <w:kern w:val="32"/>
          <w:sz w:val="32"/>
          <w:szCs w:val="32"/>
          <w:lang w:eastAsia="zh-CN"/>
        </w:rPr>
        <w:t>表</w:t>
      </w:r>
      <w:r>
        <w:rPr>
          <w:rFonts w:hint="eastAsia" w:ascii="仿宋_GB2312" w:hAnsi="仿宋_GB2312" w:eastAsia="仿宋_GB2312" w:cs="仿宋_GB2312"/>
          <w:color w:val="auto"/>
          <w:kern w:val="32"/>
          <w:sz w:val="32"/>
          <w:szCs w:val="32"/>
        </w:rPr>
        <w:t>》提出的各项环境保护措施后，各项污染物可达标排放。从环境保护角度考虑，我</w:t>
      </w:r>
      <w:r>
        <w:rPr>
          <w:rFonts w:hint="eastAsia" w:ascii="仿宋_GB2312" w:hAnsi="仿宋_GB2312" w:eastAsia="仿宋_GB2312" w:cs="仿宋_GB2312"/>
          <w:color w:val="auto"/>
          <w:kern w:val="32"/>
          <w:sz w:val="32"/>
          <w:szCs w:val="32"/>
          <w:lang w:val="en-US" w:eastAsia="zh-CN"/>
        </w:rPr>
        <w:t>局</w:t>
      </w:r>
      <w:r>
        <w:rPr>
          <w:rFonts w:hint="eastAsia" w:ascii="仿宋_GB2312" w:hAnsi="仿宋_GB2312" w:eastAsia="仿宋_GB2312" w:cs="仿宋_GB2312"/>
          <w:color w:val="auto"/>
          <w:kern w:val="32"/>
          <w:sz w:val="32"/>
          <w:szCs w:val="32"/>
        </w:rPr>
        <w:t>同意你公司按照《报告</w:t>
      </w:r>
      <w:r>
        <w:rPr>
          <w:rFonts w:hint="eastAsia" w:ascii="仿宋_GB2312" w:hAnsi="仿宋_GB2312" w:eastAsia="仿宋_GB2312" w:cs="仿宋_GB2312"/>
          <w:color w:val="auto"/>
          <w:kern w:val="32"/>
          <w:sz w:val="32"/>
          <w:szCs w:val="32"/>
          <w:lang w:eastAsia="zh-CN"/>
        </w:rPr>
        <w:t>表</w:t>
      </w:r>
      <w:r>
        <w:rPr>
          <w:rFonts w:hint="eastAsia" w:ascii="仿宋_GB2312" w:hAnsi="仿宋_GB2312" w:eastAsia="仿宋_GB2312" w:cs="仿宋_GB2312"/>
          <w:color w:val="auto"/>
          <w:kern w:val="32"/>
          <w:sz w:val="32"/>
          <w:szCs w:val="32"/>
        </w:rPr>
        <w:t>》中所列建设项目的性质、规模、工艺、地点和拟采取的各项环境保护对策措施进行建设。</w:t>
      </w:r>
    </w:p>
    <w:p>
      <w:pPr>
        <w:keepNext w:val="0"/>
        <w:keepLines w:val="0"/>
        <w:pageBreakBefore w:val="0"/>
        <w:widowControl w:val="0"/>
        <w:kinsoku w:val="0"/>
        <w:wordWrap/>
        <w:overflowPunct w:val="0"/>
        <w:topLinePunct w:val="0"/>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、在项目环境管理中要认真落实《报告</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》提出的各项环保要求，严格执行环保“三同时”制度，确保各类污染物稳定达标排放，并达到以下要求：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一）严格落实各项大气污染防治措施。运行期锅炉废气通过超低氮燃烧器+烟气再循环装置处理后，污染物排放浓度满足《锅炉大气污染物排放标准》(GB13271-2014)表2及《伊犁州生态环境保护“十四五”规划》要求</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color w:val="auto"/>
          <w:sz w:val="32"/>
          <w:szCs w:val="32"/>
          <w:lang w:val="en-US" w:eastAsia="zh-CN"/>
        </w:rPr>
        <w:t>即烟尘、SO</w:t>
      </w:r>
      <w:r>
        <w:rPr>
          <w:rFonts w:hint="eastAsia" w:ascii="仿宋_GB2312" w:hAnsi="仿宋_GB2312" w:eastAsia="仿宋_GB2312" w:cs="仿宋_GB2312"/>
          <w:color w:val="auto"/>
          <w:sz w:val="32"/>
          <w:szCs w:val="32"/>
          <w:vertAlign w:val="subscript"/>
          <w:lang w:val="en-US" w:eastAsia="zh-CN"/>
        </w:rPr>
        <w:t>2</w:t>
      </w:r>
      <w:r>
        <w:rPr>
          <w:rFonts w:hint="eastAsia" w:ascii="仿宋_GB2312" w:hAnsi="仿宋_GB2312" w:eastAsia="仿宋_GB2312" w:cs="仿宋_GB2312"/>
          <w:color w:val="auto"/>
          <w:sz w:val="32"/>
          <w:szCs w:val="32"/>
          <w:lang w:val="en-US" w:eastAsia="zh-CN"/>
        </w:rPr>
        <w:t>、NOx排放浓度分别不高于20mg/m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、50mg/m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、50mg/m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b w:val="0"/>
          <w:bCs w:val="0"/>
          <w:color w:val="auto"/>
          <w:kern w:val="0"/>
          <w:sz w:val="32"/>
          <w:szCs w:val="32"/>
          <w:highlight w:val="none"/>
          <w:lang w:val="en-US" w:eastAsia="zh-CN" w:bidi="ar-SA"/>
        </w:rPr>
        <w:t>），并</w:t>
      </w:r>
      <w:r>
        <w:rPr>
          <w:rFonts w:hint="eastAsia" w:ascii="仿宋_GB2312" w:hAnsi="仿宋_GB2312" w:eastAsia="仿宋_GB2312" w:cs="仿宋_GB2312"/>
          <w:color w:val="auto"/>
          <w:sz w:val="32"/>
          <w:szCs w:val="32"/>
          <w:lang w:val="en-US" w:eastAsia="zh-CN"/>
        </w:rPr>
        <w:t>经29m、21m高烟囱排放；</w:t>
      </w:r>
      <w:r>
        <w:rPr>
          <w:rFonts w:hint="eastAsia" w:ascii="仿宋_GB2312" w:hAnsi="仿宋_GB2312" w:eastAsia="仿宋_GB2312" w:cs="仿宋_GB2312"/>
          <w:b w:val="0"/>
          <w:bCs w:val="0"/>
          <w:color w:val="auto"/>
          <w:sz w:val="32"/>
          <w:szCs w:val="32"/>
          <w:lang w:val="en-US" w:eastAsia="zh-CN"/>
        </w:rPr>
        <w:t>确保在线监测系统正常运行。</w:t>
      </w:r>
    </w:p>
    <w:p>
      <w:pPr>
        <w:keepNext w:val="0"/>
        <w:keepLines w:val="0"/>
        <w:pageBreakBefore w:val="0"/>
        <w:widowControl w:val="0"/>
        <w:suppressLineNumbers w:val="0"/>
        <w:kinsoku w:val="0"/>
        <w:wordWrap/>
        <w:overflowPunct w:val="0"/>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（二）严格落实各项废水治理措施。运行期</w:t>
      </w:r>
      <w:r>
        <w:rPr>
          <w:rFonts w:hint="default" w:ascii="仿宋_GB2312" w:hAnsi="仿宋_GB2312" w:eastAsia="仿宋_GB2312" w:cs="仿宋_GB2312"/>
          <w:b w:val="0"/>
          <w:bCs w:val="0"/>
          <w:color w:val="auto"/>
          <w:sz w:val="32"/>
          <w:szCs w:val="32"/>
          <w:lang w:val="en-US" w:eastAsia="zh-CN"/>
        </w:rPr>
        <w:t>排水主要为</w:t>
      </w:r>
      <w:r>
        <w:rPr>
          <w:rFonts w:hint="eastAsia" w:ascii="仿宋_GB2312" w:hAnsi="仿宋_GB2312" w:eastAsia="仿宋_GB2312" w:cs="仿宋_GB2312"/>
          <w:b w:val="0"/>
          <w:bCs w:val="0"/>
          <w:color w:val="auto"/>
          <w:sz w:val="32"/>
          <w:szCs w:val="32"/>
          <w:lang w:val="en-US" w:eastAsia="zh-CN"/>
        </w:rPr>
        <w:t>锅炉系统排水（软水制备废水、软水设备反冲洗水及锅炉定期排污水）</w:t>
      </w:r>
      <w:r>
        <w:rPr>
          <w:rFonts w:hint="default" w:ascii="仿宋_GB2312" w:hAnsi="仿宋_GB2312" w:eastAsia="仿宋_GB2312" w:cs="仿宋_GB2312"/>
          <w:b w:val="0"/>
          <w:bCs w:val="0"/>
          <w:color w:val="auto"/>
          <w:sz w:val="32"/>
          <w:szCs w:val="32"/>
          <w:lang w:val="en-US" w:eastAsia="zh-CN"/>
        </w:rPr>
        <w:t>和生活污水，</w:t>
      </w:r>
      <w:r>
        <w:rPr>
          <w:rFonts w:hint="eastAsia" w:ascii="仿宋_GB2312" w:hAnsi="仿宋_GB2312" w:eastAsia="仿宋_GB2312" w:cs="仿宋_GB2312"/>
          <w:b w:val="0"/>
          <w:bCs w:val="0"/>
          <w:color w:val="auto"/>
          <w:sz w:val="32"/>
          <w:szCs w:val="32"/>
          <w:lang w:val="en-US" w:eastAsia="zh-CN"/>
        </w:rPr>
        <w:t>废水须满足《污水综合排放标准》（GB8978-1996）三级标准，且符合污水处理厂进水水质要求后排入园区污水</w:t>
      </w:r>
      <w:r>
        <w:rPr>
          <w:rFonts w:hint="default" w:ascii="仿宋_GB2312" w:hAnsi="仿宋_GB2312" w:eastAsia="仿宋_GB2312" w:cs="仿宋_GB2312"/>
          <w:b w:val="0"/>
          <w:bCs w:val="0"/>
          <w:color w:val="auto"/>
          <w:sz w:val="32"/>
          <w:szCs w:val="32"/>
          <w:lang w:val="en-US" w:eastAsia="zh-CN"/>
        </w:rPr>
        <w:t>管网。</w:t>
      </w:r>
    </w:p>
    <w:p>
      <w:pPr>
        <w:keepNext w:val="0"/>
        <w:keepLines w:val="0"/>
        <w:pageBreakBefore w:val="0"/>
        <w:widowControl w:val="0"/>
        <w:suppressLineNumbers w:val="0"/>
        <w:kinsoku w:val="0"/>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w:t>
      </w:r>
      <w:r>
        <w:rPr>
          <w:rFonts w:hint="eastAsia" w:ascii="仿宋_GB2312" w:hAnsi="仿宋_GB2312" w:eastAsia="仿宋_GB2312" w:cs="仿宋_GB2312"/>
          <w:b w:val="0"/>
          <w:bCs w:val="0"/>
          <w:color w:val="auto"/>
          <w:sz w:val="32"/>
          <w:szCs w:val="32"/>
          <w:lang w:val="en-US" w:eastAsia="zh-CN"/>
        </w:rPr>
        <w:t>严格落实各项噪声治理措施。运行期选用低噪声设备、基础减震、厂房隔声等措施，厂界噪声满足《工业企业厂界环境噪声排放标准》（GB12348-2008）中3类标准要求。</w:t>
      </w:r>
    </w:p>
    <w:p>
      <w:pPr>
        <w:keepNext w:val="0"/>
        <w:keepLines w:val="0"/>
        <w:pageBreakBefore w:val="0"/>
        <w:widowControl w:val="0"/>
        <w:suppressLineNumbers w:val="0"/>
        <w:kinsoku w:val="0"/>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（四）严格落实固体废物治理措施。运行期</w:t>
      </w:r>
      <w:r>
        <w:rPr>
          <w:rFonts w:hint="default" w:ascii="仿宋_GB2312" w:hAnsi="仿宋_GB2312" w:eastAsia="仿宋_GB2312" w:cs="仿宋_GB2312"/>
          <w:b w:val="0"/>
          <w:bCs w:val="0"/>
          <w:color w:val="auto"/>
          <w:kern w:val="0"/>
          <w:sz w:val="32"/>
          <w:szCs w:val="32"/>
          <w:lang w:val="en-US" w:eastAsia="zh-CN" w:bidi="ar"/>
        </w:rPr>
        <w:t>废离子交换树脂</w:t>
      </w:r>
      <w:r>
        <w:rPr>
          <w:rFonts w:hint="eastAsia" w:ascii="仿宋_GB2312" w:hAnsi="仿宋_GB2312" w:eastAsia="仿宋_GB2312" w:cs="仿宋_GB2312"/>
          <w:b w:val="0"/>
          <w:bCs w:val="0"/>
          <w:color w:val="auto"/>
          <w:kern w:val="0"/>
          <w:sz w:val="32"/>
          <w:szCs w:val="32"/>
          <w:lang w:val="en-US" w:eastAsia="zh-CN" w:bidi="ar"/>
        </w:rPr>
        <w:t>由厂家回收；锅炉</w:t>
      </w:r>
      <w:r>
        <w:rPr>
          <w:rFonts w:hint="default" w:ascii="仿宋_GB2312" w:hAnsi="仿宋_GB2312" w:eastAsia="仿宋_GB2312" w:cs="仿宋_GB2312"/>
          <w:b w:val="0"/>
          <w:bCs w:val="0"/>
          <w:color w:val="auto"/>
          <w:kern w:val="0"/>
          <w:sz w:val="32"/>
          <w:szCs w:val="32"/>
          <w:lang w:val="en-US" w:eastAsia="zh-CN" w:bidi="ar"/>
        </w:rPr>
        <w:t>设备定期维护修理等过程中产生</w:t>
      </w:r>
      <w:r>
        <w:rPr>
          <w:rFonts w:hint="eastAsia" w:ascii="仿宋_GB2312" w:hAnsi="仿宋_GB2312" w:eastAsia="仿宋_GB2312" w:cs="仿宋_GB2312"/>
          <w:b w:val="0"/>
          <w:bCs w:val="0"/>
          <w:color w:val="auto"/>
          <w:kern w:val="0"/>
          <w:sz w:val="32"/>
          <w:szCs w:val="32"/>
          <w:lang w:val="en-US" w:eastAsia="zh-CN" w:bidi="ar"/>
        </w:rPr>
        <w:t>的</w:t>
      </w:r>
      <w:r>
        <w:rPr>
          <w:rFonts w:hint="default" w:ascii="仿宋_GB2312" w:hAnsi="仿宋_GB2312" w:eastAsia="仿宋_GB2312" w:cs="仿宋_GB2312"/>
          <w:b w:val="0"/>
          <w:bCs w:val="0"/>
          <w:color w:val="auto"/>
          <w:kern w:val="0"/>
          <w:sz w:val="32"/>
          <w:szCs w:val="32"/>
          <w:lang w:val="en-US" w:eastAsia="zh-CN" w:bidi="ar"/>
        </w:rPr>
        <w:t>废润滑油</w:t>
      </w:r>
      <w:r>
        <w:rPr>
          <w:rFonts w:hint="eastAsia" w:ascii="仿宋_GB2312" w:hAnsi="仿宋_GB2312" w:eastAsia="仿宋_GB2312" w:cs="仿宋_GB2312"/>
          <w:b w:val="0"/>
          <w:bCs w:val="0"/>
          <w:color w:val="auto"/>
          <w:kern w:val="0"/>
          <w:sz w:val="32"/>
          <w:szCs w:val="32"/>
          <w:lang w:val="en-US" w:eastAsia="zh-CN" w:bidi="ar"/>
        </w:rPr>
        <w:t>暂存于危废暂存点，委托有资质的单位处置，危险废物暂存满足《危险废物贮存污染控制标准》（GB18597—2023）；生活垃圾设垃圾桶分类集中收集后统一由环卫部门定时清运至垃圾填埋场集中处置。</w:t>
      </w:r>
    </w:p>
    <w:p>
      <w:pPr>
        <w:pStyle w:val="16"/>
        <w:keepNext w:val="0"/>
        <w:keepLines w:val="0"/>
        <w:pageBreakBefore w:val="0"/>
        <w:kinsoku w:val="0"/>
        <w:wordWrap/>
        <w:overflowPunct w:val="0"/>
        <w:topLinePunct w:val="0"/>
        <w:bidi w:val="0"/>
        <w:spacing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i w:val="0"/>
          <w:iCs w:val="0"/>
          <w:caps w:val="0"/>
          <w:color w:val="auto"/>
          <w:spacing w:val="0"/>
          <w:sz w:val="32"/>
          <w:szCs w:val="32"/>
          <w:shd w:val="clear" w:fill="FFFFFF"/>
        </w:rPr>
        <w:t>强化环境风险防范和应急措施。落实《报告</w:t>
      </w:r>
      <w:r>
        <w:rPr>
          <w:rFonts w:hint="eastAsia" w:ascii="仿宋_GB2312" w:hAnsi="仿宋_GB2312" w:eastAsia="仿宋_GB2312" w:cs="仿宋_GB2312"/>
          <w:i w:val="0"/>
          <w:iCs w:val="0"/>
          <w:caps w:val="0"/>
          <w:color w:val="auto"/>
          <w:spacing w:val="0"/>
          <w:sz w:val="32"/>
          <w:szCs w:val="32"/>
          <w:shd w:val="clear" w:fill="FFFFFF"/>
          <w:lang w:eastAsia="zh-CN"/>
        </w:rPr>
        <w:t>表</w:t>
      </w:r>
      <w:r>
        <w:rPr>
          <w:rFonts w:hint="eastAsia" w:ascii="仿宋_GB2312" w:hAnsi="仿宋_GB2312" w:eastAsia="仿宋_GB2312" w:cs="仿宋_GB2312"/>
          <w:i w:val="0"/>
          <w:iCs w:val="0"/>
          <w:caps w:val="0"/>
          <w:color w:val="auto"/>
          <w:spacing w:val="0"/>
          <w:sz w:val="32"/>
          <w:szCs w:val="32"/>
          <w:shd w:val="clear" w:fill="FFFFFF"/>
        </w:rPr>
        <w:t>》中提出的环境风险防范措施和环境管理相关要求，</w:t>
      </w:r>
      <w:r>
        <w:rPr>
          <w:rFonts w:hint="eastAsia" w:ascii="仿宋_GB2312" w:hAnsi="仿宋_GB2312" w:eastAsia="仿宋_GB2312" w:cs="仿宋_GB2312"/>
          <w:i w:val="0"/>
          <w:iCs w:val="0"/>
          <w:caps w:val="0"/>
          <w:color w:val="auto"/>
          <w:spacing w:val="0"/>
          <w:sz w:val="32"/>
          <w:szCs w:val="32"/>
          <w:shd w:val="clear" w:fill="FFFFFF"/>
          <w:lang w:val="en-US" w:eastAsia="zh-CN"/>
        </w:rPr>
        <w:t>编制</w:t>
      </w:r>
      <w:r>
        <w:rPr>
          <w:rFonts w:hint="eastAsia" w:ascii="仿宋_GB2312" w:hAnsi="仿宋_GB2312" w:eastAsia="仿宋_GB2312" w:cs="仿宋_GB2312"/>
          <w:i w:val="0"/>
          <w:iCs w:val="0"/>
          <w:caps w:val="0"/>
          <w:color w:val="auto"/>
          <w:spacing w:val="0"/>
          <w:sz w:val="32"/>
          <w:szCs w:val="32"/>
          <w:shd w:val="clear" w:fill="FFFFFF"/>
        </w:rPr>
        <w:t>突发环境事件应急预案，并定期开展演练。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根据工程分析，</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污染物排放量为</w:t>
      </w:r>
      <w:r>
        <w:rPr>
          <w:rFonts w:hint="eastAsia" w:ascii="仿宋_GB2312" w:hAnsi="仿宋_GB2312" w:eastAsia="仿宋_GB2312" w:cs="仿宋_GB2312"/>
          <w:color w:val="000000" w:themeColor="text1"/>
          <w:kern w:val="0"/>
          <w:sz w:val="32"/>
          <w:szCs w:val="32"/>
          <w14:textFill>
            <w14:solidFill>
              <w14:schemeClr w14:val="tx1"/>
            </w14:solidFill>
          </w14:textFill>
        </w:rPr>
        <w:t>二氧化</w:t>
      </w:r>
      <w:r>
        <w:rPr>
          <w:rFonts w:hint="eastAsia" w:ascii="仿宋_GB2312" w:hAnsi="仿宋_GB2312" w:eastAsia="仿宋_GB2312" w:cs="仿宋_GB2312"/>
          <w:color w:val="000000" w:themeColor="text1"/>
          <w:sz w:val="32"/>
          <w:szCs w:val="32"/>
          <w14:textFill>
            <w14:solidFill>
              <w14:schemeClr w14:val="tx1"/>
            </w14:solidFill>
          </w14:textFill>
        </w:rPr>
        <w:t>硫</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1.02t/a、氮氧化物8.8t/a，霍尔果斯</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auto"/>
          <w:sz w:val="32"/>
          <w:szCs w:val="32"/>
          <w:lang w:val="en-US" w:eastAsia="zh-CN"/>
        </w:rPr>
        <w:t>分局以霍市环函发</w:t>
      </w:r>
      <w:r>
        <w:rPr>
          <w:rFonts w:hint="eastAsia" w:ascii="仿宋_GB2312" w:hAnsi="仿宋_GB2312" w:eastAsia="仿宋_GB2312" w:cs="仿宋_GB2312"/>
          <w:color w:val="auto"/>
          <w:kern w:val="0"/>
          <w:sz w:val="32"/>
          <w:szCs w:val="32"/>
          <w:lang w:val="en-US" w:eastAsia="zh-CN" w:bidi="ar-SA"/>
        </w:rPr>
        <w:t>〔2024〕2号</w:t>
      </w:r>
      <w:r>
        <w:rPr>
          <w:rFonts w:hint="eastAsia" w:ascii="仿宋_GB2312" w:hAnsi="仿宋_GB2312" w:eastAsia="仿宋_GB2312" w:cs="仿宋_GB2312"/>
          <w:color w:val="auto"/>
          <w:sz w:val="32"/>
          <w:szCs w:val="32"/>
          <w:lang w:val="en-US" w:eastAsia="zh-CN"/>
        </w:rPr>
        <w:t>对该项目总量控制指标出具了分配方案。</w:t>
      </w:r>
    </w:p>
    <w:p>
      <w:pPr>
        <w:keepNext w:val="0"/>
        <w:keepLines w:val="0"/>
        <w:pageBreakBefore w:val="0"/>
        <w:kinsoku w:val="0"/>
        <w:wordWrap/>
        <w:overflowPunct w:val="0"/>
        <w:topLinePunct w:val="0"/>
        <w:bidi w:val="0"/>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、运营期的环境监督</w:t>
      </w:r>
      <w:r>
        <w:rPr>
          <w:rFonts w:hint="eastAsia" w:ascii="仿宋_GB2312" w:hAnsi="仿宋_GB2312" w:eastAsia="仿宋_GB2312" w:cs="仿宋_GB2312"/>
          <w:color w:val="auto"/>
          <w:sz w:val="32"/>
          <w:szCs w:val="32"/>
        </w:rPr>
        <w:t>管理由</w:t>
      </w:r>
      <w:r>
        <w:rPr>
          <w:rFonts w:hint="eastAsia" w:ascii="仿宋_GB2312" w:hAnsi="仿宋_GB2312" w:eastAsia="仿宋_GB2312" w:cs="仿宋_GB2312"/>
          <w:color w:val="auto"/>
          <w:sz w:val="32"/>
          <w:szCs w:val="32"/>
          <w:lang w:val="en-US" w:eastAsia="zh-CN"/>
        </w:rPr>
        <w:t>霍尔果斯市</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sz w:val="32"/>
          <w:szCs w:val="32"/>
        </w:rPr>
        <w:t>州生态环境保护综合行政执法支队</w:t>
      </w:r>
      <w:r>
        <w:rPr>
          <w:rFonts w:hint="eastAsia" w:ascii="仿宋_GB2312" w:hAnsi="仿宋_GB2312" w:eastAsia="仿宋_GB2312" w:cs="仿宋_GB2312"/>
          <w:color w:val="auto"/>
          <w:kern w:val="0"/>
          <w:sz w:val="32"/>
          <w:szCs w:val="32"/>
        </w:rPr>
        <w:t>不定期进行抽查。按规定程序开展竣工环境保护验收。</w:t>
      </w:r>
    </w:p>
    <w:p>
      <w:pPr>
        <w:keepNext w:val="0"/>
        <w:keepLines w:val="0"/>
        <w:pageBreakBefore w:val="0"/>
        <w:kinsoku w:val="0"/>
        <w:wordWrap/>
        <w:overflowPunct w:val="0"/>
        <w:topLinePunct w:val="0"/>
        <w:bidi w:val="0"/>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、你公司应在收到本批复后20个工作日内，将批准后的《报告</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》送</w:t>
      </w:r>
      <w:r>
        <w:rPr>
          <w:rFonts w:hint="eastAsia" w:ascii="仿宋_GB2312" w:hAnsi="仿宋_GB2312" w:eastAsia="仿宋_GB2312" w:cs="仿宋_GB2312"/>
          <w:color w:val="auto"/>
          <w:sz w:val="32"/>
          <w:szCs w:val="32"/>
          <w:lang w:val="en-US" w:eastAsia="zh-CN"/>
        </w:rPr>
        <w:t>霍尔果斯市</w:t>
      </w:r>
      <w:r>
        <w:rPr>
          <w:rFonts w:hint="eastAsia" w:ascii="仿宋_GB2312" w:hAnsi="仿宋_GB2312" w:eastAsia="仿宋_GB2312" w:cs="仿宋_GB2312"/>
          <w:color w:val="auto"/>
          <w:sz w:val="32"/>
          <w:szCs w:val="32"/>
          <w:lang w:eastAsia="zh-CN"/>
        </w:rPr>
        <w:t>分局</w:t>
      </w:r>
      <w:r>
        <w:rPr>
          <w:rFonts w:hint="eastAsia" w:ascii="仿宋_GB2312" w:hAnsi="仿宋_GB2312" w:eastAsia="仿宋_GB2312" w:cs="仿宋_GB2312"/>
          <w:color w:val="auto"/>
          <w:sz w:val="32"/>
          <w:szCs w:val="32"/>
        </w:rPr>
        <w:t>，并按规定接受各级生态环境行政主管部门的监督检查。</w:t>
      </w:r>
    </w:p>
    <w:p>
      <w:pPr>
        <w:pStyle w:val="16"/>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（此件社会公开）</w:t>
      </w:r>
    </w:p>
    <w:p>
      <w:pPr>
        <w:keepNext w:val="0"/>
        <w:keepLines w:val="0"/>
        <w:pageBreakBefore w:val="0"/>
        <w:widowControl w:val="0"/>
        <w:kinsoku w:val="0"/>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2024年5月11日</w:t>
      </w:r>
    </w:p>
    <w:p>
      <w:pPr>
        <w:pStyle w:val="16"/>
        <w:keepNext w:val="0"/>
        <w:keepLines w:val="0"/>
        <w:pageBreakBefore w:val="0"/>
        <w:kinsoku w:val="0"/>
        <w:wordWrap/>
        <w:overflowPunct w:val="0"/>
        <w:topLinePunct w:val="0"/>
        <w:bidi w:val="0"/>
        <w:ind w:left="0"/>
        <w:jc w:val="both"/>
        <w:textAlignment w:val="auto"/>
        <w:rPr>
          <w:rFonts w:hint="eastAsia"/>
          <w:color w:val="auto"/>
        </w:rPr>
      </w:pPr>
    </w:p>
    <w:p>
      <w:pPr>
        <w:pStyle w:val="16"/>
        <w:keepNext w:val="0"/>
        <w:keepLines w:val="0"/>
        <w:pageBreakBefore w:val="0"/>
        <w:kinsoku w:val="0"/>
        <w:wordWrap/>
        <w:overflowPunct w:val="0"/>
        <w:topLinePunct w:val="0"/>
        <w:bidi w:val="0"/>
        <w:ind w:left="0"/>
        <w:jc w:val="both"/>
        <w:textAlignment w:val="auto"/>
        <w:rPr>
          <w:rFonts w:hint="eastAsia"/>
          <w:color w:val="auto"/>
        </w:rPr>
      </w:pPr>
    </w:p>
    <w:p>
      <w:pPr>
        <w:keepNext w:val="0"/>
        <w:keepLines w:val="0"/>
        <w:pageBreakBefore w:val="0"/>
        <w:kinsoku w:val="0"/>
        <w:wordWrap/>
        <w:overflowPunct w:val="0"/>
        <w:topLinePunct w:val="0"/>
        <w:bidi w:val="0"/>
        <w:ind w:left="0"/>
        <w:jc w:val="both"/>
        <w:textAlignment w:val="auto"/>
        <w:rPr>
          <w:rFonts w:hint="eastAsia"/>
          <w:color w:val="auto"/>
        </w:rPr>
      </w:pPr>
    </w:p>
    <w:p>
      <w:pPr>
        <w:pStyle w:val="16"/>
        <w:keepNext w:val="0"/>
        <w:keepLines w:val="0"/>
        <w:pageBreakBefore w:val="0"/>
        <w:kinsoku w:val="0"/>
        <w:wordWrap/>
        <w:overflowPunct w:val="0"/>
        <w:topLinePunct w:val="0"/>
        <w:bidi w:val="0"/>
        <w:ind w:left="0"/>
        <w:jc w:val="both"/>
        <w:textAlignment w:val="auto"/>
        <w:rPr>
          <w:rFonts w:hint="eastAsia"/>
          <w:color w:val="auto"/>
        </w:rPr>
      </w:pPr>
    </w:p>
    <w:p>
      <w:pPr>
        <w:keepNext w:val="0"/>
        <w:keepLines w:val="0"/>
        <w:pageBreakBefore w:val="0"/>
        <w:kinsoku w:val="0"/>
        <w:wordWrap/>
        <w:overflowPunct w:val="0"/>
        <w:topLinePunct w:val="0"/>
        <w:bidi w:val="0"/>
        <w:ind w:left="0"/>
        <w:jc w:val="both"/>
        <w:textAlignment w:val="auto"/>
        <w:rPr>
          <w:rFonts w:hint="eastAsia"/>
          <w:color w:val="auto"/>
        </w:rPr>
      </w:pPr>
    </w:p>
    <w:p>
      <w:pPr>
        <w:pStyle w:val="16"/>
        <w:keepNext w:val="0"/>
        <w:keepLines w:val="0"/>
        <w:pageBreakBefore w:val="0"/>
        <w:kinsoku w:val="0"/>
        <w:wordWrap/>
        <w:overflowPunct w:val="0"/>
        <w:topLinePunct w:val="0"/>
        <w:bidi w:val="0"/>
        <w:ind w:left="0"/>
        <w:jc w:val="both"/>
        <w:textAlignment w:val="auto"/>
        <w:rPr>
          <w:rFonts w:hint="eastAsia"/>
          <w:color w:val="auto"/>
        </w:rPr>
      </w:pPr>
    </w:p>
    <w:p>
      <w:pPr>
        <w:keepNext w:val="0"/>
        <w:keepLines w:val="0"/>
        <w:pageBreakBefore w:val="0"/>
        <w:kinsoku w:val="0"/>
        <w:wordWrap/>
        <w:overflowPunct w:val="0"/>
        <w:topLinePunct w:val="0"/>
        <w:bidi w:val="0"/>
        <w:ind w:left="0"/>
        <w:jc w:val="both"/>
        <w:textAlignment w:val="auto"/>
        <w:rPr>
          <w:rFonts w:hint="eastAsia"/>
          <w:color w:val="auto"/>
        </w:rPr>
      </w:pPr>
    </w:p>
    <w:p>
      <w:pPr>
        <w:pStyle w:val="16"/>
        <w:rPr>
          <w:rFonts w:hint="eastAsia"/>
          <w:color w:val="auto"/>
        </w:rPr>
      </w:pPr>
    </w:p>
    <w:p>
      <w:pPr>
        <w:rPr>
          <w:rFonts w:hint="eastAsia"/>
          <w:color w:val="auto"/>
        </w:rPr>
      </w:pPr>
    </w:p>
    <w:p>
      <w:pPr>
        <w:pStyle w:val="16"/>
        <w:rPr>
          <w:rFonts w:hint="eastAsia"/>
          <w:color w:val="auto"/>
        </w:rPr>
      </w:pPr>
    </w:p>
    <w:p>
      <w:pPr>
        <w:rPr>
          <w:rFonts w:hint="eastAsia"/>
        </w:rPr>
      </w:pPr>
    </w:p>
    <w:p>
      <w:pPr>
        <w:pStyle w:val="16"/>
        <w:keepNext w:val="0"/>
        <w:keepLines w:val="0"/>
        <w:pageBreakBefore w:val="0"/>
        <w:kinsoku w:val="0"/>
        <w:wordWrap/>
        <w:overflowPunct w:val="0"/>
        <w:topLinePunct w:val="0"/>
        <w:bidi w:val="0"/>
        <w:ind w:left="0"/>
        <w:jc w:val="both"/>
        <w:textAlignment w:val="auto"/>
        <w:rPr>
          <w:rFonts w:hint="eastAsia"/>
          <w:color w:val="auto"/>
        </w:rPr>
      </w:pPr>
    </w:p>
    <w:p>
      <w:pPr>
        <w:keepNext w:val="0"/>
        <w:keepLines w:val="0"/>
        <w:pageBreakBefore w:val="0"/>
        <w:kinsoku w:val="0"/>
        <w:wordWrap/>
        <w:overflowPunct w:val="0"/>
        <w:topLinePunct w:val="0"/>
        <w:bidi w:val="0"/>
        <w:ind w:left="0"/>
        <w:jc w:val="both"/>
        <w:textAlignment w:val="auto"/>
        <w:rPr>
          <w:rFonts w:hint="eastAsia"/>
          <w:color w:val="auto"/>
        </w:rPr>
      </w:pPr>
    </w:p>
    <w:p>
      <w:pPr>
        <w:pStyle w:val="16"/>
        <w:keepNext w:val="0"/>
        <w:keepLines w:val="0"/>
        <w:pageBreakBefore w:val="0"/>
        <w:kinsoku w:val="0"/>
        <w:wordWrap/>
        <w:overflowPunct w:val="0"/>
        <w:topLinePunct w:val="0"/>
        <w:bidi w:val="0"/>
        <w:ind w:left="0"/>
        <w:jc w:val="both"/>
        <w:textAlignment w:val="auto"/>
        <w:rPr>
          <w:rFonts w:hint="eastAsia"/>
          <w:color w:val="auto"/>
        </w:rPr>
      </w:pPr>
    </w:p>
    <w:p>
      <w:pPr>
        <w:keepNext w:val="0"/>
        <w:keepLines w:val="0"/>
        <w:pageBreakBefore w:val="0"/>
        <w:kinsoku w:val="0"/>
        <w:wordWrap/>
        <w:overflowPunct w:val="0"/>
        <w:topLinePunct w:val="0"/>
        <w:bidi w:val="0"/>
        <w:ind w:left="0"/>
        <w:jc w:val="both"/>
        <w:textAlignment w:val="auto"/>
        <w:rPr>
          <w:rFonts w:hint="eastAsia"/>
          <w:color w:val="auto"/>
        </w:rPr>
      </w:pPr>
    </w:p>
    <w:p>
      <w:pPr>
        <w:pStyle w:val="16"/>
        <w:keepNext w:val="0"/>
        <w:keepLines w:val="0"/>
        <w:pageBreakBefore w:val="0"/>
        <w:kinsoku w:val="0"/>
        <w:wordWrap/>
        <w:overflowPunct w:val="0"/>
        <w:topLinePunct w:val="0"/>
        <w:bidi w:val="0"/>
        <w:ind w:left="0"/>
        <w:jc w:val="both"/>
        <w:textAlignment w:val="auto"/>
        <w:rPr>
          <w:rFonts w:hint="eastAsia"/>
          <w:color w:val="auto"/>
        </w:rPr>
      </w:pPr>
    </w:p>
    <w:p>
      <w:pPr>
        <w:keepNext w:val="0"/>
        <w:keepLines w:val="0"/>
        <w:pageBreakBefore w:val="0"/>
        <w:kinsoku w:val="0"/>
        <w:wordWrap/>
        <w:overflowPunct w:val="0"/>
        <w:topLinePunct w:val="0"/>
        <w:bidi w:val="0"/>
        <w:ind w:left="0"/>
        <w:jc w:val="both"/>
        <w:textAlignment w:val="auto"/>
        <w:rPr>
          <w:rFonts w:hint="eastAsia"/>
          <w:color w:val="auto"/>
        </w:rPr>
      </w:pPr>
    </w:p>
    <w:p>
      <w:pPr>
        <w:pStyle w:val="16"/>
        <w:rPr>
          <w:rFonts w:hint="eastAsia"/>
          <w:color w:val="auto"/>
        </w:rPr>
      </w:pPr>
    </w:p>
    <w:p>
      <w:pPr>
        <w:rPr>
          <w:rFonts w:hint="eastAsia"/>
          <w:color w:val="auto"/>
        </w:rPr>
      </w:pPr>
    </w:p>
    <w:p>
      <w:pPr>
        <w:pStyle w:val="16"/>
        <w:rPr>
          <w:rFonts w:hint="eastAsia"/>
          <w:color w:val="auto"/>
        </w:rPr>
      </w:pPr>
    </w:p>
    <w:p>
      <w:pPr>
        <w:rPr>
          <w:rFonts w:hint="eastAsia"/>
          <w:color w:val="auto"/>
        </w:rPr>
      </w:pPr>
    </w:p>
    <w:p>
      <w:pPr>
        <w:pStyle w:val="16"/>
        <w:rPr>
          <w:rFonts w:hint="eastAsia"/>
          <w:color w:val="auto"/>
        </w:rPr>
      </w:pPr>
    </w:p>
    <w:p>
      <w:pPr>
        <w:rPr>
          <w:rFonts w:hint="eastAsia"/>
          <w:color w:val="auto"/>
        </w:rPr>
      </w:pPr>
    </w:p>
    <w:p>
      <w:pPr>
        <w:pStyle w:val="2"/>
        <w:rPr>
          <w:rFonts w:hint="eastAsia"/>
          <w:color w:val="auto"/>
        </w:rPr>
      </w:pPr>
    </w:p>
    <w:p>
      <w:pPr>
        <w:pStyle w:val="16"/>
        <w:rPr>
          <w:rFonts w:hint="eastAsia"/>
          <w:color w:val="auto"/>
        </w:rPr>
      </w:pPr>
    </w:p>
    <w:p>
      <w:pPr>
        <w:pStyle w:val="16"/>
        <w:rPr>
          <w:rFonts w:hint="eastAsia"/>
        </w:rPr>
      </w:pPr>
      <w:bookmarkStart w:id="0" w:name="_GoBack"/>
      <w:bookmarkEnd w:id="0"/>
    </w:p>
    <w:p>
      <w:pPr>
        <w:pStyle w:val="8"/>
        <w:keepNext w:val="0"/>
        <w:keepLines w:val="0"/>
        <w:pageBreakBefore w:val="0"/>
        <w:pBdr>
          <w:top w:val="single" w:color="auto" w:sz="12" w:space="1"/>
          <w:bottom w:val="single" w:color="auto" w:sz="12" w:space="1"/>
        </w:pBdr>
        <w:tabs>
          <w:tab w:val="left" w:pos="6840"/>
        </w:tabs>
        <w:kinsoku w:val="0"/>
        <w:wordWrap/>
        <w:overflowPunct w:val="0"/>
        <w:topLinePunct w:val="0"/>
        <w:bidi w:val="0"/>
        <w:spacing w:line="480" w:lineRule="exact"/>
        <w:ind w:left="1120" w:hanging="1120" w:hangingChars="400"/>
        <w:jc w:val="both"/>
        <w:textAlignment w:val="auto"/>
        <w:rPr>
          <w:rFonts w:hint="eastAsia" w:ascii="仿宋_GB2312" w:hAnsi="仿宋_GB2312" w:eastAsia="仿宋_GB2312" w:cs="仿宋_GB2312"/>
          <w:color w:val="auto"/>
          <w:sz w:val="28"/>
          <w:szCs w:val="28"/>
        </w:rPr>
      </w:pPr>
      <w:r>
        <w:rPr>
          <w:rFonts w:hint="eastAsia" w:ascii="方正仿宋简体" w:hAnsi="方正仿宋简体" w:eastAsia="方正仿宋简体" w:cs="方正仿宋简体"/>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抄</w:t>
      </w:r>
      <w:r>
        <w:rPr>
          <w:rFonts w:hint="eastAsia" w:ascii="仿宋_GB2312" w:hAnsi="仿宋_GB2312" w:eastAsia="仿宋_GB2312" w:cs="仿宋_GB2312"/>
          <w:color w:val="auto"/>
          <w:sz w:val="28"/>
          <w:szCs w:val="28"/>
        </w:rPr>
        <w:t>送：</w:t>
      </w:r>
      <w:r>
        <w:rPr>
          <w:rFonts w:hint="eastAsia" w:ascii="仿宋_GB2312" w:hAnsi="仿宋_GB2312" w:eastAsia="仿宋_GB2312" w:cs="仿宋_GB2312"/>
          <w:sz w:val="28"/>
          <w:szCs w:val="28"/>
        </w:rPr>
        <w:t>州</w:t>
      </w:r>
      <w:r>
        <w:rPr>
          <w:rFonts w:hint="eastAsia" w:ascii="仿宋_GB2312" w:hAnsi="仿宋_GB2312" w:eastAsia="仿宋_GB2312" w:cs="仿宋_GB2312"/>
          <w:sz w:val="28"/>
          <w:szCs w:val="28"/>
          <w:lang w:val="en-US" w:eastAsia="zh-CN"/>
        </w:rPr>
        <w:t>生态环境保护综合行政执法支</w:t>
      </w:r>
      <w:r>
        <w:rPr>
          <w:rFonts w:hint="eastAsia" w:ascii="仿宋_GB2312" w:hAnsi="仿宋_GB2312" w:eastAsia="仿宋_GB2312" w:cs="仿宋_GB2312"/>
          <w:sz w:val="28"/>
          <w:szCs w:val="28"/>
        </w:rPr>
        <w:t>队</w:t>
      </w:r>
      <w:r>
        <w:rPr>
          <w:rFonts w:hint="eastAsia" w:ascii="仿宋_GB2312" w:hAnsi="仿宋_GB2312" w:eastAsia="仿宋_GB2312" w:cs="仿宋_GB2312"/>
          <w:color w:val="auto"/>
          <w:sz w:val="28"/>
          <w:szCs w:val="28"/>
          <w:lang w:val="en-US" w:eastAsia="zh-CN"/>
        </w:rPr>
        <w:t>，霍尔果斯市</w:t>
      </w:r>
      <w:r>
        <w:rPr>
          <w:rFonts w:hint="eastAsia" w:ascii="仿宋_GB2312" w:hAnsi="仿宋_GB2312" w:eastAsia="仿宋_GB2312" w:cs="仿宋_GB2312"/>
          <w:sz w:val="28"/>
          <w:szCs w:val="28"/>
          <w:lang w:val="en-US" w:eastAsia="zh-CN"/>
        </w:rPr>
        <w:t>分局，新疆天润坤成环保科技有限公司，本局存</w:t>
      </w:r>
      <w:r>
        <w:rPr>
          <w:rFonts w:hint="eastAsia" w:ascii="仿宋_GB2312" w:hAnsi="仿宋_GB2312" w:eastAsia="仿宋_GB2312" w:cs="仿宋_GB2312"/>
          <w:color w:val="auto"/>
          <w:sz w:val="28"/>
          <w:szCs w:val="28"/>
          <w:lang w:val="en-US" w:eastAsia="zh-CN"/>
        </w:rPr>
        <w:t>档</w:t>
      </w:r>
      <w:r>
        <w:rPr>
          <w:rFonts w:hint="eastAsia" w:ascii="仿宋_GB2312" w:hAnsi="仿宋_GB2312" w:eastAsia="仿宋_GB2312" w:cs="仿宋_GB2312"/>
          <w:color w:val="auto"/>
          <w:sz w:val="28"/>
          <w:szCs w:val="28"/>
        </w:rPr>
        <w:t>。</w:t>
      </w:r>
    </w:p>
    <w:p>
      <w:pPr>
        <w:pStyle w:val="8"/>
        <w:keepNext w:val="0"/>
        <w:keepLines w:val="0"/>
        <w:pageBreakBefore w:val="0"/>
        <w:pBdr>
          <w:bottom w:val="single" w:color="auto" w:sz="12" w:space="1"/>
          <w:between w:val="single" w:color="auto" w:sz="12" w:space="1"/>
        </w:pBdr>
        <w:tabs>
          <w:tab w:val="left" w:pos="6840"/>
        </w:tabs>
        <w:kinsoku w:val="0"/>
        <w:wordWrap/>
        <w:overflowPunct w:val="0"/>
        <w:topLinePunct w:val="0"/>
        <w:bidi w:val="0"/>
        <w:spacing w:line="480" w:lineRule="exact"/>
        <w:ind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伊犁哈萨克自治州</w:t>
      </w:r>
      <w:r>
        <w:rPr>
          <w:rFonts w:hint="eastAsia" w:ascii="仿宋_GB2312" w:hAnsi="仿宋_GB2312" w:eastAsia="仿宋_GB2312" w:cs="仿宋_GB2312"/>
          <w:color w:val="auto"/>
          <w:sz w:val="28"/>
          <w:szCs w:val="28"/>
          <w:lang w:eastAsia="zh-CN"/>
        </w:rPr>
        <w:t>生态环境</w:t>
      </w:r>
      <w:r>
        <w:rPr>
          <w:rFonts w:hint="eastAsia" w:ascii="仿宋_GB2312" w:hAnsi="仿宋_GB2312" w:eastAsia="仿宋_GB2312" w:cs="仿宋_GB2312"/>
          <w:color w:val="auto"/>
          <w:sz w:val="28"/>
          <w:szCs w:val="28"/>
        </w:rPr>
        <w:t xml:space="preserve">局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日 印发</w:t>
      </w:r>
    </w:p>
    <w:sectPr>
      <w:footerReference r:id="rId3" w:type="default"/>
      <w:footerReference r:id="rId4" w:type="even"/>
      <w:pgSz w:w="11906" w:h="16838"/>
      <w:pgMar w:top="2098" w:right="1531" w:bottom="1531" w:left="1531" w:header="850"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altName w:val="宋体"/>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right="283" w:firstLine="363"/>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Style w:val="15"/>
                              <w:rFonts w:hint="eastAsia" w:ascii="宋体" w:hAnsi="宋体" w:eastAsia="宋体" w:cs="宋体"/>
                              <w:sz w:val="24"/>
                              <w:szCs w:val="28"/>
                              <w:lang w:val="en-US" w:eastAsia="zh-CN"/>
                            </w:rPr>
                          </w:pPr>
                          <w:r>
                            <w:rPr>
                              <w:rFonts w:hint="eastAsia" w:ascii="宋体" w:hAnsi="宋体" w:eastAsia="宋体" w:cs="宋体"/>
                              <w:sz w:val="24"/>
                              <w:szCs w:val="28"/>
                            </w:rPr>
                            <w:fldChar w:fldCharType="begin"/>
                          </w:r>
                          <w:r>
                            <w:rPr>
                              <w:rStyle w:val="15"/>
                              <w:rFonts w:hint="eastAsia" w:ascii="宋体" w:hAnsi="宋体" w:eastAsia="宋体" w:cs="宋体"/>
                              <w:sz w:val="24"/>
                              <w:szCs w:val="28"/>
                            </w:rPr>
                            <w:instrText xml:space="preserve">PAGE  </w:instrText>
                          </w:r>
                          <w:r>
                            <w:rPr>
                              <w:rFonts w:hint="eastAsia" w:ascii="宋体" w:hAnsi="宋体" w:eastAsia="宋体" w:cs="宋体"/>
                              <w:sz w:val="24"/>
                              <w:szCs w:val="28"/>
                            </w:rPr>
                            <w:fldChar w:fldCharType="separate"/>
                          </w:r>
                          <w:r>
                            <w:rPr>
                              <w:rStyle w:val="15"/>
                              <w:rFonts w:hint="eastAsia" w:ascii="宋体" w:hAnsi="宋体" w:eastAsia="宋体" w:cs="宋体"/>
                              <w:sz w:val="24"/>
                              <w:szCs w:val="28"/>
                            </w:rPr>
                            <w:t>- 3 -</w:t>
                          </w:r>
                          <w:r>
                            <w:rPr>
                              <w:rFonts w:hint="eastAsia" w:ascii="宋体" w:hAnsi="宋体" w:eastAsia="宋体" w:cs="宋体"/>
                              <w:sz w:val="24"/>
                              <w:szCs w:val="28"/>
                            </w:rPr>
                            <w:fldChar w:fldCharType="end"/>
                          </w:r>
                          <w:r>
                            <w:rPr>
                              <w:rFonts w:hint="eastAsia" w:ascii="宋体" w:hAnsi="宋体" w:cs="宋体"/>
                              <w:sz w:val="24"/>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Style w:val="15"/>
                        <w:rFonts w:hint="eastAsia" w:ascii="宋体" w:hAnsi="宋体" w:eastAsia="宋体" w:cs="宋体"/>
                        <w:sz w:val="24"/>
                        <w:szCs w:val="28"/>
                        <w:lang w:val="en-US" w:eastAsia="zh-CN"/>
                      </w:rPr>
                    </w:pPr>
                    <w:r>
                      <w:rPr>
                        <w:rFonts w:hint="eastAsia" w:ascii="宋体" w:hAnsi="宋体" w:eastAsia="宋体" w:cs="宋体"/>
                        <w:sz w:val="24"/>
                        <w:szCs w:val="28"/>
                      </w:rPr>
                      <w:fldChar w:fldCharType="begin"/>
                    </w:r>
                    <w:r>
                      <w:rPr>
                        <w:rStyle w:val="15"/>
                        <w:rFonts w:hint="eastAsia" w:ascii="宋体" w:hAnsi="宋体" w:eastAsia="宋体" w:cs="宋体"/>
                        <w:sz w:val="24"/>
                        <w:szCs w:val="28"/>
                      </w:rPr>
                      <w:instrText xml:space="preserve">PAGE  </w:instrText>
                    </w:r>
                    <w:r>
                      <w:rPr>
                        <w:rFonts w:hint="eastAsia" w:ascii="宋体" w:hAnsi="宋体" w:eastAsia="宋体" w:cs="宋体"/>
                        <w:sz w:val="24"/>
                        <w:szCs w:val="28"/>
                      </w:rPr>
                      <w:fldChar w:fldCharType="separate"/>
                    </w:r>
                    <w:r>
                      <w:rPr>
                        <w:rStyle w:val="15"/>
                        <w:rFonts w:hint="eastAsia" w:ascii="宋体" w:hAnsi="宋体" w:eastAsia="宋体" w:cs="宋体"/>
                        <w:sz w:val="24"/>
                        <w:szCs w:val="28"/>
                      </w:rPr>
                      <w:t>- 3 -</w:t>
                    </w:r>
                    <w:r>
                      <w:rPr>
                        <w:rFonts w:hint="eastAsia" w:ascii="宋体" w:hAnsi="宋体" w:eastAsia="宋体" w:cs="宋体"/>
                        <w:sz w:val="24"/>
                        <w:szCs w:val="28"/>
                      </w:rPr>
                      <w:fldChar w:fldCharType="end"/>
                    </w:r>
                    <w:r>
                      <w:rPr>
                        <w:rFonts w:hint="eastAsia" w:ascii="宋体" w:hAnsi="宋体" w:cs="宋体"/>
                        <w:sz w:val="24"/>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inside" w:y="1"/>
      <w:rPr>
        <w:rStyle w:val="15"/>
      </w:rPr>
    </w:pPr>
    <w:r>
      <w:fldChar w:fldCharType="begin"/>
    </w:r>
    <w:r>
      <w:rPr>
        <w:rStyle w:val="15"/>
      </w:rPr>
      <w:instrText xml:space="preserve">PAGE  </w:instrText>
    </w:r>
    <w: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1AB98"/>
    <w:multiLevelType w:val="singleLevel"/>
    <w:tmpl w:val="CC91AB98"/>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7BA63C67"/>
    <w:rsid w:val="0175688E"/>
    <w:rsid w:val="01B1062E"/>
    <w:rsid w:val="05C33A5A"/>
    <w:rsid w:val="0630378A"/>
    <w:rsid w:val="0A4A63EE"/>
    <w:rsid w:val="0CAC29D8"/>
    <w:rsid w:val="0D2841A9"/>
    <w:rsid w:val="1331710B"/>
    <w:rsid w:val="159C624E"/>
    <w:rsid w:val="197E13DE"/>
    <w:rsid w:val="1A6A0E90"/>
    <w:rsid w:val="1EBC7EFE"/>
    <w:rsid w:val="22311B26"/>
    <w:rsid w:val="25DE616A"/>
    <w:rsid w:val="2AEB56D9"/>
    <w:rsid w:val="2C852804"/>
    <w:rsid w:val="2CC3587C"/>
    <w:rsid w:val="2EA3475C"/>
    <w:rsid w:val="3C67458E"/>
    <w:rsid w:val="47190301"/>
    <w:rsid w:val="498A61BE"/>
    <w:rsid w:val="4D030731"/>
    <w:rsid w:val="4D637566"/>
    <w:rsid w:val="52156F02"/>
    <w:rsid w:val="540A6CA8"/>
    <w:rsid w:val="54C33D35"/>
    <w:rsid w:val="5B746C83"/>
    <w:rsid w:val="5C24735E"/>
    <w:rsid w:val="60101445"/>
    <w:rsid w:val="6401159E"/>
    <w:rsid w:val="67926255"/>
    <w:rsid w:val="68EC782C"/>
    <w:rsid w:val="69690340"/>
    <w:rsid w:val="6AE6467B"/>
    <w:rsid w:val="711A3516"/>
    <w:rsid w:val="73D146AC"/>
    <w:rsid w:val="76265C1A"/>
    <w:rsid w:val="7BA6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表头"/>
    <w:basedOn w:val="3"/>
    <w:next w:val="1"/>
    <w:qFormat/>
    <w:uiPriority w:val="0"/>
    <w:pPr>
      <w:spacing w:beforeLines="25" w:afterLines="25" w:line="360" w:lineRule="auto"/>
      <w:jc w:val="center"/>
      <w:outlineLvl w:val="3"/>
    </w:pPr>
    <w:rPr>
      <w:rFonts w:eastAsia="仿宋_GB2312"/>
      <w:b/>
      <w:lang w:val="zh-CN" w:eastAsia="zh-CN"/>
    </w:rPr>
  </w:style>
  <w:style w:type="paragraph" w:styleId="3">
    <w:name w:val="Body Text 2"/>
    <w:basedOn w:val="1"/>
    <w:qFormat/>
    <w:uiPriority w:val="0"/>
    <w:pPr>
      <w:spacing w:after="120" w:afterLines="0" w:line="480" w:lineRule="auto"/>
    </w:pPr>
    <w:rPr>
      <w:rFonts w:eastAsia="仿宋_GB2312"/>
    </w:rPr>
  </w:style>
  <w:style w:type="paragraph" w:styleId="5">
    <w:name w:val="Body Text"/>
    <w:basedOn w:val="1"/>
    <w:next w:val="6"/>
    <w:qFormat/>
    <w:uiPriority w:val="1"/>
    <w:pPr>
      <w:spacing w:before="175"/>
      <w:ind w:left="305"/>
    </w:pPr>
    <w:rPr>
      <w:rFonts w:ascii="华文中宋" w:hAnsi="华文中宋" w:eastAsia="华文中宋" w:cs="华文中宋"/>
      <w:sz w:val="24"/>
      <w:szCs w:val="24"/>
    </w:rPr>
  </w:style>
  <w:style w:type="paragraph" w:styleId="6">
    <w:name w:val="List Bullet 5"/>
    <w:basedOn w:val="1"/>
    <w:uiPriority w:val="0"/>
    <w:pPr>
      <w:numPr>
        <w:ilvl w:val="0"/>
        <w:numId w:val="1"/>
      </w:numPr>
    </w:pPr>
  </w:style>
  <w:style w:type="paragraph" w:styleId="7">
    <w:name w:val="Body Text Indent"/>
    <w:basedOn w:val="1"/>
    <w:next w:val="4"/>
    <w:qFormat/>
    <w:uiPriority w:val="0"/>
    <w:pPr>
      <w:spacing w:after="120"/>
      <w:ind w:left="420" w:leftChars="200"/>
    </w:pPr>
    <w:rPr>
      <w:kern w:val="0"/>
      <w:sz w:val="24"/>
      <w:szCs w:val="20"/>
    </w:rPr>
  </w:style>
  <w:style w:type="paragraph" w:styleId="8">
    <w:name w:val="Plain Text"/>
    <w:basedOn w:val="1"/>
    <w:next w:val="5"/>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next w:val="1"/>
    <w:qFormat/>
    <w:uiPriority w:val="0"/>
    <w:pPr>
      <w:ind w:firstLine="420" w:firstLineChars="200"/>
    </w:pPr>
    <w:rPr>
      <w:rFonts w:ascii="Times New Roman" w:hAnsi="Times New Roman" w:eastAsia="宋体" w:cs="Times New Roman"/>
    </w:rPr>
  </w:style>
  <w:style w:type="paragraph" w:customStyle="1" w:styleId="14">
    <w:name w:val="Char Char11"/>
    <w:basedOn w:val="1"/>
    <w:link w:val="13"/>
    <w:qFormat/>
    <w:uiPriority w:val="0"/>
  </w:style>
  <w:style w:type="character" w:styleId="15">
    <w:name w:val="page number"/>
    <w:basedOn w:val="13"/>
    <w:qFormat/>
    <w:uiPriority w:val="0"/>
  </w:style>
  <w:style w:type="paragraph" w:customStyle="1" w:styleId="16">
    <w:name w:val="Default"/>
    <w:basedOn w:val="17"/>
    <w:next w:val="1"/>
    <w:qFormat/>
    <w:uiPriority w:val="0"/>
    <w:pPr>
      <w:widowControl w:val="0"/>
      <w:tabs>
        <w:tab w:val="left" w:pos="2760"/>
      </w:tabs>
      <w:autoSpaceDE w:val="0"/>
      <w:autoSpaceDN w:val="0"/>
      <w:adjustRightInd w:val="0"/>
    </w:pPr>
    <w:rPr>
      <w:rFonts w:ascii="隶书" w:hAnsi="Times New Roman" w:eastAsia="隶书" w:cs="隶书"/>
      <w:color w:val="000000"/>
      <w:sz w:val="24"/>
      <w:szCs w:val="24"/>
      <w:lang w:val="en-US" w:eastAsia="zh-CN" w:bidi="ar-SA"/>
    </w:rPr>
  </w:style>
  <w:style w:type="paragraph" w:customStyle="1" w:styleId="17">
    <w:name w:val="纯文本1"/>
    <w:basedOn w:val="1"/>
    <w:qFormat/>
    <w:uiPriority w:val="0"/>
    <w:pPr>
      <w:tabs>
        <w:tab w:val="left" w:pos="2760"/>
      </w:tabs>
      <w:adjustRightInd w:val="0"/>
    </w:pPr>
    <w:rPr>
      <w:rFonts w:ascii="宋体" w:hAnsi="Courier New"/>
      <w:szCs w:val="20"/>
    </w:rPr>
  </w:style>
  <w:style w:type="paragraph" w:customStyle="1" w:styleId="18">
    <w:name w:val="B正文"/>
    <w:basedOn w:val="1"/>
    <w:qFormat/>
    <w:uiPriority w:val="0"/>
    <w:pPr>
      <w:widowControl/>
      <w:spacing w:line="360" w:lineRule="auto"/>
      <w:ind w:firstLine="200" w:firstLineChars="200"/>
      <w:jc w:val="left"/>
    </w:pPr>
    <w:rPr>
      <w:rFonts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1763</Words>
  <Characters>1946</Characters>
  <Lines>0</Lines>
  <Paragraphs>0</Paragraphs>
  <TotalTime>0</TotalTime>
  <ScaleCrop>false</ScaleCrop>
  <LinksUpToDate>false</LinksUpToDate>
  <CharactersWithSpaces>1996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2022-06-09T03:28:00Z</dcterms:created>
  <dc:creator>xinjian</dc:creator>
  <cp:lastModifiedBy>Administrator</cp:lastModifiedBy>
  <cp:lastPrinted>2024-05-11T08:48:00Z</cp:lastPrinted>
  <dcterms:modified xsi:type="dcterms:W3CDTF">2024-05-13T02:45:02Z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CAF2771A893842B6893AAC7D8675643A</vt:lpwstr>
  </property>
</Properties>
</file>