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伊州环函</w:t>
      </w:r>
      <w:r>
        <w:rPr>
          <w:rFonts w:ascii="仿宋_GB2312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伊犁包尔其110千伏输变电工程</w:t>
      </w:r>
      <w:r>
        <w:rPr>
          <w:rFonts w:hint="eastAsia" w:ascii="方正小标宋简体" w:eastAsia="方正小标宋简体"/>
          <w:sz w:val="44"/>
          <w:szCs w:val="44"/>
        </w:rPr>
        <w:t>环境影响报告表的批复</w:t>
      </w:r>
    </w:p>
    <w:p>
      <w:pPr>
        <w:autoSpaceDE w:val="0"/>
        <w:adjustRightInd w:val="0"/>
        <w:snapToGrid w:val="0"/>
        <w:spacing w:line="600" w:lineRule="exact"/>
        <w:rPr>
          <w:rFonts w:hint="eastAsia"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 xml:space="preserve">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国网伊犁伊河供电有限责任公司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你公司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伊犁包尔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其110千伏输变电工程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</w:rPr>
        <w:t>环</w:t>
      </w:r>
      <w:r>
        <w:rPr>
          <w:rFonts w:hint="eastAsia" w:ascii="仿宋_GB2312" w:eastAsia="仿宋_GB2312"/>
          <w:kern w:val="21"/>
          <w:sz w:val="32"/>
          <w:szCs w:val="32"/>
        </w:rPr>
        <w:t>境影响报告表审批申请函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21"/>
          <w:sz w:val="32"/>
          <w:szCs w:val="32"/>
        </w:rPr>
        <w:t>及相关附件均已收悉。经研究，批复如下：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  <w:t>一、拟新建包尔其110kV变电站位于伊宁县英塔木镇，站址北侧距阿不拉什村约3.5km，东距奶牛场约300m，西距X706县道约60m。拟扩建青年220kV变电站位于伊宁县青年农场场部以北2km处。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  <w:t>该项目建设内容为：新建包尔其110kV变电站，总用地面积0.5276hm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  <w:t>，中心地理坐标N43°48′56″；E81°40′28″，本期主变容量2×50MVA，终期主变容量2×50MVA；新建青年-包尔其110kV线路工程，线路总长约10.8km，采用单、双回路架设，导线采用JL3/G1A-240/30型钢芯铝绞线。地线为全线架设双地线，采用48芯OPGW型复合光缆。配套建设通信工程；青年220kV变电站110kV间隔扩建工程，中心地理坐标N43°53′03″，E81°43′49″，本期扩建2个110kV出线间隔，自南向北第一、第二个间隔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  <w:t>项目总投资6974.45万元，环保投资304万元，占总投资的4.35%。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二、根据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新疆鼎耀工程咨询有限公司</w:t>
      </w:r>
      <w:r>
        <w:rPr>
          <w:rFonts w:hint="eastAsia" w:ascii="仿宋_GB2312" w:eastAsia="仿宋_GB2312"/>
          <w:kern w:val="21"/>
          <w:sz w:val="32"/>
          <w:szCs w:val="32"/>
        </w:rPr>
        <w:t>编制的《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伊犁包尔其110千伏输变电工程</w:t>
      </w:r>
      <w:r>
        <w:rPr>
          <w:rFonts w:hint="eastAsia" w:ascii="仿宋_GB2312" w:eastAsia="仿宋_GB2312"/>
          <w:kern w:val="21"/>
          <w:sz w:val="32"/>
          <w:szCs w:val="32"/>
        </w:rPr>
        <w:t>环境影响报告表》（以下简称《报告表》），在全面落实《报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三、在项目建设和运行过程中要严格落实《报告表》中提出的各项环保措施和建议，严格执行环保“三同时”制度，确保污染物稳定达标排放，并达到以下要求：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）加强施工期环境管理，严格落实“报告表”中提出的施工期生态保护和污染防治措施。</w:t>
      </w:r>
      <w:r>
        <w:rPr>
          <w:rFonts w:hint="eastAsia" w:ascii="仿宋_GB2312" w:eastAsia="仿宋_GB2312"/>
          <w:kern w:val="0"/>
          <w:sz w:val="32"/>
          <w:szCs w:val="32"/>
        </w:rPr>
        <w:t>合理规划，严格划定施工作业范围，尽量减少临时占地。施工前对施工人员进行教育培训，规范施工行为，施工人员和车辆在规定范围内活动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禁止在地表水体清洗车辆机械，严禁固废、生活垃圾等进入水体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加强施工现场和物料运输的管理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，减少施工扬尘。对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-US" w:eastAsia="zh-CN"/>
        </w:rPr>
        <w:t>施工现场的主要道路进行硬化，并定期清扫、洒水，对易起尘的临时堆土、运输过程中的土石方等采取防尘布（网）进行苫盖，大风天气停止土方作业；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工程土石方开挖回填后剩余的土方就地摊平压实处理，建筑垃圾外运至市政部门指定的垃圾堆放场，生活垃圾收集后定期送往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就近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垃圾填埋场处理；施工期采用低噪声设备，避免噪声扰民。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施工结束后，及时清理施工现场，做好平整、回填、覆土和恢复。铁塔基础等施工完毕后，应按设计要求对塔基基础周边开挖部分进行覆土，并进行平整夯实，以减少水土流失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对塔基、牵张场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和施工道路</w:t>
      </w:r>
      <w:r>
        <w:rPr>
          <w:rFonts w:hint="eastAsia" w:ascii="仿宋_GB2312" w:eastAsia="仿宋_GB2312"/>
          <w:kern w:val="0"/>
          <w:sz w:val="32"/>
          <w:szCs w:val="32"/>
        </w:rPr>
        <w:t>等施工扰动区地表进行平整，恢复地貌。</w:t>
      </w:r>
    </w:p>
    <w:p>
      <w:pPr>
        <w:pStyle w:val="12"/>
        <w:autoSpaceDE w:val="0"/>
        <w:spacing w:before="0" w:beforeAutospacing="0" w:after="0" w:line="560" w:lineRule="exact"/>
        <w:ind w:left="0" w:leftChars="0" w:firstLine="640"/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（</w:t>
      </w:r>
      <w:r>
        <w:rPr>
          <w:rFonts w:hint="eastAsia" w:eastAsia="仿宋_GB2312" w:cs="Times New Roman"/>
          <w:w w:val="10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）</w:t>
      </w:r>
      <w:r>
        <w:rPr>
          <w:rFonts w:hint="eastAsia" w:eastAsia="仿宋_GB2312" w:cs="Times New Roman"/>
          <w:w w:val="100"/>
          <w:kern w:val="0"/>
          <w:sz w:val="32"/>
          <w:szCs w:val="32"/>
          <w:lang w:eastAsia="zh-CN"/>
        </w:rPr>
        <w:t>线路沿线声环境应符合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《声环境质量标准》(GB3096-2008)中相应功能区标准要求，</w:t>
      </w: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主变等要选用低噪声设备，并采取减震、隔声措施，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变电站站址满足《工业企业厂界环境噪声排放标准》(GB12348-2008)中2类标准的要求</w:t>
      </w: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运行期间产生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废铅酸蓄电池和废油要严格按照危险废物的有关要求进行管理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，交有相关资质的单位进行处理。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-US" w:eastAsia="zh-CN"/>
        </w:rPr>
        <w:t>合理布局站内电气设备及配电装置，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" w:eastAsia="zh-CN"/>
        </w:rPr>
        <w:t>认真落实《报告表》中提出的控制和改善工频电场、工频磁场对周边环境影响的措施和方法，变电站围墙外工频电场、工频磁场应符合《电磁环境控制限值》</w:t>
      </w:r>
      <w:r>
        <w:rPr>
          <w:rFonts w:hint="default" w:ascii="Times New Roman" w:hAnsi="Times New Roman" w:eastAsia="仿宋_GB2312" w:cs="Times New Roman"/>
          <w:color w:val="333333"/>
          <w:w w:val="100"/>
          <w:sz w:val="32"/>
          <w:szCs w:val="32"/>
          <w:lang w:val="en"/>
        </w:rPr>
        <w:t>（GB8702-2014）要求。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-US" w:eastAsia="zh-CN"/>
        </w:rPr>
        <w:t>做好警示标志的悬挂设立工作，禁止无关人员进入升压站或靠近带电架构，加强对周边群众的电磁环境知识的宣传。做好员工电磁基础知识培训和电磁辐射监测工作。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四、环境影响报告表经批准后，如工程性质、规模、地点或生态保护、污染防治措施发生重大变动，须报我局重新审批。项目竣工后，应按规定程序开展竣工环境保护验收。施工期和运营期的生态环境监督管理由</w:t>
      </w:r>
      <w:r>
        <w:rPr>
          <w:rFonts w:hint="eastAsia" w:eastAsia="仿宋_GB2312" w:cs="Times New Roman"/>
          <w:w w:val="100"/>
          <w:kern w:val="0"/>
          <w:sz w:val="32"/>
          <w:szCs w:val="32"/>
          <w:lang w:val="en-US" w:eastAsia="zh-CN" w:bidi="ar-SA"/>
        </w:rPr>
        <w:t>伊宁县分局</w:t>
      </w:r>
      <w:r>
        <w:rPr>
          <w:rFonts w:hint="eastAsia" w:ascii="仿宋_GB2312" w:eastAsia="仿宋_GB2312"/>
          <w:kern w:val="21"/>
          <w:sz w:val="32"/>
          <w:szCs w:val="32"/>
        </w:rPr>
        <w:t>负责，州生态环境保护综合行政执法支队不定期进行抽查。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五、你公司应在收到本批复后20个工作日内，将批准后的《报告表》送</w:t>
      </w:r>
      <w:r>
        <w:rPr>
          <w:rFonts w:hint="eastAsia" w:eastAsia="仿宋_GB2312" w:cs="Times New Roman"/>
          <w:w w:val="100"/>
          <w:kern w:val="0"/>
          <w:sz w:val="32"/>
          <w:szCs w:val="32"/>
          <w:lang w:val="en-US" w:eastAsia="zh-CN" w:bidi="ar-SA"/>
        </w:rPr>
        <w:t>伊宁县分局</w:t>
      </w:r>
      <w:r>
        <w:rPr>
          <w:rFonts w:hint="eastAsia" w:ascii="仿宋_GB2312" w:eastAsia="仿宋_GB2312"/>
          <w:kern w:val="21"/>
          <w:sz w:val="32"/>
          <w:szCs w:val="32"/>
        </w:rPr>
        <w:t>，并按规定接受各级生态环境行政主管部门的监督检查。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640" w:hanging="640" w:hangingChars="200"/>
        <w:jc w:val="both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 xml:space="preserve">   （此件社会公开）</w:t>
      </w:r>
    </w:p>
    <w:p>
      <w:pPr>
        <w:pStyle w:val="11"/>
        <w:widowControl/>
        <w:autoSpaceDE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 xml:space="preserve"> </w:t>
      </w:r>
    </w:p>
    <w:p>
      <w:pPr>
        <w:pStyle w:val="11"/>
        <w:widowControl/>
        <w:autoSpaceDE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202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21"/>
          <w:sz w:val="32"/>
          <w:szCs w:val="32"/>
        </w:rPr>
        <w:t>年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21"/>
          <w:sz w:val="32"/>
          <w:szCs w:val="32"/>
        </w:rPr>
        <w:t>月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21"/>
          <w:sz w:val="32"/>
          <w:szCs w:val="32"/>
        </w:rPr>
        <w:t>日</w:t>
      </w:r>
    </w:p>
    <w:p>
      <w:pPr>
        <w:pStyle w:val="4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6"/>
        <w:pBdr>
          <w:top w:val="single" w:color="auto" w:sz="12" w:space="1"/>
          <w:bottom w:val="single" w:color="auto" w:sz="12" w:space="1"/>
        </w:pBdr>
        <w:spacing w:line="560" w:lineRule="exact"/>
        <w:ind w:left="840" w:hanging="840" w:hanging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抄送：州生态环境保护综合行政执法支队，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伊犁哈萨克自治州生态环境局伊宁县分局</w:t>
      </w:r>
      <w:r>
        <w:rPr>
          <w:rFonts w:ascii="仿宋_GB2312" w:hAnsi="Times New Roman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新疆鼎耀工程咨询有限公司</w:t>
      </w:r>
      <w:r>
        <w:rPr>
          <w:rFonts w:ascii="仿宋_GB2312" w:hAnsi="Times New Roman" w:eastAsia="仿宋_GB2312" w:cs="Times New Roman"/>
          <w:sz w:val="28"/>
          <w:szCs w:val="28"/>
        </w:rPr>
        <w:t>，本局存档。</w:t>
      </w:r>
    </w:p>
    <w:p>
      <w:pPr>
        <w:pStyle w:val="6"/>
        <w:pBdr>
          <w:bottom w:val="single" w:color="auto" w:sz="12" w:space="1"/>
        </w:pBdr>
        <w:spacing w:line="560" w:lineRule="exact"/>
        <w:ind w:firstLine="140" w:firstLineChars="50"/>
        <w:rPr>
          <w:rFonts w:ascii="Times New Roman" w:hAnsi="Times New Roman" w:cs="Times New Roman"/>
        </w:rPr>
      </w:pPr>
      <w:r>
        <w:rPr>
          <w:rFonts w:ascii="仿宋_GB2312" w:hAnsi="Times New Roman" w:eastAsia="仿宋_GB2312" w:cs="Times New Roman"/>
          <w:sz w:val="28"/>
          <w:szCs w:val="28"/>
        </w:rPr>
        <w:t>伊犁哈萨克自治州生态环境局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ascii="仿宋_GB2312" w:hAnsi="Times New Roman" w:eastAsia="仿宋_GB2312" w:cs="Times New Roman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28"/>
          <w:szCs w:val="28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439"/>
    <w:rsid w:val="00261439"/>
    <w:rsid w:val="002A7078"/>
    <w:rsid w:val="005776E3"/>
    <w:rsid w:val="00817814"/>
    <w:rsid w:val="00B41F5D"/>
    <w:rsid w:val="00D723EF"/>
    <w:rsid w:val="00DE082E"/>
    <w:rsid w:val="052B3346"/>
    <w:rsid w:val="05FB28DB"/>
    <w:rsid w:val="08EA1D3D"/>
    <w:rsid w:val="0BDB5438"/>
    <w:rsid w:val="0D5A0767"/>
    <w:rsid w:val="0F8758A6"/>
    <w:rsid w:val="111007FA"/>
    <w:rsid w:val="11B67C1F"/>
    <w:rsid w:val="12317569"/>
    <w:rsid w:val="14815B34"/>
    <w:rsid w:val="1BF765EF"/>
    <w:rsid w:val="1CB303A9"/>
    <w:rsid w:val="1DE36CA3"/>
    <w:rsid w:val="22BB378E"/>
    <w:rsid w:val="240F7F39"/>
    <w:rsid w:val="243200EE"/>
    <w:rsid w:val="24E673BF"/>
    <w:rsid w:val="2BB5313E"/>
    <w:rsid w:val="2D366D2B"/>
    <w:rsid w:val="2E063012"/>
    <w:rsid w:val="32186CC0"/>
    <w:rsid w:val="355C5798"/>
    <w:rsid w:val="3910395E"/>
    <w:rsid w:val="3CDB5790"/>
    <w:rsid w:val="3E2D6C73"/>
    <w:rsid w:val="40311993"/>
    <w:rsid w:val="4042473C"/>
    <w:rsid w:val="40786313"/>
    <w:rsid w:val="435E7112"/>
    <w:rsid w:val="44F77399"/>
    <w:rsid w:val="4C700C74"/>
    <w:rsid w:val="4CCF4510"/>
    <w:rsid w:val="4E295A47"/>
    <w:rsid w:val="4E34765B"/>
    <w:rsid w:val="4F0173EB"/>
    <w:rsid w:val="51910FC4"/>
    <w:rsid w:val="53F11286"/>
    <w:rsid w:val="55561902"/>
    <w:rsid w:val="5569512F"/>
    <w:rsid w:val="55E737FF"/>
    <w:rsid w:val="566273F2"/>
    <w:rsid w:val="597A7D80"/>
    <w:rsid w:val="5A174902"/>
    <w:rsid w:val="5B895754"/>
    <w:rsid w:val="5E4E087C"/>
    <w:rsid w:val="5F4C730D"/>
    <w:rsid w:val="60CB745A"/>
    <w:rsid w:val="617321F1"/>
    <w:rsid w:val="632B7598"/>
    <w:rsid w:val="633565CF"/>
    <w:rsid w:val="63A11086"/>
    <w:rsid w:val="643F5B88"/>
    <w:rsid w:val="65D51894"/>
    <w:rsid w:val="67E045BD"/>
    <w:rsid w:val="68A128B9"/>
    <w:rsid w:val="6B1F06CE"/>
    <w:rsid w:val="6E5B1D9A"/>
    <w:rsid w:val="6F1F2CC2"/>
    <w:rsid w:val="6FA02431"/>
    <w:rsid w:val="71CF04C8"/>
    <w:rsid w:val="77A751BC"/>
    <w:rsid w:val="789141CE"/>
    <w:rsid w:val="78FB0D4D"/>
    <w:rsid w:val="7FAE5DB6"/>
    <w:rsid w:val="7F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5">
    <w:name w:val="Body Text Indent"/>
    <w:basedOn w:val="1"/>
    <w:next w:val="3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8"/>
    <w:unhideWhenUsed/>
    <w:qFormat/>
    <w:uiPriority w:val="99"/>
    <w:rPr>
      <w:rFonts w:ascii="宋体" w:cs="Courier New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heading"/>
    <w:basedOn w:val="1"/>
    <w:next w:val="10"/>
    <w:qFormat/>
    <w:uiPriority w:val="0"/>
    <w:rPr>
      <w:szCs w:val="20"/>
    </w:rPr>
  </w:style>
  <w:style w:type="paragraph" w:styleId="10">
    <w:name w:val="index 1"/>
    <w:basedOn w:val="1"/>
    <w:next w:val="1"/>
    <w:unhideWhenUsed/>
    <w:qFormat/>
    <w:uiPriority w:val="0"/>
    <w:pPr>
      <w:adjustRightInd w:val="0"/>
      <w:snapToGrid w:val="0"/>
      <w:spacing w:line="440" w:lineRule="atLeast"/>
      <w:ind w:left="240" w:hanging="240"/>
      <w:jc w:val="left"/>
    </w:pPr>
    <w:rPr>
      <w:rFonts w:ascii="宋体"/>
      <w:sz w:val="18"/>
      <w:szCs w:val="18"/>
    </w:rPr>
  </w:style>
  <w:style w:type="paragraph" w:styleId="11">
    <w:name w:val="Normal (Web)"/>
    <w:basedOn w:val="1"/>
    <w:next w:val="4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Body Text First Indent 2"/>
    <w:basedOn w:val="5"/>
    <w:next w:val="1"/>
    <w:link w:val="20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15">
    <w:name w:val="Default"/>
    <w:basedOn w:val="16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7">
    <w:name w:val="样式1"/>
    <w:basedOn w:val="9"/>
    <w:next w:val="1"/>
    <w:qFormat/>
    <w:uiPriority w:val="0"/>
    <w:pPr>
      <w:spacing w:line="360" w:lineRule="auto"/>
      <w:ind w:firstLine="200" w:firstLineChars="200"/>
    </w:pPr>
    <w:rPr>
      <w:rFonts w:ascii="Arial" w:hAnsi="Arial"/>
      <w:sz w:val="28"/>
      <w:szCs w:val="24"/>
    </w:rPr>
  </w:style>
  <w:style w:type="character" w:customStyle="1" w:styleId="18">
    <w:name w:val="纯文本 Char"/>
    <w:basedOn w:val="14"/>
    <w:link w:val="6"/>
    <w:qFormat/>
    <w:uiPriority w:val="99"/>
    <w:rPr>
      <w:rFonts w:ascii="宋体" w:hAnsi="Calibri" w:eastAsia="宋体" w:cs="Courier New"/>
      <w:szCs w:val="21"/>
    </w:rPr>
  </w:style>
  <w:style w:type="character" w:customStyle="1" w:styleId="19">
    <w:name w:val="正文文本缩进 Char"/>
    <w:basedOn w:val="14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20">
    <w:name w:val="正文首行缩进 2 Char"/>
    <w:basedOn w:val="19"/>
    <w:link w:val="12"/>
    <w:qFormat/>
    <w:uiPriority w:val="99"/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1232</Characters>
  <Lines>10</Lines>
  <Paragraphs>2</Paragraphs>
  <TotalTime>48</TotalTime>
  <ScaleCrop>false</ScaleCrop>
  <LinksUpToDate>false</LinksUpToDate>
  <CharactersWithSpaces>1446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2023-10-16T08:06:00Z</dcterms:created>
  <dc:creator>Administrator</dc:creator>
  <cp:lastModifiedBy>Administrator</cp:lastModifiedBy>
  <cp:lastPrinted>2024-04-22T02:39:00Z</cp:lastPrinted>
  <dcterms:modified xsi:type="dcterms:W3CDTF">2024-04-23T03:38:33Z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4BB4CE23037F41338ED275D210EF2C3F</vt:lpwstr>
  </property>
</Properties>
</file>