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80" w:firstLineChars="1400"/>
        <w:jc w:val="right"/>
        <w:rPr>
          <w:rFonts w:hint="eastAsia" w:ascii="仿宋_GB2312" w:eastAsia="仿宋_GB2312"/>
          <w:kern w:val="0"/>
          <w:sz w:val="32"/>
          <w:szCs w:val="32"/>
        </w:rPr>
      </w:pPr>
    </w:p>
    <w:p>
      <w:pPr>
        <w:spacing w:line="560" w:lineRule="exact"/>
        <w:ind w:firstLine="4480" w:firstLineChars="1400"/>
        <w:jc w:val="right"/>
        <w:rPr>
          <w:rFonts w:hint="eastAsia" w:ascii="仿宋_GB2312" w:eastAsia="仿宋_GB2312"/>
          <w:kern w:val="0"/>
          <w:sz w:val="32"/>
          <w:szCs w:val="32"/>
        </w:rPr>
      </w:pPr>
    </w:p>
    <w:p>
      <w:pPr>
        <w:spacing w:line="560" w:lineRule="exact"/>
        <w:ind w:firstLine="4480" w:firstLineChars="1400"/>
        <w:jc w:val="right"/>
        <w:rPr>
          <w:rFonts w:hint="eastAsia" w:ascii="仿宋_GB2312" w:eastAsia="仿宋_GB2312"/>
          <w:kern w:val="0"/>
          <w:sz w:val="32"/>
          <w:szCs w:val="32"/>
        </w:rPr>
      </w:pPr>
    </w:p>
    <w:p>
      <w:pPr>
        <w:spacing w:line="560" w:lineRule="exact"/>
        <w:ind w:firstLine="4480" w:firstLineChars="1400"/>
        <w:jc w:val="right"/>
        <w:rPr>
          <w:rFonts w:ascii="仿宋_GB2312" w:eastAsia="仿宋_GB2312"/>
          <w:kern w:val="0"/>
          <w:sz w:val="32"/>
          <w:szCs w:val="32"/>
        </w:rPr>
      </w:pPr>
      <w:r>
        <w:rPr>
          <w:rFonts w:hint="eastAsia" w:ascii="仿宋_GB2312" w:eastAsia="仿宋_GB2312"/>
          <w:kern w:val="0"/>
          <w:sz w:val="32"/>
          <w:szCs w:val="32"/>
        </w:rPr>
        <w:t>伊州环函</w:t>
      </w:r>
      <w:r>
        <w:rPr>
          <w:rFonts w:ascii="仿宋_GB2312" w:hAnsi="Times New Roman" w:eastAsia="仿宋_GB2312"/>
          <w:kern w:val="0"/>
          <w:sz w:val="32"/>
          <w:szCs w:val="32"/>
        </w:rPr>
        <w:t>〔</w:t>
      </w:r>
      <w:r>
        <w:rPr>
          <w:rFonts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4</w:t>
      </w:r>
      <w:r>
        <w:rPr>
          <w:rFonts w:ascii="仿宋_GB2312" w:hAnsi="Times New Roman" w:eastAsia="仿宋_GB2312"/>
          <w:kern w:val="0"/>
          <w:sz w:val="32"/>
          <w:szCs w:val="32"/>
        </w:rPr>
        <w:t>〕</w:t>
      </w:r>
      <w:r>
        <w:rPr>
          <w:rFonts w:hint="eastAsia" w:ascii="仿宋_GB2312" w:hAnsi="Times New Roman" w:eastAsia="仿宋_GB2312"/>
          <w:kern w:val="0"/>
          <w:sz w:val="32"/>
          <w:szCs w:val="32"/>
          <w:lang w:val="en-US" w:eastAsia="zh-CN"/>
        </w:rPr>
        <w:t>75</w:t>
      </w:r>
      <w:r>
        <w:rPr>
          <w:rFonts w:hint="eastAsia" w:ascii="仿宋_GB2312" w:eastAsia="仿宋_GB2312"/>
          <w:kern w:val="0"/>
          <w:sz w:val="32"/>
          <w:szCs w:val="32"/>
        </w:rPr>
        <w:t>号</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autoSpaceDE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cs="Times New Roman"/>
          <w:sz w:val="44"/>
          <w:szCs w:val="44"/>
          <w:lang w:val="en-US" w:eastAsia="zh-CN"/>
        </w:rPr>
        <w:t>伊犁辽宁路110千伏变电站扩建工程</w:t>
      </w:r>
      <w:r>
        <w:rPr>
          <w:rFonts w:hint="eastAsia" w:ascii="方正小标宋简体" w:eastAsia="方正小标宋简体"/>
          <w:sz w:val="44"/>
          <w:szCs w:val="44"/>
        </w:rPr>
        <w:t>环境影响报告表的批复</w:t>
      </w:r>
    </w:p>
    <w:p>
      <w:pPr>
        <w:autoSpaceDE w:val="0"/>
        <w:adjustRightInd w:val="0"/>
        <w:snapToGrid w:val="0"/>
        <w:spacing w:line="600" w:lineRule="exact"/>
        <w:rPr>
          <w:rFonts w:hint="eastAsia" w:ascii="仿宋_GB2312" w:eastAsia="仿宋_GB2312"/>
          <w:kern w:val="21"/>
          <w:sz w:val="30"/>
          <w:szCs w:val="30"/>
        </w:rPr>
      </w:pPr>
      <w:r>
        <w:rPr>
          <w:rFonts w:hint="eastAsia" w:ascii="仿宋_GB2312" w:eastAsia="仿宋_GB2312"/>
          <w:kern w:val="21"/>
          <w:sz w:val="30"/>
          <w:szCs w:val="30"/>
        </w:rPr>
        <w:t xml:space="preserve"> </w:t>
      </w:r>
    </w:p>
    <w:p>
      <w:pPr>
        <w:pStyle w:val="12"/>
        <w:keepNext w:val="0"/>
        <w:keepLines w:val="0"/>
        <w:pageBreakBefore w:val="0"/>
        <w:kinsoku/>
        <w:wordWrap/>
        <w:overflowPunct/>
        <w:topLinePunct w:val="0"/>
        <w:autoSpaceDE w:val="0"/>
        <w:autoSpaceDN/>
        <w:bidi w:val="0"/>
        <w:adjustRightInd/>
        <w:snapToGrid/>
        <w:spacing w:before="0" w:beforeAutospacing="0" w:after="0" w:line="600" w:lineRule="exact"/>
        <w:ind w:left="0" w:leftChars="0" w:firstLine="0" w:firstLineChars="0"/>
        <w:textAlignment w:val="auto"/>
        <w:rPr>
          <w:rFonts w:hint="eastAsia" w:ascii="仿宋_GB2312" w:hAnsi="Times New Roman" w:eastAsia="仿宋_GB2312" w:cs="Times New Roman"/>
          <w:kern w:val="21"/>
          <w:sz w:val="32"/>
          <w:szCs w:val="32"/>
        </w:rPr>
      </w:pPr>
      <w:r>
        <w:rPr>
          <w:rFonts w:hint="eastAsia" w:ascii="仿宋_GB2312" w:hAnsi="Times New Roman" w:eastAsia="仿宋_GB2312" w:cs="Times New Roman"/>
          <w:kern w:val="21"/>
          <w:sz w:val="32"/>
          <w:szCs w:val="32"/>
          <w:lang w:eastAsia="zh-CN"/>
        </w:rPr>
        <w:t>国网伊犁伊河供电有限责任公司</w:t>
      </w:r>
      <w:r>
        <w:rPr>
          <w:rFonts w:hint="eastAsia" w:ascii="仿宋_GB2312" w:hAnsi="Times New Roman" w:eastAsia="仿宋_GB2312" w:cs="Times New Roman"/>
          <w:kern w:val="21"/>
          <w:sz w:val="32"/>
          <w:szCs w:val="32"/>
        </w:rPr>
        <w:t>：</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firstLineChars="200"/>
        <w:textAlignment w:val="auto"/>
        <w:rPr>
          <w:rFonts w:hint="eastAsia" w:ascii="仿宋_GB2312" w:hAnsi="Times New Roman" w:eastAsia="仿宋_GB2312" w:cs="Times New Roman"/>
          <w:kern w:val="21"/>
          <w:sz w:val="32"/>
          <w:szCs w:val="32"/>
          <w:lang w:eastAsia="zh-CN"/>
        </w:rPr>
      </w:pPr>
      <w:r>
        <w:rPr>
          <w:rFonts w:hint="eastAsia" w:ascii="仿宋_GB2312" w:eastAsia="仿宋_GB2312"/>
          <w:kern w:val="21"/>
          <w:sz w:val="32"/>
          <w:szCs w:val="32"/>
        </w:rPr>
        <w:t>你公司</w:t>
      </w:r>
      <w:r>
        <w:rPr>
          <w:rFonts w:hint="eastAsia" w:ascii="仿宋_GB2312" w:eastAsia="仿宋_GB2312"/>
          <w:kern w:val="21"/>
          <w:sz w:val="32"/>
          <w:szCs w:val="32"/>
          <w:lang w:eastAsia="zh-CN"/>
        </w:rPr>
        <w:t>“</w:t>
      </w:r>
      <w:r>
        <w:rPr>
          <w:rFonts w:hint="eastAsia" w:ascii="仿宋_GB2312" w:eastAsia="仿宋_GB2312"/>
          <w:kern w:val="21"/>
          <w:sz w:val="32"/>
          <w:szCs w:val="32"/>
          <w:lang w:val="en-US" w:eastAsia="zh-CN"/>
        </w:rPr>
        <w:t>伊犁辽宁路110千伏变电站扩建工程</w:t>
      </w:r>
      <w:r>
        <w:rPr>
          <w:rFonts w:hint="eastAsia" w:ascii="仿宋_GB2312" w:hAnsi="Times New Roman" w:eastAsia="仿宋_GB2312" w:cs="Times New Roman"/>
          <w:kern w:val="21"/>
          <w:sz w:val="32"/>
          <w:szCs w:val="32"/>
        </w:rPr>
        <w:t>环</w:t>
      </w:r>
      <w:r>
        <w:rPr>
          <w:rFonts w:hint="eastAsia" w:ascii="仿宋_GB2312" w:eastAsia="仿宋_GB2312"/>
          <w:kern w:val="21"/>
          <w:sz w:val="32"/>
          <w:szCs w:val="32"/>
        </w:rPr>
        <w:t>境影响报告表审批申请函</w:t>
      </w:r>
      <w:r>
        <w:rPr>
          <w:rFonts w:hint="eastAsia" w:ascii="仿宋_GB2312" w:eastAsia="仿宋_GB2312"/>
          <w:kern w:val="21"/>
          <w:sz w:val="32"/>
          <w:szCs w:val="32"/>
          <w:lang w:eastAsia="zh-CN"/>
        </w:rPr>
        <w:t>”</w:t>
      </w:r>
      <w:r>
        <w:rPr>
          <w:rFonts w:hint="eastAsia" w:ascii="仿宋_GB2312" w:eastAsia="仿宋_GB2312"/>
          <w:kern w:val="21"/>
          <w:sz w:val="32"/>
          <w:szCs w:val="32"/>
        </w:rPr>
        <w:t>及相关附件均已收悉。经研究，批复如</w:t>
      </w:r>
      <w:r>
        <w:rPr>
          <w:rFonts w:hint="eastAsia" w:ascii="仿宋_GB2312" w:hAnsi="Times New Roman" w:eastAsia="仿宋_GB2312" w:cs="Times New Roman"/>
          <w:kern w:val="21"/>
          <w:sz w:val="32"/>
          <w:szCs w:val="32"/>
          <w:lang w:eastAsia="zh-CN"/>
        </w:rPr>
        <w:t>下：</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firstLineChars="200"/>
        <w:textAlignment w:val="auto"/>
        <w:rPr>
          <w:rFonts w:hint="eastAsia" w:ascii="仿宋_GB2312" w:hAnsi="Times New Roman" w:eastAsia="仿宋_GB2312" w:cs="Times New Roman"/>
          <w:kern w:val="21"/>
          <w:sz w:val="32"/>
          <w:szCs w:val="32"/>
          <w:lang w:val="en-US" w:eastAsia="zh-CN"/>
        </w:rPr>
      </w:pPr>
      <w:r>
        <w:rPr>
          <w:rFonts w:hint="eastAsia" w:ascii="仿宋_GB2312" w:hAnsi="Times New Roman" w:eastAsia="仿宋_GB2312" w:cs="Times New Roman"/>
          <w:kern w:val="21"/>
          <w:sz w:val="32"/>
          <w:szCs w:val="32"/>
          <w:lang w:val="en-US" w:eastAsia="zh-CN"/>
        </w:rPr>
        <w:t>一、本工程</w:t>
      </w:r>
      <w:r>
        <w:rPr>
          <w:rFonts w:hint="eastAsia" w:ascii="仿宋_GB2312" w:eastAsia="仿宋_GB2312" w:cs="Times New Roman"/>
          <w:kern w:val="21"/>
          <w:sz w:val="32"/>
          <w:szCs w:val="32"/>
          <w:lang w:val="en-US" w:eastAsia="zh-CN"/>
        </w:rPr>
        <w:t>伊犁</w:t>
      </w:r>
      <w:r>
        <w:rPr>
          <w:rFonts w:hint="eastAsia" w:ascii="仿宋_GB2312" w:hAnsi="Times New Roman" w:eastAsia="仿宋_GB2312" w:cs="Times New Roman"/>
          <w:kern w:val="21"/>
          <w:sz w:val="32"/>
          <w:szCs w:val="32"/>
          <w:lang w:val="en-US" w:eastAsia="zh-CN"/>
        </w:rPr>
        <w:t>辽宁路110kV变电站位于伊宁市巴彦岱镇，218国道116km里程碑东南侧，通往巴彦岱镇1km里程碑公路东侧约400m处，中心坐标N43°57′3</w:t>
      </w:r>
      <w:r>
        <w:rPr>
          <w:rFonts w:hint="eastAsia" w:ascii="仿宋_GB2312" w:eastAsia="仿宋_GB2312" w:cs="Times New Roman"/>
          <w:kern w:val="21"/>
          <w:sz w:val="32"/>
          <w:szCs w:val="32"/>
          <w:lang w:val="en-US" w:eastAsia="zh-CN"/>
        </w:rPr>
        <w:t>6</w:t>
      </w:r>
      <w:r>
        <w:rPr>
          <w:rFonts w:hint="eastAsia" w:ascii="仿宋_GB2312" w:hAnsi="Times New Roman" w:eastAsia="仿宋_GB2312" w:cs="Times New Roman"/>
          <w:kern w:val="21"/>
          <w:sz w:val="32"/>
          <w:szCs w:val="32"/>
          <w:lang w:val="en-US" w:eastAsia="zh-CN"/>
        </w:rPr>
        <w:t>″；E81°14′4</w:t>
      </w:r>
      <w:r>
        <w:rPr>
          <w:rFonts w:hint="eastAsia" w:ascii="仿宋_GB2312" w:eastAsia="仿宋_GB2312" w:cs="Times New Roman"/>
          <w:kern w:val="21"/>
          <w:sz w:val="32"/>
          <w:szCs w:val="32"/>
          <w:lang w:val="en-US" w:eastAsia="zh-CN"/>
        </w:rPr>
        <w:t>2</w:t>
      </w:r>
      <w:r>
        <w:rPr>
          <w:rFonts w:hint="eastAsia" w:ascii="仿宋_GB2312" w:hAnsi="Times New Roman" w:eastAsia="仿宋_GB2312" w:cs="Times New Roman"/>
          <w:kern w:val="21"/>
          <w:sz w:val="32"/>
          <w:szCs w:val="32"/>
          <w:lang w:val="en-US" w:eastAsia="zh-CN"/>
        </w:rPr>
        <w:t>″。本项目在辽宁路110千伏变电站内新增1台容量为50MVA主变压，新增(4+6)MVar电容器组；新建1台100kVA干式站用变压器。</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firstLineChars="200"/>
        <w:textAlignment w:val="auto"/>
        <w:rPr>
          <w:rFonts w:hint="eastAsia" w:ascii="仿宋_GB2312" w:hAnsi="Times New Roman" w:eastAsia="仿宋_GB2312" w:cs="Times New Roman"/>
          <w:kern w:val="21"/>
          <w:sz w:val="32"/>
          <w:szCs w:val="32"/>
          <w:lang w:val="en-US" w:eastAsia="zh-CN"/>
        </w:rPr>
      </w:pPr>
      <w:r>
        <w:rPr>
          <w:rFonts w:hint="eastAsia" w:ascii="仿宋_GB2312" w:hAnsi="Times New Roman" w:eastAsia="仿宋_GB2312" w:cs="Times New Roman"/>
          <w:kern w:val="21"/>
          <w:sz w:val="32"/>
          <w:szCs w:val="32"/>
          <w:lang w:val="en-US" w:eastAsia="zh-CN"/>
        </w:rPr>
        <w:t>项目总投资1414.42万元，环保投资49.8万元，占总投资的3.52%。</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eastAsia" w:ascii="仿宋_GB2312" w:eastAsia="仿宋_GB2312"/>
          <w:kern w:val="21"/>
          <w:sz w:val="32"/>
          <w:szCs w:val="32"/>
        </w:rPr>
      </w:pPr>
      <w:r>
        <w:rPr>
          <w:rFonts w:hint="eastAsia" w:ascii="仿宋_GB2312" w:eastAsia="仿宋_GB2312"/>
          <w:kern w:val="21"/>
          <w:sz w:val="32"/>
          <w:szCs w:val="32"/>
        </w:rPr>
        <w:t>二、根据</w:t>
      </w:r>
      <w:r>
        <w:rPr>
          <w:rFonts w:hint="eastAsia" w:ascii="仿宋_GB2312" w:hAnsi="Times New Roman" w:eastAsia="仿宋_GB2312" w:cs="Times New Roman"/>
          <w:kern w:val="21"/>
          <w:sz w:val="32"/>
          <w:szCs w:val="32"/>
          <w:lang w:eastAsia="zh-CN"/>
        </w:rPr>
        <w:t>新疆鼎耀工程咨询有限公司</w:t>
      </w:r>
      <w:r>
        <w:rPr>
          <w:rFonts w:hint="eastAsia" w:ascii="仿宋_GB2312" w:eastAsia="仿宋_GB2312"/>
          <w:kern w:val="21"/>
          <w:sz w:val="32"/>
          <w:szCs w:val="32"/>
        </w:rPr>
        <w:t>编制的《</w:t>
      </w:r>
      <w:r>
        <w:rPr>
          <w:rFonts w:hint="eastAsia" w:ascii="仿宋_GB2312" w:eastAsia="仿宋_GB2312"/>
          <w:kern w:val="21"/>
          <w:sz w:val="32"/>
          <w:szCs w:val="32"/>
          <w:lang w:val="en-US" w:eastAsia="zh-CN"/>
        </w:rPr>
        <w:t>伊犁辽宁路110千伏变电站扩建工程</w:t>
      </w:r>
      <w:r>
        <w:rPr>
          <w:rFonts w:hint="eastAsia" w:ascii="仿宋_GB2312" w:eastAsia="仿宋_GB2312"/>
          <w:kern w:val="21"/>
          <w:sz w:val="32"/>
          <w:szCs w:val="32"/>
        </w:rPr>
        <w:t>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eastAsia" w:ascii="仿宋_GB2312" w:hAnsi="Times New Roman" w:eastAsia="仿宋_GB2312" w:cs="Times New Roman"/>
          <w:kern w:val="21"/>
          <w:sz w:val="32"/>
          <w:szCs w:val="32"/>
          <w:lang w:val="en-US" w:eastAsia="zh-CN"/>
        </w:rPr>
      </w:pPr>
      <w:r>
        <w:rPr>
          <w:rFonts w:hint="eastAsia" w:ascii="仿宋_GB2312" w:hAnsi="Times New Roman" w:eastAsia="仿宋_GB2312" w:cs="Times New Roman"/>
          <w:kern w:val="21"/>
          <w:sz w:val="32"/>
          <w:szCs w:val="32"/>
          <w:lang w:val="en-US" w:eastAsia="zh-CN"/>
        </w:rPr>
        <w:t>三、在项目建设和运行过程中要严格落实《报告表》中提出的各项环保措施和建议，严格执行环保“三同时”制度，确保污染物稳定达标排放，并达到以下要求：</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default" w:ascii="仿宋_GB2312" w:hAnsi="Times New Roman" w:eastAsia="仿宋_GB2312" w:cs="Times New Roman"/>
          <w:kern w:val="21"/>
          <w:sz w:val="32"/>
          <w:szCs w:val="32"/>
          <w:lang w:val="en-US" w:eastAsia="zh-CN"/>
        </w:rPr>
      </w:pPr>
      <w:r>
        <w:rPr>
          <w:rFonts w:hint="eastAsia" w:ascii="仿宋_GB2312" w:eastAsia="仿宋_GB2312" w:cs="Times New Roman"/>
          <w:kern w:val="21"/>
          <w:sz w:val="32"/>
          <w:szCs w:val="32"/>
          <w:lang w:val="en-US" w:eastAsia="zh-CN"/>
        </w:rPr>
        <w:t>（一）</w:t>
      </w:r>
      <w:r>
        <w:rPr>
          <w:rFonts w:hint="default" w:ascii="仿宋_GB2312" w:hAnsi="Times New Roman" w:eastAsia="仿宋_GB2312" w:cs="Times New Roman"/>
          <w:kern w:val="21"/>
          <w:sz w:val="32"/>
          <w:szCs w:val="32"/>
          <w:lang w:val="en-US" w:eastAsia="zh-CN"/>
        </w:rPr>
        <w:t>加强施工期环境管理，严格落实“报告表”中提出的施工期生态保护和污染防治措施。加强施工现场和物料运输的管理，减少施工扬尘。对施工现场的主要道路进行硬化，并定期清扫、洒水，对易起尘的临时堆土、运输过程中的土石方等采取防尘布（网）进行苫盖，大风天气停止土方作业；工程土石方开挖回填后剩余的土方就地摊平压实处理，建筑垃圾外运至市政部门指定的垃圾堆放场，生活垃圾</w:t>
      </w:r>
      <w:r>
        <w:rPr>
          <w:rFonts w:hint="eastAsia" w:ascii="仿宋_GB2312" w:hAnsi="Times New Roman" w:eastAsia="仿宋_GB2312" w:cs="Times New Roman"/>
          <w:kern w:val="21"/>
          <w:sz w:val="32"/>
          <w:szCs w:val="32"/>
          <w:lang w:val="en-US" w:eastAsia="zh-CN"/>
        </w:rPr>
        <w:t>集中</w:t>
      </w:r>
      <w:r>
        <w:rPr>
          <w:rFonts w:hint="default" w:ascii="仿宋_GB2312" w:hAnsi="Times New Roman" w:eastAsia="仿宋_GB2312" w:cs="Times New Roman"/>
          <w:kern w:val="21"/>
          <w:sz w:val="32"/>
          <w:szCs w:val="32"/>
          <w:lang w:val="en-US" w:eastAsia="zh-CN"/>
        </w:rPr>
        <w:t>收集后定期送往</w:t>
      </w:r>
      <w:r>
        <w:rPr>
          <w:rFonts w:hint="eastAsia" w:ascii="仿宋_GB2312" w:hAnsi="Times New Roman" w:eastAsia="仿宋_GB2312" w:cs="Times New Roman"/>
          <w:kern w:val="21"/>
          <w:sz w:val="32"/>
          <w:szCs w:val="32"/>
          <w:lang w:val="en-US" w:eastAsia="zh-CN"/>
        </w:rPr>
        <w:t>指定的</w:t>
      </w:r>
      <w:r>
        <w:rPr>
          <w:rFonts w:hint="eastAsia" w:ascii="仿宋_GB2312" w:eastAsia="仿宋_GB2312" w:cs="Times New Roman"/>
          <w:kern w:val="21"/>
          <w:sz w:val="32"/>
          <w:szCs w:val="32"/>
          <w:lang w:val="en-US" w:eastAsia="zh-CN"/>
        </w:rPr>
        <w:t>生活</w:t>
      </w:r>
      <w:r>
        <w:rPr>
          <w:rFonts w:hint="default" w:ascii="仿宋_GB2312" w:hAnsi="Times New Roman" w:eastAsia="仿宋_GB2312" w:cs="Times New Roman"/>
          <w:kern w:val="21"/>
          <w:sz w:val="32"/>
          <w:szCs w:val="32"/>
          <w:lang w:val="en-US" w:eastAsia="zh-CN"/>
        </w:rPr>
        <w:t>垃圾</w:t>
      </w:r>
      <w:r>
        <w:rPr>
          <w:rFonts w:hint="eastAsia" w:ascii="仿宋_GB2312" w:eastAsia="仿宋_GB2312" w:cs="Times New Roman"/>
          <w:kern w:val="21"/>
          <w:sz w:val="32"/>
          <w:szCs w:val="32"/>
          <w:lang w:val="en-US" w:eastAsia="zh-CN"/>
        </w:rPr>
        <w:t>焚烧厂</w:t>
      </w:r>
      <w:r>
        <w:rPr>
          <w:rFonts w:hint="default" w:ascii="仿宋_GB2312" w:hAnsi="Times New Roman" w:eastAsia="仿宋_GB2312" w:cs="Times New Roman"/>
          <w:kern w:val="21"/>
          <w:sz w:val="32"/>
          <w:szCs w:val="32"/>
          <w:lang w:val="en-US" w:eastAsia="zh-CN"/>
        </w:rPr>
        <w:t>处理；施工期生活污水</w:t>
      </w:r>
      <w:r>
        <w:rPr>
          <w:rFonts w:hint="eastAsia" w:ascii="仿宋_GB2312" w:hAnsi="Times New Roman" w:eastAsia="仿宋_GB2312" w:cs="Times New Roman"/>
          <w:kern w:val="21"/>
          <w:sz w:val="32"/>
          <w:szCs w:val="32"/>
          <w:lang w:val="en-US" w:eastAsia="zh-CN"/>
        </w:rPr>
        <w:t>依托变电站现有污水处理设施</w:t>
      </w:r>
      <w:r>
        <w:rPr>
          <w:rFonts w:hint="default" w:ascii="仿宋_GB2312" w:hAnsi="Times New Roman" w:eastAsia="仿宋_GB2312" w:cs="Times New Roman"/>
          <w:kern w:val="21"/>
          <w:sz w:val="32"/>
          <w:szCs w:val="32"/>
          <w:lang w:val="en-US" w:eastAsia="zh-CN"/>
        </w:rPr>
        <w:t>。</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default" w:ascii="仿宋_GB2312" w:hAnsi="Times New Roman" w:eastAsia="仿宋_GB2312" w:cs="Times New Roman"/>
          <w:kern w:val="21"/>
          <w:sz w:val="32"/>
          <w:szCs w:val="32"/>
          <w:lang w:val="en-US" w:eastAsia="zh-CN"/>
        </w:rPr>
      </w:pPr>
      <w:r>
        <w:rPr>
          <w:rFonts w:hint="eastAsia" w:ascii="仿宋_GB2312" w:eastAsia="仿宋_GB2312" w:cs="Times New Roman"/>
          <w:kern w:val="21"/>
          <w:sz w:val="32"/>
          <w:szCs w:val="32"/>
          <w:lang w:val="en-US" w:eastAsia="zh-CN"/>
        </w:rPr>
        <w:t>（二）</w:t>
      </w:r>
      <w:r>
        <w:rPr>
          <w:rFonts w:hint="eastAsia" w:ascii="仿宋_GB2312" w:hAnsi="Times New Roman" w:eastAsia="仿宋_GB2312" w:cs="Times New Roman"/>
          <w:kern w:val="21"/>
          <w:sz w:val="32"/>
          <w:szCs w:val="32"/>
          <w:lang w:val="en-US" w:eastAsia="zh-CN"/>
        </w:rPr>
        <w:t>施工结束后，及时清理施工现场，做好平整、回填、覆土和恢复。</w:t>
      </w:r>
      <w:r>
        <w:rPr>
          <w:rFonts w:hint="default" w:ascii="仿宋_GB2312" w:hAnsi="Times New Roman" w:eastAsia="仿宋_GB2312" w:cs="Times New Roman"/>
          <w:kern w:val="21"/>
          <w:sz w:val="32"/>
          <w:szCs w:val="32"/>
          <w:lang w:val="en-US" w:eastAsia="zh-CN"/>
        </w:rPr>
        <w:t>变电站基础施工完毕后，按设计要求对基础周边开挖部分进行覆土，并进行平整夯实；按照设计要求对变电站内进行道路硬化及对户外配电装置场地区进行碎石铺设覆盖，以减少水土流失。</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default" w:ascii="仿宋_GB2312" w:hAnsi="Times New Roman" w:eastAsia="仿宋_GB2312" w:cs="Times New Roman"/>
          <w:kern w:val="21"/>
          <w:sz w:val="32"/>
          <w:szCs w:val="32"/>
          <w:lang w:val="en-US" w:eastAsia="zh-CN"/>
        </w:rPr>
      </w:pPr>
      <w:r>
        <w:rPr>
          <w:rFonts w:hint="eastAsia" w:ascii="仿宋_GB2312" w:eastAsia="仿宋_GB2312" w:cs="Times New Roman"/>
          <w:kern w:val="21"/>
          <w:sz w:val="32"/>
          <w:szCs w:val="32"/>
          <w:lang w:val="en-US" w:eastAsia="zh-CN"/>
        </w:rPr>
        <w:t>（三）</w:t>
      </w:r>
      <w:r>
        <w:rPr>
          <w:rFonts w:hint="eastAsia" w:ascii="仿宋_GB2312" w:hAnsi="Times New Roman" w:eastAsia="仿宋_GB2312" w:cs="Times New Roman"/>
          <w:kern w:val="21"/>
          <w:sz w:val="32"/>
          <w:szCs w:val="32"/>
          <w:lang w:val="en-US" w:eastAsia="zh-CN"/>
        </w:rPr>
        <w:t>施工期采用低噪声设备，从声源上进行控制，并加强设备维护及管理，避免设备故障带来的高噪声，满足《建筑施工场界环境噪声排放标准》（GB12523-2011）中相关要求。变电站扩建端选用</w:t>
      </w:r>
      <w:r>
        <w:rPr>
          <w:rFonts w:hint="default" w:ascii="仿宋_GB2312" w:hAnsi="Times New Roman" w:eastAsia="仿宋_GB2312" w:cs="Times New Roman"/>
          <w:kern w:val="21"/>
          <w:sz w:val="32"/>
          <w:szCs w:val="32"/>
          <w:lang w:val="en-US" w:eastAsia="zh-CN"/>
        </w:rPr>
        <w:t>低噪声设备，并采取减震、隔声措施，运营期变电站</w:t>
      </w:r>
      <w:r>
        <w:rPr>
          <w:rFonts w:hint="eastAsia" w:ascii="仿宋_GB2312" w:hAnsi="Times New Roman" w:eastAsia="仿宋_GB2312" w:cs="Times New Roman"/>
          <w:kern w:val="21"/>
          <w:sz w:val="32"/>
          <w:szCs w:val="32"/>
          <w:lang w:val="en-US" w:eastAsia="zh-CN"/>
        </w:rPr>
        <w:t>扩建端</w:t>
      </w:r>
      <w:r>
        <w:rPr>
          <w:rFonts w:hint="default" w:ascii="仿宋_GB2312" w:hAnsi="Times New Roman" w:eastAsia="仿宋_GB2312" w:cs="Times New Roman"/>
          <w:kern w:val="21"/>
          <w:sz w:val="32"/>
          <w:szCs w:val="32"/>
          <w:lang w:val="en-US" w:eastAsia="zh-CN"/>
        </w:rPr>
        <w:t>厂界噪声执行《工业企业厂界</w:t>
      </w:r>
      <w:r>
        <w:rPr>
          <w:rFonts w:hint="eastAsia" w:ascii="仿宋_GB2312" w:hAnsi="Times New Roman" w:eastAsia="仿宋_GB2312" w:cs="Times New Roman"/>
          <w:kern w:val="21"/>
          <w:sz w:val="32"/>
          <w:szCs w:val="32"/>
          <w:lang w:val="en-US" w:eastAsia="zh-CN"/>
        </w:rPr>
        <w:t>环境</w:t>
      </w:r>
      <w:r>
        <w:rPr>
          <w:rFonts w:hint="default" w:ascii="仿宋_GB2312" w:hAnsi="Times New Roman" w:eastAsia="仿宋_GB2312" w:cs="Times New Roman"/>
          <w:kern w:val="21"/>
          <w:sz w:val="32"/>
          <w:szCs w:val="32"/>
          <w:lang w:val="en-US" w:eastAsia="zh-CN"/>
        </w:rPr>
        <w:t>噪声排放标准》（GB12348-2008）中的</w:t>
      </w:r>
      <w:r>
        <w:rPr>
          <w:rFonts w:hint="eastAsia" w:ascii="仿宋_GB2312" w:hAnsi="Times New Roman" w:eastAsia="仿宋_GB2312" w:cs="Times New Roman"/>
          <w:kern w:val="21"/>
          <w:sz w:val="32"/>
          <w:szCs w:val="32"/>
          <w:lang w:val="en-US" w:eastAsia="zh-CN"/>
        </w:rPr>
        <w:t>2</w:t>
      </w:r>
      <w:r>
        <w:rPr>
          <w:rFonts w:hint="default" w:ascii="仿宋_GB2312" w:hAnsi="Times New Roman" w:eastAsia="仿宋_GB2312" w:cs="Times New Roman"/>
          <w:kern w:val="21"/>
          <w:sz w:val="32"/>
          <w:szCs w:val="32"/>
          <w:lang w:val="en-US" w:eastAsia="zh-CN"/>
        </w:rPr>
        <w:t>类标准。</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eastAsia" w:ascii="仿宋_GB2312" w:hAnsi="Times New Roman" w:eastAsia="仿宋_GB2312" w:cs="Times New Roman"/>
          <w:kern w:val="21"/>
          <w:sz w:val="32"/>
          <w:szCs w:val="32"/>
          <w:lang w:val="en" w:eastAsia="zh-CN"/>
        </w:rPr>
      </w:pPr>
      <w:r>
        <w:rPr>
          <w:rFonts w:hint="eastAsia" w:ascii="仿宋_GB2312" w:eastAsia="仿宋_GB2312" w:cs="Times New Roman"/>
          <w:kern w:val="21"/>
          <w:sz w:val="32"/>
          <w:szCs w:val="32"/>
          <w:lang w:val="en-US" w:eastAsia="zh-CN"/>
        </w:rPr>
        <w:t>（四）</w:t>
      </w:r>
      <w:r>
        <w:rPr>
          <w:rFonts w:hint="default" w:ascii="仿宋_GB2312" w:hAnsi="Times New Roman" w:eastAsia="仿宋_GB2312" w:cs="Times New Roman"/>
          <w:kern w:val="21"/>
          <w:sz w:val="32"/>
          <w:szCs w:val="32"/>
          <w:lang w:val="en-US" w:eastAsia="zh-CN"/>
        </w:rPr>
        <w:t>运行期间产生的</w:t>
      </w:r>
      <w:r>
        <w:rPr>
          <w:rFonts w:hint="eastAsia" w:ascii="仿宋_GB2312" w:hAnsi="Times New Roman" w:eastAsia="仿宋_GB2312" w:cs="Times New Roman"/>
          <w:kern w:val="21"/>
          <w:sz w:val="32"/>
          <w:szCs w:val="32"/>
          <w:lang w:val="en-US" w:eastAsia="zh-CN"/>
        </w:rPr>
        <w:t>废铅酸蓄电池和废油要严格按照危险废物的有关要求进行管理</w:t>
      </w:r>
      <w:r>
        <w:rPr>
          <w:rFonts w:hint="eastAsia" w:ascii="仿宋_GB2312" w:hAnsi="Times New Roman" w:eastAsia="仿宋_GB2312" w:cs="Times New Roman"/>
          <w:kern w:val="21"/>
          <w:sz w:val="32"/>
          <w:szCs w:val="32"/>
          <w:lang w:val="en" w:eastAsia="zh-CN"/>
        </w:rPr>
        <w:t>，交有相关资质的单位进行处理。</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default" w:ascii="仿宋_GB2312" w:hAnsi="Times New Roman" w:eastAsia="仿宋_GB2312" w:cs="Times New Roman"/>
          <w:kern w:val="21"/>
          <w:sz w:val="32"/>
          <w:szCs w:val="32"/>
          <w:lang w:val="en-US" w:eastAsia="zh-CN"/>
        </w:rPr>
      </w:pPr>
      <w:r>
        <w:rPr>
          <w:rFonts w:hint="eastAsia" w:ascii="仿宋_GB2312" w:eastAsia="仿宋_GB2312" w:cs="Times New Roman"/>
          <w:kern w:val="21"/>
          <w:sz w:val="32"/>
          <w:szCs w:val="32"/>
          <w:lang w:val="en-US" w:eastAsia="zh-CN"/>
        </w:rPr>
        <w:t>（五）</w:t>
      </w:r>
      <w:r>
        <w:rPr>
          <w:rFonts w:hint="default" w:ascii="仿宋_GB2312" w:hAnsi="Times New Roman" w:eastAsia="仿宋_GB2312" w:cs="Times New Roman"/>
          <w:kern w:val="21"/>
          <w:sz w:val="32"/>
          <w:szCs w:val="32"/>
          <w:lang w:val="en-US" w:eastAsia="zh-CN"/>
        </w:rPr>
        <w:t>合理布局站内电气设备及配电装置，</w:t>
      </w:r>
      <w:r>
        <w:rPr>
          <w:rFonts w:hint="default" w:ascii="仿宋_GB2312" w:hAnsi="Times New Roman" w:eastAsia="仿宋_GB2312" w:cs="Times New Roman"/>
          <w:kern w:val="21"/>
          <w:sz w:val="32"/>
          <w:szCs w:val="32"/>
          <w:lang w:val="en" w:eastAsia="zh-CN"/>
        </w:rPr>
        <w:t>认真落实《报告表》中提出的控制和改善工频电场、工频磁场对周边环境影响的措施和方法，变电站围墙外工频电场、工频磁场应符合《电磁环境控制限值》（GB8702-2014）要求。</w:t>
      </w:r>
      <w:r>
        <w:rPr>
          <w:rFonts w:hint="default" w:ascii="仿宋_GB2312" w:hAnsi="Times New Roman" w:eastAsia="仿宋_GB2312" w:cs="Times New Roman"/>
          <w:kern w:val="21"/>
          <w:sz w:val="32"/>
          <w:szCs w:val="32"/>
          <w:lang w:val="en-US" w:eastAsia="zh-CN"/>
        </w:rPr>
        <w:t>做好警示标志的悬挂设立工作，禁止无关人员进入</w:t>
      </w:r>
      <w:r>
        <w:rPr>
          <w:rFonts w:hint="eastAsia" w:ascii="仿宋_GB2312" w:hAnsi="Times New Roman" w:eastAsia="仿宋_GB2312" w:cs="Times New Roman"/>
          <w:kern w:val="21"/>
          <w:sz w:val="32"/>
          <w:szCs w:val="32"/>
          <w:lang w:val="en-US" w:eastAsia="zh-CN"/>
        </w:rPr>
        <w:t>变电站</w:t>
      </w:r>
      <w:r>
        <w:rPr>
          <w:rFonts w:hint="default" w:ascii="仿宋_GB2312" w:hAnsi="Times New Roman" w:eastAsia="仿宋_GB2312" w:cs="Times New Roman"/>
          <w:kern w:val="21"/>
          <w:sz w:val="32"/>
          <w:szCs w:val="32"/>
          <w:lang w:val="en-US" w:eastAsia="zh-CN"/>
        </w:rPr>
        <w:t>或靠近带电架构，加强对周边群众的电磁环境知识的宣传。做好员工电磁基础知识培训和电磁辐射监测工作。</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eastAsia" w:ascii="仿宋_GB2312" w:hAnsi="Times New Roman" w:eastAsia="仿宋_GB2312" w:cs="Times New Roman"/>
          <w:kern w:val="21"/>
          <w:sz w:val="32"/>
          <w:szCs w:val="32"/>
          <w:lang w:val="en-US" w:eastAsia="zh-CN"/>
        </w:rPr>
      </w:pPr>
      <w:r>
        <w:rPr>
          <w:rFonts w:hint="eastAsia" w:ascii="仿宋_GB2312" w:hAnsi="Times New Roman" w:eastAsia="仿宋_GB2312" w:cs="Times New Roman"/>
          <w:kern w:val="21"/>
          <w:sz w:val="32"/>
          <w:szCs w:val="32"/>
          <w:lang w:val="en-US" w:eastAsia="zh-CN"/>
        </w:rPr>
        <w:t>四、环境影响报告表经批准后，如工程性质、规模、地点或生态保护、污染防治措施发生重大变动，须报我局重新审批。项目竣工后，应按规定程序开展竣工环境保护验收。施工期和运营期的生态环境监督管理由</w:t>
      </w:r>
      <w:r>
        <w:rPr>
          <w:rFonts w:hint="eastAsia" w:ascii="仿宋_GB2312" w:eastAsia="仿宋_GB2312" w:cs="Times New Roman"/>
          <w:kern w:val="21"/>
          <w:sz w:val="32"/>
          <w:szCs w:val="32"/>
          <w:lang w:val="en-US" w:eastAsia="zh-CN"/>
        </w:rPr>
        <w:t>伊宁市</w:t>
      </w:r>
      <w:r>
        <w:rPr>
          <w:rFonts w:hint="eastAsia" w:ascii="仿宋_GB2312" w:hAnsi="Times New Roman" w:eastAsia="仿宋_GB2312" w:cs="Times New Roman"/>
          <w:kern w:val="21"/>
          <w:sz w:val="32"/>
          <w:szCs w:val="32"/>
          <w:lang w:val="en-US" w:eastAsia="zh-CN"/>
        </w:rPr>
        <w:t>分局负责，州生态环境保护综合行政执法</w:t>
      </w:r>
      <w:bookmarkStart w:id="0" w:name="_GoBack"/>
      <w:bookmarkEnd w:id="0"/>
      <w:r>
        <w:rPr>
          <w:rFonts w:hint="eastAsia" w:ascii="仿宋_GB2312" w:hAnsi="Times New Roman" w:eastAsia="仿宋_GB2312" w:cs="Times New Roman"/>
          <w:kern w:val="21"/>
          <w:sz w:val="32"/>
          <w:szCs w:val="32"/>
          <w:lang w:val="en-US" w:eastAsia="zh-CN"/>
        </w:rPr>
        <w:t>支队不定期进行抽查。</w:t>
      </w:r>
    </w:p>
    <w:p>
      <w:pPr>
        <w:pStyle w:val="12"/>
        <w:keepNext w:val="0"/>
        <w:keepLines w:val="0"/>
        <w:pageBreakBefore w:val="0"/>
        <w:widowControl w:val="0"/>
        <w:kinsoku/>
        <w:wordWrap/>
        <w:overflowPunct/>
        <w:topLinePunct w:val="0"/>
        <w:autoSpaceDE w:val="0"/>
        <w:autoSpaceDN/>
        <w:bidi w:val="0"/>
        <w:adjustRightInd/>
        <w:snapToGrid/>
        <w:spacing w:before="0" w:beforeAutospacing="0" w:after="0" w:line="550" w:lineRule="exact"/>
        <w:ind w:left="0" w:leftChars="0" w:firstLine="640"/>
        <w:textAlignment w:val="auto"/>
        <w:rPr>
          <w:rFonts w:hint="eastAsia"/>
        </w:rPr>
      </w:pPr>
      <w:r>
        <w:rPr>
          <w:rFonts w:hint="eastAsia" w:ascii="仿宋_GB2312" w:eastAsia="仿宋_GB2312"/>
          <w:kern w:val="21"/>
          <w:sz w:val="32"/>
          <w:szCs w:val="32"/>
        </w:rPr>
        <w:t>五、你公司应在收到本批复后20个工作日内，将批准后的《报告表》送</w:t>
      </w:r>
      <w:r>
        <w:rPr>
          <w:rFonts w:hint="eastAsia" w:eastAsia="仿宋_GB2312" w:cs="Times New Roman"/>
          <w:w w:val="100"/>
          <w:kern w:val="0"/>
          <w:sz w:val="32"/>
          <w:szCs w:val="32"/>
          <w:lang w:val="en-US" w:eastAsia="zh-CN" w:bidi="ar-SA"/>
        </w:rPr>
        <w:t>伊宁市分局</w:t>
      </w:r>
      <w:r>
        <w:rPr>
          <w:rFonts w:hint="eastAsia" w:ascii="仿宋_GB2312" w:eastAsia="仿宋_GB2312"/>
          <w:kern w:val="21"/>
          <w:sz w:val="32"/>
          <w:szCs w:val="32"/>
        </w:rPr>
        <w:t>，并按规定接受各级生态环境行政主管部门的监督检查。</w:t>
      </w:r>
    </w:p>
    <w:p>
      <w:pPr>
        <w:pStyle w:val="11"/>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640" w:hanging="640" w:hangingChars="200"/>
        <w:jc w:val="both"/>
        <w:textAlignment w:val="auto"/>
        <w:rPr>
          <w:rFonts w:hint="eastAsia" w:ascii="仿宋_GB2312" w:eastAsia="仿宋_GB2312"/>
          <w:kern w:val="21"/>
          <w:sz w:val="32"/>
          <w:szCs w:val="32"/>
        </w:rPr>
      </w:pPr>
      <w:r>
        <w:rPr>
          <w:rFonts w:hint="eastAsia" w:ascii="仿宋_GB2312" w:eastAsia="仿宋_GB2312"/>
          <w:kern w:val="21"/>
          <w:sz w:val="32"/>
          <w:szCs w:val="32"/>
        </w:rPr>
        <w:t xml:space="preserve">   （此件社会公开）</w:t>
      </w:r>
    </w:p>
    <w:p>
      <w:pPr>
        <w:pStyle w:val="11"/>
        <w:widowControl/>
        <w:autoSpaceDE w:val="0"/>
        <w:spacing w:before="0" w:beforeAutospacing="0" w:after="0" w:afterAutospacing="0" w:line="560" w:lineRule="exact"/>
        <w:ind w:firstLine="4480" w:firstLineChars="1400"/>
        <w:jc w:val="both"/>
        <w:rPr>
          <w:rFonts w:hint="eastAsia" w:ascii="仿宋_GB2312" w:eastAsia="仿宋_GB2312"/>
          <w:kern w:val="21"/>
          <w:sz w:val="32"/>
          <w:szCs w:val="32"/>
        </w:rPr>
      </w:pPr>
      <w:r>
        <w:rPr>
          <w:rFonts w:hint="eastAsia" w:ascii="仿宋_GB2312" w:eastAsia="仿宋_GB2312"/>
          <w:kern w:val="21"/>
          <w:sz w:val="32"/>
          <w:szCs w:val="32"/>
        </w:rPr>
        <w:t xml:space="preserve"> 202</w:t>
      </w:r>
      <w:r>
        <w:rPr>
          <w:rFonts w:hint="eastAsia" w:ascii="仿宋_GB2312" w:eastAsia="仿宋_GB2312"/>
          <w:kern w:val="21"/>
          <w:sz w:val="32"/>
          <w:szCs w:val="32"/>
          <w:lang w:val="en-US" w:eastAsia="zh-CN"/>
        </w:rPr>
        <w:t>4</w:t>
      </w:r>
      <w:r>
        <w:rPr>
          <w:rFonts w:hint="eastAsia" w:ascii="仿宋_GB2312" w:eastAsia="仿宋_GB2312"/>
          <w:kern w:val="21"/>
          <w:sz w:val="32"/>
          <w:szCs w:val="32"/>
        </w:rPr>
        <w:t>年</w:t>
      </w:r>
      <w:r>
        <w:rPr>
          <w:rFonts w:hint="eastAsia" w:ascii="仿宋_GB2312" w:eastAsia="仿宋_GB2312"/>
          <w:kern w:val="21"/>
          <w:sz w:val="32"/>
          <w:szCs w:val="32"/>
          <w:lang w:val="en-US" w:eastAsia="zh-CN"/>
        </w:rPr>
        <w:t>4</w:t>
      </w:r>
      <w:r>
        <w:rPr>
          <w:rFonts w:hint="eastAsia" w:ascii="仿宋_GB2312" w:eastAsia="仿宋_GB2312"/>
          <w:kern w:val="21"/>
          <w:sz w:val="32"/>
          <w:szCs w:val="32"/>
        </w:rPr>
        <w:t>月</w:t>
      </w:r>
      <w:r>
        <w:rPr>
          <w:rFonts w:hint="eastAsia" w:ascii="仿宋_GB2312" w:eastAsia="仿宋_GB2312"/>
          <w:kern w:val="21"/>
          <w:sz w:val="32"/>
          <w:szCs w:val="32"/>
          <w:lang w:val="en-US" w:eastAsia="zh-CN"/>
        </w:rPr>
        <w:t>22</w:t>
      </w:r>
      <w:r>
        <w:rPr>
          <w:rFonts w:hint="eastAsia" w:ascii="仿宋_GB2312" w:eastAsia="仿宋_GB2312"/>
          <w:kern w:val="21"/>
          <w:sz w:val="32"/>
          <w:szCs w:val="32"/>
        </w:rPr>
        <w:t>日</w:t>
      </w:r>
    </w:p>
    <w:p>
      <w:pPr>
        <w:pStyle w:val="4"/>
        <w:rPr>
          <w:rFonts w:hint="eastAsia" w:ascii="仿宋_GB2312" w:eastAsia="仿宋_GB2312"/>
          <w:kern w:val="21"/>
          <w:sz w:val="32"/>
          <w:szCs w:val="32"/>
        </w:rPr>
      </w:pPr>
    </w:p>
    <w:p>
      <w:pPr>
        <w:rPr>
          <w:rFonts w:hint="eastAsia"/>
        </w:rPr>
      </w:pPr>
    </w:p>
    <w:p>
      <w:pPr>
        <w:pStyle w:val="6"/>
        <w:pBdr>
          <w:top w:val="single" w:color="auto" w:sz="12" w:space="1"/>
          <w:bottom w:val="single" w:color="auto" w:sz="12" w:space="1"/>
        </w:pBdr>
        <w:spacing w:line="560" w:lineRule="exact"/>
        <w:ind w:left="840" w:hanging="840" w:hangingChars="300"/>
        <w:rPr>
          <w:rFonts w:ascii="Times New Roman" w:hAnsi="Times New Roman" w:eastAsia="仿宋_GB2312" w:cs="Times New Roman"/>
          <w:sz w:val="28"/>
          <w:szCs w:val="28"/>
        </w:rPr>
      </w:pPr>
      <w:r>
        <w:rPr>
          <w:rFonts w:ascii="仿宋_GB2312" w:hAnsi="Times New Roman" w:eastAsia="仿宋_GB2312" w:cs="Times New Roman"/>
          <w:sz w:val="28"/>
          <w:szCs w:val="28"/>
        </w:rPr>
        <w:t>抄送：州生态环境保护综合行政执法支队，</w:t>
      </w:r>
      <w:r>
        <w:rPr>
          <w:rFonts w:hint="eastAsia" w:ascii="仿宋_GB2312" w:hAnsi="Times New Roman" w:eastAsia="仿宋_GB2312" w:cs="Times New Roman"/>
          <w:sz w:val="28"/>
          <w:szCs w:val="28"/>
          <w:lang w:val="en-US" w:eastAsia="zh-CN"/>
        </w:rPr>
        <w:t>伊犁哈萨克自治州生态环境局伊宁市分局</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新疆鼎耀工程咨询有限公司</w:t>
      </w:r>
      <w:r>
        <w:rPr>
          <w:rFonts w:ascii="仿宋_GB2312" w:hAnsi="Times New Roman" w:eastAsia="仿宋_GB2312" w:cs="Times New Roman"/>
          <w:sz w:val="28"/>
          <w:szCs w:val="28"/>
        </w:rPr>
        <w:t>，本局存档。</w:t>
      </w:r>
    </w:p>
    <w:p>
      <w:pPr>
        <w:pStyle w:val="6"/>
        <w:pBdr>
          <w:bottom w:val="single" w:color="auto" w:sz="12" w:space="1"/>
        </w:pBdr>
        <w:spacing w:line="560" w:lineRule="exact"/>
        <w:ind w:firstLine="140" w:firstLineChars="50"/>
        <w:rPr>
          <w:rFonts w:ascii="Times New Roman" w:hAnsi="Times New Roman" w:cs="Times New Roman"/>
        </w:rPr>
      </w:pPr>
      <w:r>
        <w:rPr>
          <w:rFonts w:ascii="仿宋_GB2312" w:hAnsi="Times New Roman" w:eastAsia="仿宋_GB2312" w:cs="Times New Roman"/>
          <w:sz w:val="28"/>
          <w:szCs w:val="28"/>
        </w:rPr>
        <w:t>伊犁哈萨克自治州生态环境局</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ascii="仿宋_GB2312"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ascii="仿宋_GB2312"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仿宋_GB2312" w:hAnsi="Times New Roman" w:eastAsia="仿宋_GB2312" w:cs="Times New Roman"/>
          <w:sz w:val="28"/>
          <w:szCs w:val="28"/>
        </w:rPr>
        <w:t>日</w:t>
      </w:r>
      <w:r>
        <w:rPr>
          <w:rFonts w:ascii="Times New Roman" w:hAnsi="Times New Roman" w:eastAsia="仿宋_GB2312" w:cs="Times New Roman"/>
          <w:sz w:val="28"/>
          <w:szCs w:val="28"/>
        </w:rPr>
        <w:t xml:space="preserve"> </w:t>
      </w:r>
      <w:r>
        <w:rPr>
          <w:rFonts w:ascii="仿宋_GB2312" w:hAnsi="Times New Roman" w:eastAsia="仿宋_GB2312" w:cs="Times New Roman"/>
          <w:sz w:val="28"/>
          <w:szCs w:val="28"/>
        </w:rPr>
        <w:t>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1439"/>
    <w:rsid w:val="00261439"/>
    <w:rsid w:val="002A7078"/>
    <w:rsid w:val="005776E3"/>
    <w:rsid w:val="00817814"/>
    <w:rsid w:val="00B41F5D"/>
    <w:rsid w:val="00D723EF"/>
    <w:rsid w:val="00DE082E"/>
    <w:rsid w:val="04AA1955"/>
    <w:rsid w:val="052B3346"/>
    <w:rsid w:val="05FB28DB"/>
    <w:rsid w:val="0C246F78"/>
    <w:rsid w:val="0D5A0767"/>
    <w:rsid w:val="0E3B40E5"/>
    <w:rsid w:val="0F8758A6"/>
    <w:rsid w:val="111007FA"/>
    <w:rsid w:val="11B67C1F"/>
    <w:rsid w:val="12317569"/>
    <w:rsid w:val="14815B34"/>
    <w:rsid w:val="16F57CF9"/>
    <w:rsid w:val="1BF765EF"/>
    <w:rsid w:val="1CB303A9"/>
    <w:rsid w:val="1DE36CA3"/>
    <w:rsid w:val="1E2359B3"/>
    <w:rsid w:val="21511D4C"/>
    <w:rsid w:val="22BB378E"/>
    <w:rsid w:val="240F7F39"/>
    <w:rsid w:val="243200EE"/>
    <w:rsid w:val="24E673BF"/>
    <w:rsid w:val="257D2203"/>
    <w:rsid w:val="2BB5313E"/>
    <w:rsid w:val="2C931228"/>
    <w:rsid w:val="2D366D2B"/>
    <w:rsid w:val="2E063012"/>
    <w:rsid w:val="32186CC0"/>
    <w:rsid w:val="326E63CA"/>
    <w:rsid w:val="355C5798"/>
    <w:rsid w:val="3910395E"/>
    <w:rsid w:val="3CDB5790"/>
    <w:rsid w:val="3E1C1BF2"/>
    <w:rsid w:val="3E2D6C73"/>
    <w:rsid w:val="40311993"/>
    <w:rsid w:val="4042473C"/>
    <w:rsid w:val="40786313"/>
    <w:rsid w:val="435E7112"/>
    <w:rsid w:val="44F77399"/>
    <w:rsid w:val="46D11FBC"/>
    <w:rsid w:val="4C700C74"/>
    <w:rsid w:val="4CCF4510"/>
    <w:rsid w:val="4E295A47"/>
    <w:rsid w:val="4E34765B"/>
    <w:rsid w:val="4F0173EB"/>
    <w:rsid w:val="501A1A7A"/>
    <w:rsid w:val="51910FC4"/>
    <w:rsid w:val="53F11286"/>
    <w:rsid w:val="55561902"/>
    <w:rsid w:val="5569512F"/>
    <w:rsid w:val="55E737FF"/>
    <w:rsid w:val="58B46E15"/>
    <w:rsid w:val="597A7D80"/>
    <w:rsid w:val="5A174902"/>
    <w:rsid w:val="5B895754"/>
    <w:rsid w:val="5E4E087C"/>
    <w:rsid w:val="5F4C730D"/>
    <w:rsid w:val="60CB745A"/>
    <w:rsid w:val="617321F1"/>
    <w:rsid w:val="632B7598"/>
    <w:rsid w:val="633565CF"/>
    <w:rsid w:val="63A11086"/>
    <w:rsid w:val="643F5B88"/>
    <w:rsid w:val="65D51894"/>
    <w:rsid w:val="68A128B9"/>
    <w:rsid w:val="6AC758CF"/>
    <w:rsid w:val="6B1F06CE"/>
    <w:rsid w:val="6DB314CC"/>
    <w:rsid w:val="6E5B1D9A"/>
    <w:rsid w:val="6F1F2CC2"/>
    <w:rsid w:val="6FA02431"/>
    <w:rsid w:val="71CF04C8"/>
    <w:rsid w:val="77A751BC"/>
    <w:rsid w:val="77CF011D"/>
    <w:rsid w:val="789141CE"/>
    <w:rsid w:val="7E6012ED"/>
    <w:rsid w:val="7FAE5DB6"/>
    <w:rsid w:val="7FF61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next w:val="1"/>
    <w:qFormat/>
    <w:uiPriority w:val="0"/>
    <w:pPr>
      <w:spacing w:line="360" w:lineRule="auto"/>
      <w:ind w:firstLine="200" w:firstLineChars="200"/>
    </w:pPr>
    <w:rPr>
      <w:rFonts w:ascii="宋体" w:hAnsi="宋体" w:cs="宋体"/>
      <w:sz w:val="24"/>
      <w:szCs w:val="24"/>
    </w:rPr>
  </w:style>
  <w:style w:type="paragraph" w:styleId="4">
    <w:name w:val="index 5"/>
    <w:basedOn w:val="1"/>
    <w:next w:val="1"/>
    <w:qFormat/>
    <w:uiPriority w:val="0"/>
    <w:pPr>
      <w:ind w:left="1680"/>
    </w:pPr>
    <w:rPr>
      <w:rFonts w:ascii="Calibri" w:hAnsi="Calibri"/>
      <w:szCs w:val="22"/>
    </w:rPr>
  </w:style>
  <w:style w:type="paragraph" w:styleId="5">
    <w:name w:val="Body Text Indent"/>
    <w:basedOn w:val="1"/>
    <w:next w:val="3"/>
    <w:link w:val="19"/>
    <w:semiHidden/>
    <w:unhideWhenUsed/>
    <w:qFormat/>
    <w:uiPriority w:val="99"/>
    <w:pPr>
      <w:spacing w:after="120"/>
      <w:ind w:left="420" w:leftChars="200"/>
    </w:pPr>
  </w:style>
  <w:style w:type="paragraph" w:styleId="6">
    <w:name w:val="Plain Text"/>
    <w:basedOn w:val="1"/>
    <w:link w:val="18"/>
    <w:unhideWhenUsed/>
    <w:qFormat/>
    <w:uiPriority w:val="99"/>
    <w:rPr>
      <w:rFonts w:ascii="宋体" w:cs="Courier New"/>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heading"/>
    <w:basedOn w:val="1"/>
    <w:next w:val="10"/>
    <w:qFormat/>
    <w:uiPriority w:val="0"/>
    <w:rPr>
      <w:szCs w:val="20"/>
    </w:rPr>
  </w:style>
  <w:style w:type="paragraph" w:styleId="10">
    <w:name w:val="index 1"/>
    <w:basedOn w:val="1"/>
    <w:next w:val="1"/>
    <w:unhideWhenUsed/>
    <w:qFormat/>
    <w:uiPriority w:val="0"/>
    <w:pPr>
      <w:adjustRightInd w:val="0"/>
      <w:snapToGrid w:val="0"/>
      <w:spacing w:line="440" w:lineRule="atLeast"/>
      <w:ind w:left="240" w:hanging="240"/>
      <w:jc w:val="left"/>
    </w:pPr>
    <w:rPr>
      <w:rFonts w:ascii="宋体"/>
      <w:sz w:val="18"/>
      <w:szCs w:val="18"/>
    </w:rPr>
  </w:style>
  <w:style w:type="paragraph" w:styleId="11">
    <w:name w:val="Normal (Web)"/>
    <w:basedOn w:val="1"/>
    <w:next w:val="4"/>
    <w:unhideWhenUsed/>
    <w:qFormat/>
    <w:uiPriority w:val="99"/>
    <w:pPr>
      <w:spacing w:before="100" w:beforeAutospacing="1" w:after="100" w:afterAutospacing="1"/>
      <w:jc w:val="left"/>
    </w:pPr>
    <w:rPr>
      <w:kern w:val="0"/>
      <w:sz w:val="24"/>
      <w:szCs w:val="24"/>
    </w:rPr>
  </w:style>
  <w:style w:type="paragraph" w:styleId="12">
    <w:name w:val="Body Text First Indent 2"/>
    <w:basedOn w:val="5"/>
    <w:next w:val="1"/>
    <w:link w:val="20"/>
    <w:unhideWhenUsed/>
    <w:qFormat/>
    <w:uiPriority w:val="99"/>
    <w:pPr>
      <w:spacing w:before="100" w:beforeAutospacing="1"/>
      <w:ind w:firstLine="420" w:firstLineChars="200"/>
    </w:pPr>
    <w:rPr>
      <w:rFonts w:ascii="Times New Roman" w:hAnsi="Times New Roman"/>
      <w:kern w:val="0"/>
      <w:sz w:val="24"/>
      <w:szCs w:val="24"/>
    </w:rPr>
  </w:style>
  <w:style w:type="paragraph" w:customStyle="1" w:styleId="15">
    <w:name w:val="Default"/>
    <w:basedOn w:val="16"/>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纯文本1"/>
    <w:basedOn w:val="1"/>
    <w:qFormat/>
    <w:uiPriority w:val="0"/>
    <w:pPr>
      <w:adjustRightInd w:val="0"/>
      <w:textAlignment w:val="baseline"/>
    </w:pPr>
    <w:rPr>
      <w:rFonts w:ascii="宋体" w:hAnsi="Courier New"/>
      <w:szCs w:val="20"/>
    </w:rPr>
  </w:style>
  <w:style w:type="paragraph" w:customStyle="1" w:styleId="17">
    <w:name w:val="样式1"/>
    <w:basedOn w:val="9"/>
    <w:next w:val="1"/>
    <w:qFormat/>
    <w:uiPriority w:val="0"/>
    <w:pPr>
      <w:spacing w:line="360" w:lineRule="auto"/>
      <w:ind w:firstLine="200" w:firstLineChars="200"/>
    </w:pPr>
    <w:rPr>
      <w:rFonts w:ascii="Arial" w:hAnsi="Arial"/>
      <w:sz w:val="28"/>
      <w:szCs w:val="24"/>
    </w:rPr>
  </w:style>
  <w:style w:type="character" w:customStyle="1" w:styleId="18">
    <w:name w:val="纯文本 Char"/>
    <w:basedOn w:val="14"/>
    <w:link w:val="6"/>
    <w:qFormat/>
    <w:uiPriority w:val="99"/>
    <w:rPr>
      <w:rFonts w:ascii="宋体" w:hAnsi="Calibri" w:eastAsia="宋体" w:cs="Courier New"/>
      <w:szCs w:val="21"/>
    </w:rPr>
  </w:style>
  <w:style w:type="character" w:customStyle="1" w:styleId="19">
    <w:name w:val="正文文本缩进 Char"/>
    <w:basedOn w:val="14"/>
    <w:link w:val="5"/>
    <w:semiHidden/>
    <w:qFormat/>
    <w:uiPriority w:val="99"/>
    <w:rPr>
      <w:rFonts w:ascii="Calibri" w:hAnsi="Calibri" w:eastAsia="宋体" w:cs="Times New Roman"/>
      <w:szCs w:val="21"/>
    </w:rPr>
  </w:style>
  <w:style w:type="character" w:customStyle="1" w:styleId="20">
    <w:name w:val="正文首行缩进 2 Char"/>
    <w:basedOn w:val="19"/>
    <w:link w:val="12"/>
    <w:qFormat/>
    <w:uiPriority w:val="99"/>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216</Words>
  <Characters>1232</Characters>
  <Lines>10</Lines>
  <Paragraphs>2</Paragraphs>
  <TotalTime>18</TotalTime>
  <ScaleCrop>false</ScaleCrop>
  <LinksUpToDate>false</LinksUpToDate>
  <CharactersWithSpaces>1446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2023-10-16T08:06:00Z</dcterms:created>
  <dc:creator>Administrator</dc:creator>
  <cp:lastModifiedBy>Administrator</cp:lastModifiedBy>
  <cp:lastPrinted>2024-04-18T03:54:00Z</cp:lastPrinted>
  <dcterms:modified xsi:type="dcterms:W3CDTF">2024-04-24T10:21:01Z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4BB4CE23037F41338ED275D210EF2C3F</vt:lpwstr>
  </property>
</Properties>
</file>