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60" w:lineRule="exact"/>
        <w:jc w:val="both"/>
      </w:pPr>
    </w:p>
    <w:p>
      <w:pPr>
        <w:spacing w:line="560" w:lineRule="exact"/>
        <w:ind w:firstLine="4480" w:firstLineChars="1400"/>
        <w:jc w:val="right"/>
        <w:rPr>
          <w:rFonts w:ascii="仿宋_GB2312" w:hAnsi="仿宋_GB2312" w:eastAsia="仿宋_GB2312" w:cs="仿宋_GB2312"/>
          <w:sz w:val="32"/>
          <w:szCs w:val="32"/>
        </w:rPr>
      </w:pPr>
    </w:p>
    <w:p>
      <w:pPr>
        <w:spacing w:line="560" w:lineRule="exact"/>
        <w:ind w:firstLine="4480" w:firstLineChars="1400"/>
        <w:jc w:val="right"/>
        <w:rPr>
          <w:rFonts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伊州环函</w:t>
      </w:r>
      <w:r>
        <w:rPr>
          <w:rFonts w:hint="default"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43</w:t>
      </w:r>
      <w:r>
        <w:rPr>
          <w:rFonts w:hint="eastAsia" w:ascii="仿宋_GB2312" w:hAnsi="仿宋_GB2312" w:eastAsia="仿宋_GB2312" w:cs="Times New Roman"/>
          <w:kern w:val="0"/>
          <w:sz w:val="32"/>
          <w:szCs w:val="32"/>
        </w:rPr>
        <w:t>号</w:t>
      </w:r>
    </w:p>
    <w:p>
      <w:pPr>
        <w:spacing w:line="560" w:lineRule="exact"/>
        <w:jc w:val="center"/>
        <w:rPr>
          <w:rFonts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伊犁尼勒克县苏布台110千伏输变电工程</w:t>
      </w:r>
      <w:r>
        <w:rPr>
          <w:rFonts w:hint="eastAsia" w:ascii="方正小标宋简体" w:hAnsi="方正小标宋简体" w:eastAsia="方正小标宋简体" w:cs="方正小标宋简体"/>
          <w:sz w:val="44"/>
          <w:szCs w:val="44"/>
        </w:rPr>
        <w:t>环境影响报告表的批复</w:t>
      </w:r>
    </w:p>
    <w:p>
      <w:pPr>
        <w:pStyle w:val="13"/>
        <w:keepNext w:val="0"/>
        <w:keepLines w:val="0"/>
        <w:pageBreakBefore w:val="0"/>
        <w:kinsoku/>
        <w:wordWrap/>
        <w:overflowPunct/>
        <w:topLinePunct w:val="0"/>
        <w:autoSpaceDE/>
        <w:autoSpaceDN/>
        <w:bidi w:val="0"/>
        <w:spacing w:after="0" w:line="600" w:lineRule="exact"/>
        <w:ind w:left="0" w:leftChars="0" w:firstLine="0" w:firstLineChars="0"/>
        <w:textAlignment w:val="auto"/>
        <w:rPr>
          <w:rFonts w:hint="eastAsia" w:ascii="Times New Roman" w:hAnsi="Times New Roman" w:eastAsia="仿宋_GB2312" w:cs="Times New Roman"/>
          <w:w w:val="100"/>
          <w:sz w:val="32"/>
          <w:szCs w:val="32"/>
          <w:lang w:val="en-US" w:eastAsia="zh-CN"/>
        </w:rPr>
      </w:pPr>
    </w:p>
    <w:p>
      <w:pPr>
        <w:pStyle w:val="13"/>
        <w:keepNext w:val="0"/>
        <w:keepLines w:val="0"/>
        <w:pageBreakBefore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_GB2312" w:cs="Times New Roman"/>
          <w:w w:val="100"/>
          <w:sz w:val="32"/>
          <w:szCs w:val="32"/>
        </w:rPr>
      </w:pPr>
      <w:r>
        <w:rPr>
          <w:rFonts w:hint="eastAsia" w:ascii="Times New Roman" w:hAnsi="Times New Roman" w:eastAsia="仿宋_GB2312" w:cs="Times New Roman"/>
          <w:w w:val="100"/>
          <w:sz w:val="32"/>
          <w:szCs w:val="32"/>
          <w:lang w:eastAsia="zh-CN"/>
        </w:rPr>
        <w:t>国网伊犁伊河供电有限责任公司</w:t>
      </w:r>
      <w:r>
        <w:rPr>
          <w:rFonts w:hint="default" w:ascii="Times New Roman" w:hAnsi="Times New Roman" w:eastAsia="仿宋_GB2312" w:cs="Times New Roman"/>
          <w:w w:val="100"/>
          <w:sz w:val="32"/>
          <w:szCs w:val="32"/>
        </w:rPr>
        <w:t>：</w:t>
      </w:r>
    </w:p>
    <w:p>
      <w:pPr>
        <w:pStyle w:val="13"/>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你公司报批的</w:t>
      </w:r>
      <w:r>
        <w:rPr>
          <w:rFonts w:hint="eastAsia" w:eastAsia="仿宋_GB2312" w:cs="Times New Roman"/>
          <w:w w:val="100"/>
          <w:sz w:val="32"/>
          <w:szCs w:val="32"/>
          <w:lang w:eastAsia="zh-CN"/>
        </w:rPr>
        <w:t>“</w:t>
      </w:r>
      <w:r>
        <w:rPr>
          <w:rFonts w:hint="eastAsia" w:ascii="Times New Roman" w:hAnsi="Times New Roman" w:eastAsia="仿宋_GB2312" w:cs="Times New Roman"/>
          <w:w w:val="100"/>
          <w:sz w:val="32"/>
          <w:szCs w:val="32"/>
          <w:lang w:eastAsia="zh-CN"/>
        </w:rPr>
        <w:t>伊犁尼勒克县苏布台110千伏输变电工程</w:t>
      </w:r>
      <w:r>
        <w:rPr>
          <w:rFonts w:hint="default" w:ascii="Times New Roman" w:hAnsi="Times New Roman" w:eastAsia="仿宋_GB2312" w:cs="Times New Roman"/>
          <w:w w:val="100"/>
          <w:sz w:val="32"/>
          <w:szCs w:val="32"/>
        </w:rPr>
        <w:t>环境影响报告表审批的请示</w:t>
      </w:r>
      <w:r>
        <w:rPr>
          <w:rFonts w:hint="eastAsia" w:eastAsia="仿宋_GB2312" w:cs="Times New Roman"/>
          <w:w w:val="100"/>
          <w:sz w:val="32"/>
          <w:szCs w:val="32"/>
          <w:lang w:eastAsia="zh-CN"/>
        </w:rPr>
        <w:t>”</w:t>
      </w:r>
      <w:r>
        <w:rPr>
          <w:rFonts w:hint="default" w:ascii="Times New Roman" w:hAnsi="Times New Roman" w:eastAsia="仿宋_GB2312" w:cs="Times New Roman"/>
          <w:w w:val="100"/>
          <w:sz w:val="32"/>
          <w:szCs w:val="32"/>
        </w:rPr>
        <w:t>及相关附件均已收悉。经研究，批复如下：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w w:val="100"/>
          <w:kern w:val="0"/>
          <w:sz w:val="32"/>
          <w:szCs w:val="32"/>
          <w:lang w:val="en-US" w:eastAsia="zh-CN" w:bidi="ar-SA"/>
        </w:rPr>
      </w:pPr>
      <w:r>
        <w:rPr>
          <w:rFonts w:hint="eastAsia" w:ascii="Times New Roman" w:hAnsi="Times New Roman" w:eastAsia="仿宋_GB2312" w:cs="Times New Roman"/>
          <w:w w:val="100"/>
          <w:sz w:val="32"/>
          <w:szCs w:val="32"/>
          <w:lang w:eastAsia="zh-CN"/>
        </w:rPr>
        <w:t>一、</w:t>
      </w:r>
      <w:r>
        <w:rPr>
          <w:rFonts w:hint="eastAsia" w:ascii="Times New Roman" w:hAnsi="Times New Roman" w:eastAsia="仿宋_GB2312" w:cs="Times New Roman"/>
          <w:w w:val="100"/>
          <w:kern w:val="0"/>
          <w:sz w:val="32"/>
          <w:szCs w:val="32"/>
          <w:lang w:val="en-US" w:eastAsia="zh-CN" w:bidi="ar-SA"/>
        </w:rPr>
        <w:t>拟新建苏布台110kV变电站位于尼勒克县喀拉苏乡克什喀拉苏村中部，S315省道以东，与西侧苏布台110kV变电站直线距离约8.8km，地理坐标为N43°54′25.47″，E82°09′18.21″。拟建园区北-苏布台110千伏线路工程全线位于新疆伊犁哈萨克自治州尼勒克县及伊宁县境内；尼勒克升压汇集站-苏布台110千伏线路工程输电线路全线位于新疆伊犁哈萨克自治州尼勒克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w w:val="100"/>
          <w:kern w:val="0"/>
          <w:sz w:val="32"/>
          <w:szCs w:val="32"/>
          <w:lang w:val="en-US" w:eastAsia="zh-CN" w:bidi="ar-SA"/>
        </w:rPr>
      </w:pPr>
      <w:r>
        <w:rPr>
          <w:rFonts w:hint="eastAsia" w:ascii="Times New Roman" w:hAnsi="Times New Roman" w:eastAsia="仿宋_GB2312" w:cs="Times New Roman"/>
          <w:w w:val="100"/>
          <w:kern w:val="0"/>
          <w:sz w:val="32"/>
          <w:szCs w:val="32"/>
          <w:lang w:val="en-US" w:eastAsia="zh-CN" w:bidi="ar-SA"/>
        </w:rPr>
        <w:t>项目主要建设：新建苏布台110千伏变电站，总用地面积0.6327hm</w:t>
      </w:r>
      <w:r>
        <w:rPr>
          <w:rFonts w:hint="eastAsia" w:ascii="Times New Roman" w:hAnsi="Times New Roman" w:eastAsia="仿宋_GB2312" w:cs="Times New Roman"/>
          <w:w w:val="100"/>
          <w:kern w:val="0"/>
          <w:sz w:val="32"/>
          <w:szCs w:val="32"/>
          <w:vertAlign w:val="superscript"/>
          <w:lang w:val="en-US" w:eastAsia="zh-CN" w:bidi="ar-SA"/>
        </w:rPr>
        <w:t>2</w:t>
      </w:r>
      <w:r>
        <w:rPr>
          <w:rFonts w:hint="eastAsia" w:ascii="Times New Roman" w:hAnsi="Times New Roman" w:eastAsia="仿宋_GB2312" w:cs="Times New Roman"/>
          <w:w w:val="100"/>
          <w:kern w:val="0"/>
          <w:sz w:val="32"/>
          <w:szCs w:val="32"/>
          <w:lang w:val="en-US" w:eastAsia="zh-CN" w:bidi="ar-SA"/>
        </w:rPr>
        <w:t>，围墙内占地面积0.4054hm</w:t>
      </w:r>
      <w:r>
        <w:rPr>
          <w:rFonts w:hint="eastAsia" w:ascii="Times New Roman" w:hAnsi="Times New Roman" w:eastAsia="仿宋_GB2312" w:cs="Times New Roman"/>
          <w:w w:val="100"/>
          <w:kern w:val="0"/>
          <w:sz w:val="32"/>
          <w:szCs w:val="32"/>
          <w:vertAlign w:val="superscript"/>
          <w:lang w:val="en-US" w:eastAsia="zh-CN" w:bidi="ar-SA"/>
        </w:rPr>
        <w:t>2</w:t>
      </w:r>
      <w:r>
        <w:rPr>
          <w:rFonts w:hint="eastAsia" w:ascii="Times New Roman" w:hAnsi="Times New Roman" w:eastAsia="仿宋_GB2312" w:cs="Times New Roman"/>
          <w:w w:val="100"/>
          <w:kern w:val="0"/>
          <w:sz w:val="32"/>
          <w:szCs w:val="32"/>
          <w:vertAlign w:val="baseline"/>
          <w:lang w:val="en-US" w:eastAsia="zh-CN" w:bidi="ar-SA"/>
        </w:rPr>
        <w:t>，</w:t>
      </w:r>
      <w:r>
        <w:rPr>
          <w:rFonts w:hint="eastAsia" w:ascii="Times New Roman" w:hAnsi="Times New Roman" w:eastAsia="仿宋_GB2312" w:cs="Times New Roman"/>
          <w:w w:val="100"/>
          <w:kern w:val="0"/>
          <w:sz w:val="32"/>
          <w:szCs w:val="32"/>
          <w:lang w:val="en-US" w:eastAsia="zh-CN" w:bidi="ar-SA"/>
        </w:rPr>
        <w:t>主变规模为1×50MVA，终期规模2×50MVA；园区北-苏布台110千伏线路工程，新建园区北变至苏布台变110千伏架空线路，路径全长约30.6km，其中新建单回路长约30.3km，利旧双回路长约0.3km，全线采用角钢塔架设，新建杆塔96基，单回路耐张28基，单回路直线塔67 基，双回路耐张塔1基；利旧原双回路耐张塔2基；尼勒克升压汇集站-苏布台110千伏线路工程，线路全长约2.4km，其中单回路架设约2km，双回路架设约0.4km（导、地线一次建成，本期使用1回，预留1回），新建杆塔9基，其中单回路耐张4基，单回路直线塔3基，双回路耐张塔2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w w:val="100"/>
          <w:kern w:val="0"/>
          <w:sz w:val="32"/>
          <w:szCs w:val="32"/>
          <w:lang w:val="en-US" w:eastAsia="zh-CN" w:bidi="ar-SA"/>
        </w:rPr>
      </w:pPr>
      <w:r>
        <w:rPr>
          <w:rFonts w:hint="eastAsia" w:ascii="Times New Roman" w:hAnsi="Times New Roman" w:eastAsia="仿宋_GB2312" w:cs="Times New Roman"/>
          <w:w w:val="100"/>
          <w:kern w:val="0"/>
          <w:sz w:val="32"/>
          <w:szCs w:val="32"/>
          <w:lang w:val="en-US" w:eastAsia="zh-CN" w:bidi="ar-SA"/>
        </w:rPr>
        <w:t>项目总投资为7762.88万元，环保投资为300万元，占总资的3.86%。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w w:val="100"/>
          <w:kern w:val="0"/>
          <w:sz w:val="32"/>
          <w:szCs w:val="32"/>
        </w:rPr>
      </w:pPr>
      <w:r>
        <w:rPr>
          <w:rFonts w:hint="eastAsia" w:ascii="Times New Roman" w:hAnsi="Times New Roman" w:eastAsia="仿宋_GB2312" w:cs="Times New Roman"/>
          <w:w w:val="100"/>
          <w:kern w:val="0"/>
          <w:sz w:val="32"/>
          <w:szCs w:val="32"/>
          <w:lang w:eastAsia="zh-CN"/>
        </w:rPr>
        <w:t>二、</w:t>
      </w:r>
      <w:r>
        <w:rPr>
          <w:rFonts w:hint="default" w:ascii="Times New Roman" w:hAnsi="Times New Roman" w:eastAsia="仿宋_GB2312" w:cs="Times New Roman"/>
          <w:w w:val="100"/>
          <w:kern w:val="0"/>
          <w:sz w:val="32"/>
          <w:szCs w:val="32"/>
        </w:rPr>
        <w:t>根据</w:t>
      </w:r>
      <w:r>
        <w:rPr>
          <w:rFonts w:hint="eastAsia" w:ascii="Times New Roman" w:hAnsi="Times New Roman" w:eastAsia="仿宋_GB2312" w:cs="Times New Roman"/>
          <w:w w:val="100"/>
          <w:kern w:val="0"/>
          <w:sz w:val="32"/>
          <w:szCs w:val="32"/>
          <w:lang w:eastAsia="zh-CN"/>
        </w:rPr>
        <w:t>新疆鼎耀工程咨询有限公司</w:t>
      </w:r>
      <w:r>
        <w:rPr>
          <w:rFonts w:hint="default" w:ascii="Times New Roman" w:hAnsi="Times New Roman" w:eastAsia="仿宋_GB2312" w:cs="Times New Roman"/>
          <w:w w:val="100"/>
          <w:kern w:val="0"/>
          <w:sz w:val="32"/>
          <w:szCs w:val="32"/>
        </w:rPr>
        <w:t>编制的《</w:t>
      </w:r>
      <w:r>
        <w:rPr>
          <w:rFonts w:hint="eastAsia" w:ascii="Times New Roman" w:hAnsi="Times New Roman" w:eastAsia="仿宋_GB2312" w:cs="Times New Roman"/>
          <w:w w:val="100"/>
          <w:kern w:val="0"/>
          <w:sz w:val="32"/>
          <w:szCs w:val="32"/>
          <w:lang w:eastAsia="zh-CN"/>
        </w:rPr>
        <w:t>伊犁尼勒克县苏布台110千伏输变电工程</w:t>
      </w:r>
      <w:r>
        <w:rPr>
          <w:rFonts w:hint="default" w:ascii="Times New Roman" w:hAnsi="Times New Roman" w:eastAsia="仿宋_GB2312" w:cs="Times New Roman"/>
          <w:w w:val="100"/>
          <w:sz w:val="32"/>
          <w:szCs w:val="32"/>
        </w:rPr>
        <w:t>环境影响报告表</w:t>
      </w:r>
      <w:r>
        <w:rPr>
          <w:rFonts w:hint="default" w:ascii="Times New Roman" w:hAnsi="Times New Roman" w:eastAsia="仿宋_GB2312" w:cs="Times New Roman"/>
          <w:w w:val="100"/>
          <w:kern w:val="0"/>
          <w:sz w:val="32"/>
          <w:szCs w:val="32"/>
        </w:rPr>
        <w:t>》（以下简称《报告表》）</w:t>
      </w:r>
      <w:r>
        <w:rPr>
          <w:rFonts w:hint="eastAsia" w:ascii="Times New Roman" w:hAnsi="Times New Roman" w:eastAsia="仿宋_GB2312" w:cs="Times New Roman"/>
          <w:w w:val="100"/>
          <w:kern w:val="0"/>
          <w:sz w:val="32"/>
          <w:szCs w:val="32"/>
          <w:lang w:eastAsia="zh-CN"/>
        </w:rPr>
        <w:t>，</w:t>
      </w:r>
      <w:r>
        <w:rPr>
          <w:rFonts w:hint="default" w:ascii="Times New Roman" w:hAnsi="Times New Roman" w:eastAsia="仿宋_GB2312" w:cs="Times New Roman"/>
          <w:w w:val="100"/>
          <w:kern w:val="0"/>
          <w:sz w:val="32"/>
          <w:szCs w:val="32"/>
          <w:shd w:val="clear" w:color="auto" w:fill="FFFFFF"/>
        </w:rPr>
        <w:t>在全面落实《报告表》提出的各项环境保护措施后，项目建设对环境产生的不利影响可以缓解和</w:t>
      </w:r>
      <w:r>
        <w:rPr>
          <w:rFonts w:hint="default" w:ascii="Times New Roman" w:hAnsi="Times New Roman" w:eastAsia="仿宋_GB2312" w:cs="Times New Roman"/>
          <w:w w:val="100"/>
          <w:kern w:val="0"/>
          <w:sz w:val="32"/>
          <w:szCs w:val="32"/>
        </w:rPr>
        <w:t>控制。从环境保护的角度，我局原则同意按照《报告表》中所列建设项目的性质、规模、地点和拟采取的环境保护措施进行建设。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w w:val="100"/>
          <w:kern w:val="0"/>
          <w:sz w:val="32"/>
          <w:szCs w:val="32"/>
        </w:rPr>
      </w:pPr>
      <w:r>
        <w:rPr>
          <w:rFonts w:hint="default" w:ascii="Times New Roman" w:hAnsi="Times New Roman" w:eastAsia="仿宋_GB2312" w:cs="Times New Roman"/>
          <w:w w:val="100"/>
          <w:kern w:val="0"/>
          <w:sz w:val="32"/>
          <w:szCs w:val="32"/>
        </w:rPr>
        <w:t>三、在项目</w:t>
      </w:r>
      <w:r>
        <w:rPr>
          <w:rFonts w:hint="default" w:ascii="Times New Roman" w:hAnsi="Times New Roman" w:eastAsia="仿宋_GB2312" w:cs="Times New Roman"/>
          <w:w w:val="100"/>
          <w:kern w:val="0"/>
          <w:sz w:val="32"/>
          <w:szCs w:val="32"/>
          <w:lang w:eastAsia="zh-CN"/>
        </w:rPr>
        <w:t>建设和</w:t>
      </w:r>
      <w:r>
        <w:rPr>
          <w:rFonts w:hint="default" w:ascii="Times New Roman" w:hAnsi="Times New Roman" w:eastAsia="仿宋_GB2312" w:cs="Times New Roman"/>
          <w:w w:val="100"/>
          <w:kern w:val="0"/>
          <w:sz w:val="32"/>
          <w:szCs w:val="32"/>
        </w:rPr>
        <w:t>运行过程中要严格落实《报告表》中提出的各项环保措施和建议，严格执行环保“三同时”制度，确保污染物稳定达标排放，并达到以下要求：</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w w:val="100"/>
          <w:kern w:val="0"/>
          <w:sz w:val="32"/>
          <w:szCs w:val="32"/>
        </w:rPr>
      </w:pPr>
      <w:r>
        <w:rPr>
          <w:rFonts w:hint="default" w:ascii="Times New Roman" w:hAnsi="Times New Roman" w:eastAsia="仿宋_GB2312" w:cs="Times New Roman"/>
          <w:w w:val="100"/>
          <w:kern w:val="0"/>
          <w:sz w:val="32"/>
          <w:szCs w:val="32"/>
          <w:lang w:eastAsia="zh-CN"/>
        </w:rPr>
        <w:t>（一）加强施工期环境管理，严格落实“报告表”中提出的施工期生态保护和污染防治措施。</w:t>
      </w:r>
      <w:r>
        <w:rPr>
          <w:rFonts w:hint="eastAsia" w:ascii="仿宋_GB2312" w:eastAsia="仿宋_GB2312"/>
          <w:kern w:val="0"/>
          <w:sz w:val="32"/>
          <w:szCs w:val="32"/>
        </w:rPr>
        <w:t>合理规划，严格划定施工作业范围，尽量减少临时占地。施工前对施工人员进行教育培训，规范施工行为，施工人员和车辆在规定范围内活动</w:t>
      </w:r>
      <w:r>
        <w:rPr>
          <w:rFonts w:hint="eastAsia" w:ascii="仿宋_GB2312" w:eastAsia="仿宋_GB2312"/>
          <w:kern w:val="0"/>
          <w:sz w:val="32"/>
          <w:szCs w:val="32"/>
          <w:lang w:eastAsia="zh-CN"/>
        </w:rPr>
        <w:t>，</w:t>
      </w:r>
      <w:r>
        <w:rPr>
          <w:rFonts w:hint="eastAsia" w:ascii="仿宋_GB2312" w:eastAsia="仿宋_GB2312"/>
          <w:kern w:val="0"/>
          <w:sz w:val="32"/>
          <w:szCs w:val="32"/>
        </w:rPr>
        <w:t>禁止在地表水体清洗车辆机械，严禁固废、生活垃圾等进入水体</w:t>
      </w:r>
      <w:r>
        <w:rPr>
          <w:rFonts w:hint="default" w:ascii="Times New Roman" w:hAnsi="Times New Roman" w:eastAsia="仿宋_GB2312" w:cs="Times New Roman"/>
          <w:color w:val="auto"/>
          <w:w w:val="100"/>
          <w:sz w:val="32"/>
          <w:szCs w:val="32"/>
          <w:highlight w:val="none"/>
          <w:lang w:eastAsia="zh-CN"/>
        </w:rPr>
        <w:t>；</w:t>
      </w:r>
      <w:r>
        <w:rPr>
          <w:rFonts w:hint="default" w:ascii="Times New Roman" w:hAnsi="Times New Roman" w:eastAsia="仿宋_GB2312" w:cs="Times New Roman"/>
          <w:w w:val="100"/>
          <w:kern w:val="0"/>
          <w:sz w:val="32"/>
          <w:szCs w:val="32"/>
        </w:rPr>
        <w:t>加强施工现场和物料运输的管理</w:t>
      </w:r>
      <w:r>
        <w:rPr>
          <w:rFonts w:hint="default" w:ascii="Times New Roman" w:hAnsi="Times New Roman" w:eastAsia="仿宋_GB2312" w:cs="Times New Roman"/>
          <w:w w:val="100"/>
          <w:kern w:val="0"/>
          <w:sz w:val="32"/>
          <w:szCs w:val="32"/>
          <w:lang w:eastAsia="zh-CN"/>
        </w:rPr>
        <w:t>，减少施工扬尘。对</w:t>
      </w:r>
      <w:r>
        <w:rPr>
          <w:rFonts w:hint="default" w:ascii="Times New Roman" w:hAnsi="Times New Roman" w:eastAsia="仿宋_GB2312" w:cs="Times New Roman"/>
          <w:w w:val="100"/>
          <w:kern w:val="0"/>
          <w:sz w:val="32"/>
          <w:szCs w:val="32"/>
          <w:lang w:val="en-US" w:eastAsia="zh-CN"/>
        </w:rPr>
        <w:t>施工现场的主要道路进行硬化，并定期清扫、洒水，对易起尘的临时堆土、运输过程中的土石方等采取防尘布（网）进行苫盖，大风天气停止土方作业；</w:t>
      </w:r>
      <w:r>
        <w:rPr>
          <w:rFonts w:hint="default" w:ascii="Times New Roman" w:hAnsi="Times New Roman" w:eastAsia="仿宋_GB2312" w:cs="Times New Roman"/>
          <w:w w:val="100"/>
          <w:sz w:val="32"/>
          <w:szCs w:val="32"/>
          <w:lang w:val="en-US" w:eastAsia="zh-CN"/>
        </w:rPr>
        <w:t>工程土石方开挖回填后剩余的土方就地摊平压实处理，建筑垃圾外运至市政部门指定的垃圾堆放场，生活垃圾收集后定期送往</w:t>
      </w:r>
      <w:r>
        <w:rPr>
          <w:rFonts w:hint="eastAsia" w:ascii="Times New Roman" w:hAnsi="Times New Roman" w:eastAsia="仿宋_GB2312" w:cs="Times New Roman"/>
          <w:w w:val="100"/>
          <w:sz w:val="32"/>
          <w:szCs w:val="32"/>
          <w:lang w:val="en-US" w:eastAsia="zh-CN"/>
        </w:rPr>
        <w:t>就近</w:t>
      </w:r>
      <w:r>
        <w:rPr>
          <w:rFonts w:hint="default" w:ascii="Times New Roman" w:hAnsi="Times New Roman" w:eastAsia="仿宋_GB2312" w:cs="Times New Roman"/>
          <w:w w:val="100"/>
          <w:sz w:val="32"/>
          <w:szCs w:val="32"/>
          <w:lang w:val="en-US" w:eastAsia="zh-CN"/>
        </w:rPr>
        <w:t>垃圾填埋场处理；施工期采用低噪声设备，避免噪声扰民。</w:t>
      </w:r>
    </w:p>
    <w:p>
      <w:pPr>
        <w:spacing w:line="560" w:lineRule="exact"/>
        <w:ind w:firstLine="640" w:firstLineChars="200"/>
        <w:jc w:val="left"/>
        <w:rPr>
          <w:rFonts w:hint="eastAsia" w:ascii="仿宋_GB2312" w:eastAsia="仿宋_GB2312"/>
          <w:kern w:val="0"/>
          <w:sz w:val="32"/>
          <w:szCs w:val="32"/>
        </w:rPr>
      </w:pPr>
      <w:r>
        <w:rPr>
          <w:rFonts w:hint="default" w:ascii="Times New Roman" w:hAnsi="Times New Roman" w:eastAsia="仿宋_GB2312" w:cs="Times New Roman"/>
          <w:w w:val="100"/>
          <w:kern w:val="0"/>
          <w:sz w:val="32"/>
          <w:szCs w:val="32"/>
          <w:lang w:eastAsia="zh-CN"/>
        </w:rPr>
        <w:t>（二）</w:t>
      </w:r>
      <w:r>
        <w:rPr>
          <w:rFonts w:hint="eastAsia" w:ascii="仿宋_GB2312" w:eastAsia="仿宋_GB2312"/>
          <w:kern w:val="0"/>
          <w:sz w:val="32"/>
          <w:szCs w:val="32"/>
        </w:rPr>
        <w:t>施工结束后，及时清理施工现场，做好平整、回填、覆土和恢复。铁塔基础等施工完毕后，应按设计要求对塔基基础周边开挖部分进行覆土，并进行平整夯实，以减少水土流失</w:t>
      </w:r>
      <w:r>
        <w:rPr>
          <w:rFonts w:hint="eastAsia" w:ascii="仿宋_GB2312" w:eastAsia="仿宋_GB2312"/>
          <w:kern w:val="0"/>
          <w:sz w:val="32"/>
          <w:szCs w:val="32"/>
          <w:lang w:eastAsia="zh-CN"/>
        </w:rPr>
        <w:t>。</w:t>
      </w:r>
      <w:r>
        <w:rPr>
          <w:rFonts w:hint="eastAsia" w:ascii="仿宋_GB2312" w:eastAsia="仿宋_GB2312"/>
          <w:kern w:val="0"/>
          <w:sz w:val="32"/>
          <w:szCs w:val="32"/>
        </w:rPr>
        <w:t>对塔基、牵张场</w:t>
      </w:r>
      <w:r>
        <w:rPr>
          <w:rFonts w:hint="eastAsia" w:ascii="仿宋_GB2312" w:eastAsia="仿宋_GB2312"/>
          <w:kern w:val="0"/>
          <w:sz w:val="32"/>
          <w:szCs w:val="32"/>
          <w:lang w:eastAsia="zh-CN"/>
        </w:rPr>
        <w:t>和施工道路</w:t>
      </w:r>
      <w:r>
        <w:rPr>
          <w:rFonts w:hint="eastAsia" w:ascii="仿宋_GB2312" w:eastAsia="仿宋_GB2312"/>
          <w:kern w:val="0"/>
          <w:sz w:val="32"/>
          <w:szCs w:val="32"/>
        </w:rPr>
        <w:t>等施工扰动区地表进行平整，恢复地貌。</w:t>
      </w:r>
    </w:p>
    <w:p>
      <w:pPr>
        <w:pStyle w:val="13"/>
        <w:autoSpaceDE w:val="0"/>
        <w:spacing w:before="0" w:beforeAutospacing="0" w:after="0" w:line="560" w:lineRule="exact"/>
        <w:ind w:left="0" w:leftChars="0" w:firstLine="640"/>
        <w:rPr>
          <w:rFonts w:hint="default" w:ascii="仿宋_GB2312" w:eastAsia="仿宋_GB2312" w:hAnsiTheme="minorHAnsi" w:cstheme="minorBidi"/>
          <w:kern w:val="0"/>
          <w:sz w:val="32"/>
          <w:szCs w:val="32"/>
          <w:lang w:val="en-US" w:eastAsia="zh-CN" w:bidi="ar-SA"/>
        </w:rPr>
      </w:pPr>
      <w:r>
        <w:rPr>
          <w:rFonts w:hint="default" w:ascii="Times New Roman" w:hAnsi="Times New Roman" w:eastAsia="仿宋_GB2312" w:cs="Times New Roman"/>
          <w:w w:val="100"/>
          <w:kern w:val="0"/>
          <w:sz w:val="32"/>
          <w:szCs w:val="32"/>
        </w:rPr>
        <w:t>（</w:t>
      </w:r>
      <w:r>
        <w:rPr>
          <w:rFonts w:hint="default" w:ascii="Times New Roman" w:hAnsi="Times New Roman" w:eastAsia="仿宋_GB2312" w:cs="Times New Roman"/>
          <w:w w:val="100"/>
          <w:kern w:val="0"/>
          <w:sz w:val="32"/>
          <w:szCs w:val="32"/>
          <w:lang w:eastAsia="zh-CN"/>
        </w:rPr>
        <w:t>三</w:t>
      </w:r>
      <w:r>
        <w:rPr>
          <w:rFonts w:hint="default" w:ascii="Times New Roman" w:hAnsi="Times New Roman" w:eastAsia="仿宋_GB2312" w:cs="Times New Roman"/>
          <w:w w:val="100"/>
          <w:kern w:val="0"/>
          <w:sz w:val="32"/>
          <w:szCs w:val="32"/>
        </w:rPr>
        <w:t>）</w:t>
      </w:r>
      <w:r>
        <w:rPr>
          <w:rFonts w:hint="eastAsia" w:eastAsia="仿宋_GB2312" w:cs="Times New Roman"/>
          <w:w w:val="100"/>
          <w:kern w:val="0"/>
          <w:sz w:val="32"/>
          <w:szCs w:val="32"/>
          <w:lang w:eastAsia="zh-CN"/>
        </w:rPr>
        <w:t>施工线路沿线声环境应符合</w:t>
      </w:r>
      <w:r>
        <w:rPr>
          <w:rFonts w:hint="eastAsia" w:ascii="仿宋_GB2312" w:eastAsia="仿宋_GB2312" w:hAnsiTheme="minorHAnsi" w:cstheme="minorBidi"/>
          <w:kern w:val="0"/>
          <w:sz w:val="32"/>
          <w:szCs w:val="32"/>
          <w:lang w:val="en-US" w:eastAsia="zh-CN" w:bidi="ar-SA"/>
        </w:rPr>
        <w:t>《声环境质量标准》(GB3096-2008)中相应功能区标准要求，</w:t>
      </w:r>
      <w:r>
        <w:rPr>
          <w:rFonts w:hint="default" w:ascii="仿宋_GB2312" w:eastAsia="仿宋_GB2312" w:hAnsiTheme="minorHAnsi" w:cstheme="minorBidi"/>
          <w:kern w:val="0"/>
          <w:sz w:val="32"/>
          <w:szCs w:val="32"/>
          <w:lang w:val="en-US" w:eastAsia="zh-CN" w:bidi="ar-SA"/>
        </w:rPr>
        <w:t>主变等要选用低噪声设备，并采取减震、隔声措施，</w:t>
      </w:r>
      <w:r>
        <w:rPr>
          <w:rFonts w:hint="eastAsia" w:ascii="仿宋_GB2312" w:eastAsia="仿宋_GB2312" w:hAnsiTheme="minorHAnsi" w:cstheme="minorBidi"/>
          <w:kern w:val="0"/>
          <w:sz w:val="32"/>
          <w:szCs w:val="32"/>
          <w:lang w:val="en-US" w:eastAsia="zh-CN" w:bidi="ar-SA"/>
        </w:rPr>
        <w:t>苏布台110kV变电站站址满足《工业企业厂界环境噪声排放标准》(GB12348-2008)中2类标准的要求，园区北110kV变电站进线端声环境质量满足《工业企业厂界环境噪声排放标准》(GB12348-2008)中的3类标准要求</w:t>
      </w:r>
      <w:r>
        <w:rPr>
          <w:rFonts w:hint="default" w:ascii="仿宋_GB2312" w:eastAsia="仿宋_GB2312" w:hAnsiTheme="minorHAnsi" w:cstheme="minorBidi"/>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 w:eastAsia="zh-CN"/>
        </w:rPr>
      </w:pPr>
      <w:r>
        <w:rPr>
          <w:rFonts w:hint="default" w:ascii="Times New Roman" w:hAnsi="Times New Roman" w:eastAsia="仿宋_GB2312" w:cs="Times New Roman"/>
          <w:w w:val="100"/>
          <w:kern w:val="0"/>
          <w:sz w:val="32"/>
          <w:szCs w:val="32"/>
        </w:rPr>
        <w:t>（</w:t>
      </w:r>
      <w:r>
        <w:rPr>
          <w:rFonts w:hint="default" w:ascii="Times New Roman" w:hAnsi="Times New Roman" w:eastAsia="仿宋_GB2312" w:cs="Times New Roman"/>
          <w:w w:val="100"/>
          <w:kern w:val="0"/>
          <w:sz w:val="32"/>
          <w:szCs w:val="32"/>
          <w:lang w:eastAsia="zh-CN"/>
        </w:rPr>
        <w:t>四</w:t>
      </w:r>
      <w:r>
        <w:rPr>
          <w:rFonts w:hint="default" w:ascii="Times New Roman" w:hAnsi="Times New Roman" w:eastAsia="仿宋_GB2312" w:cs="Times New Roman"/>
          <w:w w:val="100"/>
          <w:kern w:val="0"/>
          <w:sz w:val="32"/>
          <w:szCs w:val="32"/>
        </w:rPr>
        <w:t>）</w:t>
      </w:r>
      <w:r>
        <w:rPr>
          <w:rFonts w:hint="default" w:ascii="Times New Roman" w:hAnsi="Times New Roman" w:eastAsia="仿宋_GB2312" w:cs="Times New Roman"/>
          <w:w w:val="100"/>
          <w:sz w:val="32"/>
          <w:szCs w:val="32"/>
        </w:rPr>
        <w:t>运行期间产生</w:t>
      </w:r>
      <w:r>
        <w:rPr>
          <w:rFonts w:hint="default" w:ascii="Times New Roman" w:hAnsi="Times New Roman" w:eastAsia="仿宋_GB2312" w:cs="Times New Roman"/>
          <w:w w:val="100"/>
          <w:sz w:val="32"/>
          <w:szCs w:val="32"/>
          <w:lang w:eastAsia="zh-CN"/>
        </w:rPr>
        <w:t>的</w:t>
      </w:r>
      <w:r>
        <w:rPr>
          <w:rFonts w:hint="eastAsia" w:ascii="仿宋_GB2312" w:hAnsi="仿宋_GB2312" w:eastAsia="仿宋_GB2312" w:cs="仿宋_GB2312"/>
          <w:sz w:val="32"/>
          <w:szCs w:val="32"/>
          <w:lang w:eastAsia="zh-CN"/>
        </w:rPr>
        <w:t>废铅酸蓄电池和废油要严格按照危险废物的有关要求进行管理</w:t>
      </w:r>
      <w:r>
        <w:rPr>
          <w:rFonts w:hint="eastAsia" w:ascii="仿宋_GB2312" w:hAnsi="仿宋_GB2312" w:eastAsia="仿宋_GB2312" w:cs="仿宋_GB2312"/>
          <w:sz w:val="32"/>
          <w:szCs w:val="32"/>
          <w:lang w:val="en" w:eastAsia="zh-CN"/>
        </w:rPr>
        <w:t>，交有相关资质的单位进行处理。</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w w:val="100"/>
          <w:kern w:val="0"/>
          <w:sz w:val="32"/>
          <w:szCs w:val="32"/>
        </w:rPr>
      </w:pPr>
      <w:r>
        <w:rPr>
          <w:rFonts w:hint="default" w:ascii="Times New Roman" w:hAnsi="Times New Roman" w:eastAsia="仿宋_GB2312" w:cs="Times New Roman"/>
          <w:w w:val="100"/>
          <w:kern w:val="0"/>
          <w:sz w:val="32"/>
          <w:szCs w:val="32"/>
        </w:rPr>
        <w:t>（</w:t>
      </w:r>
      <w:r>
        <w:rPr>
          <w:rFonts w:hint="default" w:ascii="Times New Roman" w:hAnsi="Times New Roman" w:eastAsia="仿宋_GB2312" w:cs="Times New Roman"/>
          <w:w w:val="100"/>
          <w:kern w:val="0"/>
          <w:sz w:val="32"/>
          <w:szCs w:val="32"/>
          <w:lang w:eastAsia="zh-CN"/>
        </w:rPr>
        <w:t>五</w:t>
      </w:r>
      <w:r>
        <w:rPr>
          <w:rFonts w:hint="default" w:ascii="Times New Roman" w:hAnsi="Times New Roman" w:eastAsia="仿宋_GB2312" w:cs="Times New Roman"/>
          <w:w w:val="100"/>
          <w:kern w:val="0"/>
          <w:sz w:val="32"/>
          <w:szCs w:val="32"/>
        </w:rPr>
        <w:t>）</w:t>
      </w:r>
      <w:r>
        <w:rPr>
          <w:rFonts w:hint="default" w:ascii="Times New Roman" w:hAnsi="Times New Roman" w:eastAsia="仿宋_GB2312" w:cs="Times New Roman"/>
          <w:w w:val="100"/>
          <w:kern w:val="0"/>
          <w:sz w:val="32"/>
          <w:szCs w:val="32"/>
          <w:lang w:val="en-US" w:eastAsia="zh-CN"/>
        </w:rPr>
        <w:t>合理布局站内电气设备及配电装置，</w:t>
      </w:r>
      <w:r>
        <w:rPr>
          <w:rFonts w:hint="default" w:ascii="Times New Roman" w:hAnsi="Times New Roman" w:eastAsia="仿宋_GB2312" w:cs="Times New Roman"/>
          <w:w w:val="100"/>
          <w:kern w:val="0"/>
          <w:sz w:val="32"/>
          <w:szCs w:val="32"/>
          <w:lang w:val="en" w:eastAsia="zh-CN"/>
        </w:rPr>
        <w:t>认真落实《报告表》中提出的控制和改善工频电场、工频磁场对周边环境影响的措施和方法，变电站围墙外工频电场、工频磁场应符合《电磁环境控制限值》</w:t>
      </w:r>
      <w:r>
        <w:rPr>
          <w:rFonts w:hint="default" w:ascii="Times New Roman" w:hAnsi="Times New Roman" w:eastAsia="仿宋_GB2312" w:cs="Times New Roman"/>
          <w:color w:val="333333"/>
          <w:w w:val="100"/>
          <w:sz w:val="32"/>
          <w:szCs w:val="32"/>
          <w:lang w:val="en"/>
        </w:rPr>
        <w:t>（GB8702-2014）要求。</w:t>
      </w:r>
      <w:r>
        <w:rPr>
          <w:rFonts w:hint="default" w:ascii="Times New Roman" w:hAnsi="Times New Roman" w:eastAsia="仿宋_GB2312" w:cs="Times New Roman"/>
          <w:w w:val="100"/>
          <w:kern w:val="0"/>
          <w:sz w:val="32"/>
          <w:szCs w:val="32"/>
          <w:lang w:val="en-US" w:eastAsia="zh-CN"/>
        </w:rPr>
        <w:t>做好警示标志的悬挂设立工作，禁止无关人员进入升压站或靠近带电架构，加强对周边群众的电磁环境知识的宣传。做好员工电磁基础知识培训和电磁辐射监测工作。</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color w:val="auto"/>
          <w:w w:val="100"/>
          <w:kern w:val="0"/>
          <w:sz w:val="32"/>
          <w:szCs w:val="32"/>
        </w:rPr>
      </w:pPr>
      <w:r>
        <w:rPr>
          <w:rFonts w:hint="default" w:ascii="Times New Roman" w:hAnsi="Times New Roman" w:eastAsia="仿宋_GB2312" w:cs="Times New Roman"/>
          <w:color w:val="auto"/>
          <w:w w:val="100"/>
          <w:kern w:val="0"/>
          <w:sz w:val="32"/>
          <w:szCs w:val="32"/>
        </w:rPr>
        <w:t>四、</w:t>
      </w:r>
      <w:r>
        <w:rPr>
          <w:rFonts w:hint="default" w:ascii="Times New Roman" w:hAnsi="Times New Roman" w:eastAsia="仿宋_GB2312" w:cs="Times New Roman"/>
          <w:color w:val="auto"/>
          <w:w w:val="100"/>
          <w:sz w:val="32"/>
          <w:szCs w:val="32"/>
          <w:shd w:val="clear" w:fill="FFFFFF"/>
        </w:rPr>
        <w:t>环境影响报告</w:t>
      </w:r>
      <w:r>
        <w:rPr>
          <w:rFonts w:hint="default" w:ascii="Times New Roman" w:hAnsi="Times New Roman" w:eastAsia="仿宋_GB2312" w:cs="Times New Roman"/>
          <w:color w:val="auto"/>
          <w:w w:val="100"/>
          <w:sz w:val="32"/>
          <w:szCs w:val="32"/>
          <w:shd w:val="clear" w:fill="FFFFFF"/>
          <w:lang w:eastAsia="zh-CN"/>
        </w:rPr>
        <w:t>表</w:t>
      </w:r>
      <w:r>
        <w:rPr>
          <w:rFonts w:hint="default" w:ascii="Times New Roman" w:hAnsi="Times New Roman" w:eastAsia="仿宋_GB2312" w:cs="Times New Roman"/>
          <w:color w:val="auto"/>
          <w:w w:val="100"/>
          <w:sz w:val="32"/>
          <w:szCs w:val="32"/>
          <w:shd w:val="clear" w:fill="FFFFFF"/>
        </w:rPr>
        <w:t>经批准后，</w:t>
      </w:r>
      <w:r>
        <w:rPr>
          <w:rFonts w:hint="default" w:ascii="Times New Roman" w:hAnsi="Times New Roman" w:eastAsia="仿宋_GB2312" w:cs="Times New Roman"/>
          <w:color w:val="auto"/>
          <w:w w:val="100"/>
          <w:kern w:val="0"/>
          <w:sz w:val="32"/>
          <w:szCs w:val="32"/>
        </w:rPr>
        <w:t>如工程</w:t>
      </w:r>
      <w:r>
        <w:rPr>
          <w:rFonts w:hint="default" w:ascii="Times New Roman" w:hAnsi="Times New Roman" w:eastAsia="仿宋_GB2312" w:cs="Times New Roman"/>
          <w:color w:val="auto"/>
          <w:w w:val="100"/>
          <w:sz w:val="32"/>
          <w:szCs w:val="32"/>
          <w:shd w:val="clear" w:fill="FFFFFF"/>
        </w:rPr>
        <w:t>性质、规模、地点或生态保护、污染防治措施</w:t>
      </w:r>
      <w:r>
        <w:rPr>
          <w:rFonts w:hint="default" w:ascii="Times New Roman" w:hAnsi="Times New Roman" w:eastAsia="仿宋_GB2312" w:cs="Times New Roman"/>
          <w:color w:val="auto"/>
          <w:w w:val="100"/>
          <w:kern w:val="0"/>
          <w:sz w:val="32"/>
          <w:szCs w:val="32"/>
        </w:rPr>
        <w:t>发生重大变动，须报我局重新审批。</w:t>
      </w:r>
      <w:r>
        <w:rPr>
          <w:rFonts w:hint="default" w:ascii="Times New Roman" w:hAnsi="Times New Roman" w:eastAsia="仿宋_GB2312" w:cs="Times New Roman"/>
          <w:color w:val="auto"/>
          <w:w w:val="100"/>
          <w:sz w:val="32"/>
          <w:szCs w:val="32"/>
          <w:shd w:val="clear" w:fill="FFFFFF"/>
        </w:rPr>
        <w:t>项目竣工后，应按规定程序开展竣工环境保护验收。</w:t>
      </w:r>
      <w:r>
        <w:rPr>
          <w:rFonts w:hint="default" w:ascii="Times New Roman" w:hAnsi="Times New Roman" w:eastAsia="仿宋_GB2312" w:cs="Times New Roman"/>
          <w:color w:val="auto"/>
          <w:w w:val="100"/>
          <w:kern w:val="0"/>
          <w:sz w:val="32"/>
          <w:szCs w:val="32"/>
          <w:lang w:eastAsia="zh-CN"/>
        </w:rPr>
        <w:t>施工期和</w:t>
      </w:r>
      <w:r>
        <w:rPr>
          <w:rFonts w:hint="default" w:ascii="Times New Roman" w:hAnsi="Times New Roman" w:eastAsia="仿宋_GB2312" w:cs="Times New Roman"/>
          <w:color w:val="auto"/>
          <w:w w:val="100"/>
          <w:kern w:val="0"/>
          <w:sz w:val="32"/>
          <w:szCs w:val="32"/>
        </w:rPr>
        <w:t>运营期的</w:t>
      </w:r>
      <w:r>
        <w:rPr>
          <w:rFonts w:hint="default" w:ascii="Times New Roman" w:hAnsi="Times New Roman" w:eastAsia="仿宋_GB2312" w:cs="Times New Roman"/>
          <w:color w:val="auto"/>
          <w:w w:val="100"/>
          <w:kern w:val="0"/>
          <w:sz w:val="32"/>
          <w:szCs w:val="32"/>
          <w:lang w:eastAsia="zh-CN"/>
        </w:rPr>
        <w:t>生态</w:t>
      </w:r>
      <w:r>
        <w:rPr>
          <w:rFonts w:hint="default" w:ascii="Times New Roman" w:hAnsi="Times New Roman" w:eastAsia="仿宋_GB2312" w:cs="Times New Roman"/>
          <w:color w:val="auto"/>
          <w:w w:val="100"/>
          <w:kern w:val="0"/>
          <w:sz w:val="32"/>
          <w:szCs w:val="32"/>
        </w:rPr>
        <w:t>环境监督管理由</w:t>
      </w:r>
      <w:r>
        <w:rPr>
          <w:rFonts w:hint="eastAsia" w:ascii="Times New Roman" w:hAnsi="Times New Roman" w:eastAsia="仿宋_GB2312" w:cs="Times New Roman"/>
          <w:color w:val="auto"/>
          <w:w w:val="100"/>
          <w:kern w:val="0"/>
          <w:sz w:val="32"/>
          <w:szCs w:val="32"/>
          <w:lang w:val="en-US" w:eastAsia="zh-CN" w:bidi="ar-SA"/>
        </w:rPr>
        <w:t>伊犁州生态环境局尼勒克县分局和伊犁州生态环境局伊宁县分局</w:t>
      </w:r>
      <w:r>
        <w:rPr>
          <w:rFonts w:hint="default" w:ascii="Times New Roman" w:hAnsi="Times New Roman" w:eastAsia="仿宋_GB2312" w:cs="Times New Roman"/>
          <w:color w:val="auto"/>
          <w:w w:val="100"/>
          <w:kern w:val="0"/>
          <w:sz w:val="32"/>
          <w:szCs w:val="32"/>
        </w:rPr>
        <w:t>负责，州生态环境保护综合行政执法支队不定期进行抽查。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w w:val="100"/>
          <w:sz w:val="32"/>
          <w:szCs w:val="32"/>
        </w:rPr>
      </w:pPr>
      <w:r>
        <w:rPr>
          <w:rFonts w:hint="default" w:ascii="Times New Roman" w:hAnsi="Times New Roman" w:eastAsia="仿宋_GB2312" w:cs="Times New Roman"/>
          <w:color w:val="auto"/>
          <w:w w:val="100"/>
          <w:kern w:val="0"/>
          <w:sz w:val="32"/>
          <w:szCs w:val="32"/>
        </w:rPr>
        <w:t>五、你公司应在收到本批复后20个工作日内，将批准后的《报告表》送</w:t>
      </w:r>
      <w:r>
        <w:rPr>
          <w:rFonts w:hint="eastAsia" w:ascii="Times New Roman" w:hAnsi="Times New Roman" w:eastAsia="仿宋_GB2312" w:cs="Times New Roman"/>
          <w:color w:val="auto"/>
          <w:w w:val="100"/>
          <w:kern w:val="0"/>
          <w:sz w:val="32"/>
          <w:szCs w:val="32"/>
          <w:lang w:val="en-US" w:eastAsia="zh-CN" w:bidi="ar-SA"/>
        </w:rPr>
        <w:t>伊犁州生态环境局尼勒克县分局和伊犁州生态环境局伊宁县分局</w:t>
      </w:r>
      <w:r>
        <w:rPr>
          <w:rFonts w:hint="default" w:ascii="Times New Roman" w:hAnsi="Times New Roman" w:eastAsia="仿宋_GB2312" w:cs="Times New Roman"/>
          <w:color w:val="auto"/>
          <w:w w:val="100"/>
          <w:kern w:val="0"/>
          <w:sz w:val="32"/>
          <w:szCs w:val="32"/>
        </w:rPr>
        <w:t>，并按规</w:t>
      </w:r>
      <w:r>
        <w:rPr>
          <w:rFonts w:hint="default" w:ascii="Times New Roman" w:hAnsi="Times New Roman" w:eastAsia="仿宋_GB2312" w:cs="Times New Roman"/>
          <w:color w:val="auto"/>
          <w:w w:val="100"/>
          <w:sz w:val="32"/>
          <w:szCs w:val="32"/>
        </w:rPr>
        <w:t>定接受各级生态环境行政主管部门的监督检查。</w:t>
      </w:r>
    </w:p>
    <w:p>
      <w:pPr>
        <w:pStyle w:val="12"/>
        <w:keepNext w:val="0"/>
        <w:keepLines w:val="0"/>
        <w:pageBreakBefore w:val="0"/>
        <w:widowControl/>
        <w:kinsoku/>
        <w:wordWrap/>
        <w:overflowPunct/>
        <w:topLinePunct w:val="0"/>
        <w:autoSpaceDE/>
        <w:autoSpaceDN/>
        <w:bidi w:val="0"/>
        <w:spacing w:before="0" w:beforeAutospacing="0" w:after="0" w:afterAutospacing="0" w:line="600" w:lineRule="exact"/>
        <w:ind w:left="640" w:hanging="640" w:hangingChars="200"/>
        <w:jc w:val="both"/>
        <w:textAlignment w:val="auto"/>
        <w:rPr>
          <w:rFonts w:hint="default" w:ascii="Times New Roman" w:hAnsi="Times New Roman" w:eastAsia="仿宋_GB2312" w:cs="Times New Roman"/>
          <w:color w:val="auto"/>
          <w:w w:val="100"/>
          <w:sz w:val="32"/>
          <w:szCs w:val="32"/>
        </w:rPr>
      </w:pPr>
      <w:r>
        <w:rPr>
          <w:rFonts w:hint="default" w:ascii="Times New Roman" w:hAnsi="Times New Roman" w:eastAsia="仿宋_GB2312" w:cs="Times New Roman"/>
          <w:color w:val="auto"/>
          <w:w w:val="100"/>
          <w:sz w:val="32"/>
          <w:szCs w:val="32"/>
        </w:rPr>
        <w:t xml:space="preserve">   （此件社会公开）</w:t>
      </w:r>
    </w:p>
    <w:p>
      <w:pPr>
        <w:pStyle w:val="12"/>
        <w:keepNext w:val="0"/>
        <w:keepLines w:val="0"/>
        <w:pageBreakBefore w:val="0"/>
        <w:widowControl/>
        <w:kinsoku/>
        <w:wordWrap/>
        <w:overflowPunct/>
        <w:topLinePunct w:val="0"/>
        <w:autoSpaceDE/>
        <w:autoSpaceDN/>
        <w:bidi w:val="0"/>
        <w:spacing w:before="0" w:beforeAutospacing="0" w:after="0" w:afterAutospacing="0" w:line="600" w:lineRule="exact"/>
        <w:ind w:left="640" w:hanging="640" w:hangingChars="200"/>
        <w:jc w:val="both"/>
        <w:textAlignment w:val="auto"/>
        <w:rPr>
          <w:rFonts w:hint="default" w:ascii="Times New Roman" w:hAnsi="Times New Roman" w:eastAsia="仿宋_GB2312" w:cs="Times New Roman"/>
          <w:w w:val="100"/>
          <w:sz w:val="32"/>
          <w:szCs w:val="32"/>
        </w:rPr>
      </w:pPr>
    </w:p>
    <w:p>
      <w:pPr>
        <w:pStyle w:val="12"/>
        <w:keepNext w:val="0"/>
        <w:keepLines w:val="0"/>
        <w:pageBreakBefore w:val="0"/>
        <w:widowControl/>
        <w:kinsoku/>
        <w:wordWrap/>
        <w:overflowPunct/>
        <w:topLinePunct w:val="0"/>
        <w:autoSpaceDE/>
        <w:autoSpaceDN/>
        <w:bidi w:val="0"/>
        <w:spacing w:before="0" w:beforeAutospacing="0" w:after="0" w:afterAutospacing="0" w:line="600" w:lineRule="exact"/>
        <w:ind w:firstLine="5760" w:firstLineChars="18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日</w:t>
      </w:r>
    </w:p>
    <w:p>
      <w:pPr>
        <w:pStyle w:val="12"/>
        <w:keepNext w:val="0"/>
        <w:keepLines w:val="0"/>
        <w:pageBreakBefore w:val="0"/>
        <w:widowControl/>
        <w:kinsoku/>
        <w:wordWrap/>
        <w:overflowPunct/>
        <w:topLinePunct w:val="0"/>
        <w:autoSpaceDE/>
        <w:autoSpaceDN/>
        <w:bidi w:val="0"/>
        <w:spacing w:before="0" w:beforeAutospacing="0" w:after="0" w:afterAutospacing="0" w:line="600" w:lineRule="exact"/>
        <w:ind w:firstLine="5760" w:firstLineChars="1800"/>
        <w:jc w:val="both"/>
        <w:textAlignment w:val="auto"/>
        <w:rPr>
          <w:rFonts w:hint="default" w:ascii="Times New Roman" w:hAnsi="Times New Roman" w:eastAsia="仿宋_GB2312" w:cs="Times New Roman"/>
          <w:sz w:val="32"/>
          <w:szCs w:val="32"/>
        </w:rPr>
      </w:pPr>
    </w:p>
    <w:p>
      <w:pPr>
        <w:pStyle w:val="12"/>
        <w:keepNext w:val="0"/>
        <w:keepLines w:val="0"/>
        <w:pageBreakBefore w:val="0"/>
        <w:widowControl/>
        <w:kinsoku/>
        <w:wordWrap/>
        <w:overflowPunct/>
        <w:topLinePunct w:val="0"/>
        <w:autoSpaceDE/>
        <w:autoSpaceDN/>
        <w:bidi w:val="0"/>
        <w:spacing w:before="0" w:beforeAutospacing="0" w:after="0" w:afterAutospacing="0" w:line="600" w:lineRule="exact"/>
        <w:ind w:firstLine="5760" w:firstLineChars="1800"/>
        <w:jc w:val="both"/>
        <w:textAlignment w:val="auto"/>
        <w:rPr>
          <w:rFonts w:hint="default" w:ascii="Times New Roman" w:hAnsi="Times New Roman" w:eastAsia="仿宋_GB2312" w:cs="Times New Roman"/>
          <w:sz w:val="32"/>
          <w:szCs w:val="32"/>
        </w:rPr>
      </w:pPr>
    </w:p>
    <w:p>
      <w:pPr>
        <w:pStyle w:val="8"/>
        <w:pBdr>
          <w:top w:val="single" w:color="auto" w:sz="12" w:space="1"/>
          <w:bottom w:val="single" w:color="auto" w:sz="12" w:space="1"/>
        </w:pBdr>
        <w:tabs>
          <w:tab w:val="left" w:pos="6840"/>
        </w:tabs>
        <w:spacing w:line="480" w:lineRule="exact"/>
        <w:ind w:left="840" w:hanging="840" w:hangingChars="300"/>
        <w:rPr>
          <w:rFonts w:hint="default" w:ascii="Times New Roman" w:hAnsi="Times New Roman" w:eastAsia="仿宋_GB2312" w:cs="Times New Roman"/>
          <w:sz w:val="28"/>
          <w:szCs w:val="28"/>
        </w:rPr>
      </w:pPr>
    </w:p>
    <w:p>
      <w:pPr>
        <w:pStyle w:val="8"/>
        <w:pBdr>
          <w:top w:val="single" w:color="auto" w:sz="12" w:space="1"/>
          <w:bottom w:val="single" w:color="auto" w:sz="12" w:space="1"/>
        </w:pBdr>
        <w:tabs>
          <w:tab w:val="left" w:pos="6840"/>
        </w:tabs>
        <w:spacing w:line="480" w:lineRule="exact"/>
        <w:ind w:left="840" w:hanging="840" w:hangingChars="3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抄送：州生态环境保护综合行政执法支队，</w:t>
      </w:r>
      <w:r>
        <w:rPr>
          <w:rFonts w:hint="eastAsia" w:ascii="Times New Roman" w:hAnsi="Times New Roman" w:eastAsia="仿宋_GB2312" w:cs="Times New Roman"/>
          <w:sz w:val="28"/>
          <w:szCs w:val="28"/>
          <w:lang w:val="en-US" w:eastAsia="zh-CN"/>
        </w:rPr>
        <w:t>伊犁州生态环境局尼勒克县分局，伊犁州生态环境局伊宁县分局</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新疆鼎耀工程咨询有限公司</w:t>
      </w:r>
      <w:r>
        <w:rPr>
          <w:rFonts w:hint="default" w:ascii="Times New Roman" w:hAnsi="Times New Roman" w:eastAsia="仿宋_GB2312" w:cs="Times New Roman"/>
          <w:sz w:val="28"/>
          <w:szCs w:val="28"/>
        </w:rPr>
        <w:t>，本局存档。</w:t>
      </w:r>
    </w:p>
    <w:p>
      <w:pPr>
        <w:pStyle w:val="8"/>
        <w:pBdr>
          <w:bottom w:val="single" w:color="auto" w:sz="12" w:space="1"/>
          <w:between w:val="single" w:color="auto" w:sz="12" w:space="0"/>
        </w:pBdr>
        <w:tabs>
          <w:tab w:val="left" w:pos="6840"/>
        </w:tabs>
        <w:spacing w:line="480" w:lineRule="exact"/>
        <w:ind w:firstLine="140" w:firstLineChars="50"/>
        <w:rPr>
          <w:rFonts w:hint="default" w:ascii="Times New Roman" w:hAnsi="Times New Roman" w:cs="Times New Roman"/>
        </w:rPr>
      </w:pPr>
      <w:r>
        <w:rPr>
          <w:rFonts w:hint="default" w:ascii="Times New Roman" w:hAnsi="Times New Roman" w:eastAsia="仿宋_GB2312" w:cs="Times New Roman"/>
          <w:sz w:val="28"/>
          <w:szCs w:val="28"/>
        </w:rPr>
        <w:t>伊犁哈萨克自治州生态环境局               202</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19</w:t>
      </w:r>
      <w:bookmarkStart w:id="0" w:name="_GoBack"/>
      <w:bookmarkEnd w:id="0"/>
      <w:r>
        <w:rPr>
          <w:rFonts w:hint="default" w:ascii="Times New Roman" w:hAnsi="Times New Roman" w:eastAsia="仿宋_GB2312" w:cs="Times New Roman"/>
          <w:sz w:val="28"/>
          <w:szCs w:val="28"/>
        </w:rPr>
        <w:t>日 印发</w:t>
      </w:r>
    </w:p>
    <w:sectPr>
      <w:footerReference r:id="rId3" w:type="default"/>
      <w:pgSz w:w="11906" w:h="16838"/>
      <w:pgMar w:top="1985" w:right="1531" w:bottom="1531" w:left="1531" w:header="1134" w:footer="158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60101010101"/>
    <w:charset w:val="00"/>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9"/>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- 4 -</w:t>
                </w:r>
                <w:r>
                  <w:rPr>
                    <w:rFonts w:hint="eastAsia" w:ascii="宋体" w:hAnsi="宋体" w:eastAsia="宋体" w:cs="宋体"/>
                    <w:sz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hjN2Y4MjJkNDdjNTUyNzU4MDFkMmY4NGRhNmNjMzUifQ=="/>
  </w:docVars>
  <w:rsids>
    <w:rsidRoot w:val="360249F0"/>
    <w:rsid w:val="000716F6"/>
    <w:rsid w:val="006955C5"/>
    <w:rsid w:val="008423B7"/>
    <w:rsid w:val="0178299B"/>
    <w:rsid w:val="030F202C"/>
    <w:rsid w:val="037D0349"/>
    <w:rsid w:val="03DF533E"/>
    <w:rsid w:val="04174CC4"/>
    <w:rsid w:val="04542A1D"/>
    <w:rsid w:val="051B5955"/>
    <w:rsid w:val="055A3B91"/>
    <w:rsid w:val="06013F85"/>
    <w:rsid w:val="081E4FBF"/>
    <w:rsid w:val="092B5F96"/>
    <w:rsid w:val="09A13015"/>
    <w:rsid w:val="0A132709"/>
    <w:rsid w:val="0AC96D52"/>
    <w:rsid w:val="0B7E67EB"/>
    <w:rsid w:val="0C3446F1"/>
    <w:rsid w:val="0C8335FF"/>
    <w:rsid w:val="0DC87629"/>
    <w:rsid w:val="0F1951B4"/>
    <w:rsid w:val="0F434917"/>
    <w:rsid w:val="0FB115E1"/>
    <w:rsid w:val="108252A3"/>
    <w:rsid w:val="12370EE2"/>
    <w:rsid w:val="12657017"/>
    <w:rsid w:val="12D6577C"/>
    <w:rsid w:val="1345032A"/>
    <w:rsid w:val="13E214AD"/>
    <w:rsid w:val="14097A1B"/>
    <w:rsid w:val="14632B92"/>
    <w:rsid w:val="14A23AEA"/>
    <w:rsid w:val="14AA1F2F"/>
    <w:rsid w:val="14BB48D2"/>
    <w:rsid w:val="15AB651B"/>
    <w:rsid w:val="169E2609"/>
    <w:rsid w:val="16CA1878"/>
    <w:rsid w:val="170E28DF"/>
    <w:rsid w:val="177928F2"/>
    <w:rsid w:val="180C6085"/>
    <w:rsid w:val="18F71505"/>
    <w:rsid w:val="191B29BF"/>
    <w:rsid w:val="19672B74"/>
    <w:rsid w:val="199602BD"/>
    <w:rsid w:val="19A02C18"/>
    <w:rsid w:val="1A0A1553"/>
    <w:rsid w:val="1C725F39"/>
    <w:rsid w:val="1CAD73F2"/>
    <w:rsid w:val="1CCE16EB"/>
    <w:rsid w:val="1D0A73B1"/>
    <w:rsid w:val="1DA340AC"/>
    <w:rsid w:val="1DBE766D"/>
    <w:rsid w:val="1DFB7FBE"/>
    <w:rsid w:val="1E5B0538"/>
    <w:rsid w:val="1F980F2A"/>
    <w:rsid w:val="1FD962AB"/>
    <w:rsid w:val="206F32C6"/>
    <w:rsid w:val="21265C61"/>
    <w:rsid w:val="224772C9"/>
    <w:rsid w:val="225E4CF0"/>
    <w:rsid w:val="226118D9"/>
    <w:rsid w:val="22667B7E"/>
    <w:rsid w:val="23050980"/>
    <w:rsid w:val="23A83C63"/>
    <w:rsid w:val="23D53425"/>
    <w:rsid w:val="243B67FF"/>
    <w:rsid w:val="246C4A50"/>
    <w:rsid w:val="24760BE2"/>
    <w:rsid w:val="255202AB"/>
    <w:rsid w:val="25E05A49"/>
    <w:rsid w:val="26691012"/>
    <w:rsid w:val="27451C7A"/>
    <w:rsid w:val="285E5E54"/>
    <w:rsid w:val="28C60E05"/>
    <w:rsid w:val="293B68B2"/>
    <w:rsid w:val="29BC7704"/>
    <w:rsid w:val="2A756083"/>
    <w:rsid w:val="2A896D59"/>
    <w:rsid w:val="2A930168"/>
    <w:rsid w:val="2C987D53"/>
    <w:rsid w:val="2CF0072F"/>
    <w:rsid w:val="2D3C7C74"/>
    <w:rsid w:val="2DB15B07"/>
    <w:rsid w:val="2E100FA8"/>
    <w:rsid w:val="2E97707E"/>
    <w:rsid w:val="2F044FCC"/>
    <w:rsid w:val="30001A5D"/>
    <w:rsid w:val="30E8466A"/>
    <w:rsid w:val="311E37B6"/>
    <w:rsid w:val="316D5888"/>
    <w:rsid w:val="320C150B"/>
    <w:rsid w:val="32555174"/>
    <w:rsid w:val="32C56DD8"/>
    <w:rsid w:val="33064502"/>
    <w:rsid w:val="34010287"/>
    <w:rsid w:val="34473AE1"/>
    <w:rsid w:val="34802932"/>
    <w:rsid w:val="34935593"/>
    <w:rsid w:val="349F7963"/>
    <w:rsid w:val="35A35635"/>
    <w:rsid w:val="35EF058A"/>
    <w:rsid w:val="35FD7524"/>
    <w:rsid w:val="360249F0"/>
    <w:rsid w:val="39276AD2"/>
    <w:rsid w:val="39446403"/>
    <w:rsid w:val="39A828A4"/>
    <w:rsid w:val="3A330F2B"/>
    <w:rsid w:val="3A3C7D0A"/>
    <w:rsid w:val="3AA22E22"/>
    <w:rsid w:val="3AB964F5"/>
    <w:rsid w:val="3B553864"/>
    <w:rsid w:val="3B6E3D3C"/>
    <w:rsid w:val="3C3C5523"/>
    <w:rsid w:val="3C4F72FF"/>
    <w:rsid w:val="3D7B2897"/>
    <w:rsid w:val="3ED969A9"/>
    <w:rsid w:val="3FCA3D33"/>
    <w:rsid w:val="3FD3723E"/>
    <w:rsid w:val="41612B4F"/>
    <w:rsid w:val="417B6F7C"/>
    <w:rsid w:val="41810E86"/>
    <w:rsid w:val="425F2913"/>
    <w:rsid w:val="435C50A7"/>
    <w:rsid w:val="440C6536"/>
    <w:rsid w:val="44101D34"/>
    <w:rsid w:val="448C627C"/>
    <w:rsid w:val="460270A1"/>
    <w:rsid w:val="46B46290"/>
    <w:rsid w:val="48496326"/>
    <w:rsid w:val="486B6493"/>
    <w:rsid w:val="4A344BCC"/>
    <w:rsid w:val="4AE56C4C"/>
    <w:rsid w:val="4B53102F"/>
    <w:rsid w:val="4C2B35C9"/>
    <w:rsid w:val="4CDC2F1E"/>
    <w:rsid w:val="4D160508"/>
    <w:rsid w:val="4EA903F6"/>
    <w:rsid w:val="4EB27F29"/>
    <w:rsid w:val="4F545534"/>
    <w:rsid w:val="50A008BD"/>
    <w:rsid w:val="50E36F44"/>
    <w:rsid w:val="51571481"/>
    <w:rsid w:val="519C4558"/>
    <w:rsid w:val="51E000E1"/>
    <w:rsid w:val="520E36D7"/>
    <w:rsid w:val="52533808"/>
    <w:rsid w:val="5338680E"/>
    <w:rsid w:val="5521111F"/>
    <w:rsid w:val="55AC6E9D"/>
    <w:rsid w:val="573D632F"/>
    <w:rsid w:val="57CC4919"/>
    <w:rsid w:val="58F25763"/>
    <w:rsid w:val="5923074E"/>
    <w:rsid w:val="592D2DB3"/>
    <w:rsid w:val="59CF0866"/>
    <w:rsid w:val="5AD2597D"/>
    <w:rsid w:val="5B3823B7"/>
    <w:rsid w:val="5C7A4335"/>
    <w:rsid w:val="5C852059"/>
    <w:rsid w:val="5CBE34B8"/>
    <w:rsid w:val="5D6800CD"/>
    <w:rsid w:val="5D9E05A7"/>
    <w:rsid w:val="5DC60467"/>
    <w:rsid w:val="5EB80EFD"/>
    <w:rsid w:val="5F95727D"/>
    <w:rsid w:val="5FCC2AA9"/>
    <w:rsid w:val="5FE035A9"/>
    <w:rsid w:val="604A706E"/>
    <w:rsid w:val="608834ED"/>
    <w:rsid w:val="60A85FA1"/>
    <w:rsid w:val="60FA66B2"/>
    <w:rsid w:val="61C906BF"/>
    <w:rsid w:val="622B611D"/>
    <w:rsid w:val="6242638E"/>
    <w:rsid w:val="626F69B6"/>
    <w:rsid w:val="62C05BCC"/>
    <w:rsid w:val="64407D86"/>
    <w:rsid w:val="650023C2"/>
    <w:rsid w:val="65823073"/>
    <w:rsid w:val="65971458"/>
    <w:rsid w:val="659D7CC2"/>
    <w:rsid w:val="65F364D3"/>
    <w:rsid w:val="66BE62F6"/>
    <w:rsid w:val="681F42D0"/>
    <w:rsid w:val="688E20B6"/>
    <w:rsid w:val="68FB09C9"/>
    <w:rsid w:val="690C0CC9"/>
    <w:rsid w:val="693D6EB4"/>
    <w:rsid w:val="6A682BDF"/>
    <w:rsid w:val="6AE31A3A"/>
    <w:rsid w:val="6BAC37B5"/>
    <w:rsid w:val="6BFE6405"/>
    <w:rsid w:val="6C1674EC"/>
    <w:rsid w:val="6C27567D"/>
    <w:rsid w:val="6CFB2311"/>
    <w:rsid w:val="6D9632D6"/>
    <w:rsid w:val="6DE21D9C"/>
    <w:rsid w:val="6DE97E3C"/>
    <w:rsid w:val="6E081EB2"/>
    <w:rsid w:val="6E7716CA"/>
    <w:rsid w:val="6F763BBD"/>
    <w:rsid w:val="705235CE"/>
    <w:rsid w:val="71E5266B"/>
    <w:rsid w:val="721D27C5"/>
    <w:rsid w:val="744765D2"/>
    <w:rsid w:val="76581835"/>
    <w:rsid w:val="774C0A76"/>
    <w:rsid w:val="78AA3303"/>
    <w:rsid w:val="78F4247E"/>
    <w:rsid w:val="797F45E0"/>
    <w:rsid w:val="7A0A4E6F"/>
    <w:rsid w:val="7A371266"/>
    <w:rsid w:val="7A581D45"/>
    <w:rsid w:val="7AD616AA"/>
    <w:rsid w:val="7B263697"/>
    <w:rsid w:val="7B484ED1"/>
    <w:rsid w:val="7C2B54C3"/>
    <w:rsid w:val="7D841F11"/>
    <w:rsid w:val="7DD86484"/>
    <w:rsid w:val="7E292D8B"/>
    <w:rsid w:val="7E7A7267"/>
    <w:rsid w:val="7EC9380E"/>
    <w:rsid w:val="7F8B3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qFormat/>
    <w:uiPriority w:val="0"/>
    <w:pPr>
      <w:keepNext/>
      <w:keepLines/>
      <w:spacing w:line="376" w:lineRule="auto"/>
      <w:outlineLvl w:val="3"/>
    </w:pPr>
    <w:rPr>
      <w:rFonts w:ascii="Arial" w:hAnsi="Arial" w:eastAsia="黑体"/>
      <w:b/>
      <w:bCs/>
      <w:sz w:val="28"/>
      <w:szCs w:val="28"/>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autoSpaceDE w:val="0"/>
      <w:autoSpaceDN w:val="0"/>
      <w:adjustRightInd w:val="0"/>
    </w:pPr>
    <w:rPr>
      <w:rFonts w:hint="eastAsia" w:ascii="FangSong_GB2312" w:hAnsi="FangSong_GB2312" w:eastAsia="FangSong_GB2312" w:cs="Times New Roman"/>
      <w:color w:val="000000"/>
      <w:sz w:val="24"/>
      <w:lang w:val="en-US" w:eastAsia="zh-CN" w:bidi="ar-SA"/>
    </w:rPr>
  </w:style>
  <w:style w:type="paragraph" w:customStyle="1" w:styleId="3">
    <w:name w:val="纯文本1"/>
    <w:basedOn w:val="1"/>
    <w:qFormat/>
    <w:uiPriority w:val="0"/>
    <w:pPr>
      <w:adjustRightInd w:val="0"/>
      <w:textAlignment w:val="baseline"/>
    </w:pPr>
    <w:rPr>
      <w:rFonts w:ascii="宋体" w:hAnsi="Courier New"/>
      <w:szCs w:val="20"/>
    </w:rPr>
  </w:style>
  <w:style w:type="paragraph" w:styleId="5">
    <w:name w:val="Normal Indent"/>
    <w:basedOn w:val="1"/>
    <w:next w:val="1"/>
    <w:qFormat/>
    <w:uiPriority w:val="0"/>
    <w:pPr>
      <w:ind w:firstLine="420" w:firstLineChars="200"/>
    </w:pPr>
  </w:style>
  <w:style w:type="paragraph" w:styleId="6">
    <w:name w:val="Body Text"/>
    <w:basedOn w:val="1"/>
    <w:qFormat/>
    <w:uiPriority w:val="0"/>
    <w:pPr>
      <w:jc w:val="center"/>
    </w:pPr>
    <w:rPr>
      <w:rFonts w:ascii="Times New Roman" w:hAnsi="Times New Roman" w:eastAsia="宋体" w:cs="Times New Roman"/>
      <w:szCs w:val="21"/>
    </w:rPr>
  </w:style>
  <w:style w:type="paragraph" w:styleId="7">
    <w:name w:val="Body Text Indent"/>
    <w:basedOn w:val="1"/>
    <w:next w:val="4"/>
    <w:qFormat/>
    <w:uiPriority w:val="0"/>
    <w:pPr>
      <w:spacing w:after="120"/>
      <w:ind w:left="420" w:leftChars="200"/>
    </w:pPr>
    <w:rPr>
      <w:kern w:val="0"/>
      <w:sz w:val="24"/>
      <w:szCs w:val="20"/>
    </w:rPr>
  </w:style>
  <w:style w:type="paragraph" w:styleId="8">
    <w:name w:val="Plain Text"/>
    <w:basedOn w:val="1"/>
    <w:qFormat/>
    <w:uiPriority w:val="0"/>
    <w:rPr>
      <w:rFonts w:ascii="宋体" w:cs="Courier New"/>
      <w:szCs w:val="21"/>
    </w:rPr>
  </w:style>
  <w:style w:type="paragraph" w:styleId="9">
    <w:name w:val="footer"/>
    <w:basedOn w:val="1"/>
    <w:next w:val="1"/>
    <w:qFormat/>
    <w:uiPriority w:val="0"/>
    <w:pPr>
      <w:tabs>
        <w:tab w:val="center" w:pos="4153"/>
        <w:tab w:val="right" w:pos="8306"/>
      </w:tabs>
      <w:snapToGrid w:val="0"/>
      <w:jc w:val="left"/>
    </w:pPr>
    <w:rPr>
      <w:sz w:val="18"/>
    </w:rPr>
  </w:style>
  <w:style w:type="paragraph" w:styleId="10">
    <w:name w:val="index heading"/>
    <w:basedOn w:val="1"/>
    <w:next w:val="11"/>
    <w:qFormat/>
    <w:uiPriority w:val="0"/>
    <w:rPr>
      <w:szCs w:val="20"/>
    </w:rPr>
  </w:style>
  <w:style w:type="paragraph" w:styleId="11">
    <w:name w:val="index 1"/>
    <w:basedOn w:val="1"/>
    <w:next w:val="1"/>
    <w:unhideWhenUsed/>
    <w:qFormat/>
    <w:uiPriority w:val="0"/>
    <w:pPr>
      <w:adjustRightInd w:val="0"/>
      <w:snapToGrid w:val="0"/>
      <w:spacing w:line="440" w:lineRule="atLeast"/>
      <w:ind w:left="240" w:hanging="240"/>
      <w:jc w:val="left"/>
    </w:pPr>
    <w:rPr>
      <w:rFonts w:ascii="宋体"/>
      <w:sz w:val="18"/>
      <w:szCs w:val="18"/>
    </w:rPr>
  </w:style>
  <w:style w:type="paragraph" w:styleId="12">
    <w:name w:val="Normal (Web)"/>
    <w:basedOn w:val="1"/>
    <w:qFormat/>
    <w:uiPriority w:val="0"/>
    <w:pPr>
      <w:spacing w:before="100" w:beforeAutospacing="1" w:after="100" w:afterAutospacing="1"/>
      <w:jc w:val="left"/>
    </w:pPr>
    <w:rPr>
      <w:rFonts w:cs="Times New Roman"/>
      <w:kern w:val="0"/>
      <w:sz w:val="24"/>
    </w:rPr>
  </w:style>
  <w:style w:type="paragraph" w:styleId="13">
    <w:name w:val="Body Text First Indent 2"/>
    <w:basedOn w:val="7"/>
    <w:next w:val="1"/>
    <w:qFormat/>
    <w:uiPriority w:val="0"/>
    <w:pPr>
      <w:ind w:firstLine="420" w:firstLineChars="200"/>
    </w:pPr>
    <w:rPr>
      <w:rFonts w:ascii="Times New Roman" w:hAnsi="Times New Roman" w:eastAsia="宋体" w:cs="Times New Roman"/>
    </w:rPr>
  </w:style>
  <w:style w:type="character" w:styleId="16">
    <w:name w:val="FollowedHyperlink"/>
    <w:basedOn w:val="15"/>
    <w:qFormat/>
    <w:uiPriority w:val="0"/>
    <w:rPr>
      <w:color w:val="000000"/>
      <w:u w:val="none"/>
    </w:rPr>
  </w:style>
  <w:style w:type="character" w:styleId="17">
    <w:name w:val="Emphasis"/>
    <w:basedOn w:val="15"/>
    <w:qFormat/>
    <w:uiPriority w:val="0"/>
  </w:style>
  <w:style w:type="character" w:styleId="18">
    <w:name w:val="Hyperlink"/>
    <w:basedOn w:val="15"/>
    <w:qFormat/>
    <w:uiPriority w:val="0"/>
    <w:rPr>
      <w:color w:val="000000"/>
      <w:u w:val="none"/>
    </w:rPr>
  </w:style>
  <w:style w:type="paragraph" w:customStyle="1" w:styleId="19">
    <w:name w:val="样式1"/>
    <w:basedOn w:val="10"/>
    <w:next w:val="1"/>
    <w:qFormat/>
    <w:uiPriority w:val="0"/>
    <w:rPr>
      <w:rFonts w:ascii="Times New Roman"/>
      <w:b/>
      <w:sz w:val="30"/>
      <w:szCs w:val="30"/>
    </w:rPr>
  </w:style>
  <w:style w:type="paragraph" w:customStyle="1" w:styleId="20">
    <w:name w:val="Char"/>
    <w:basedOn w:val="1"/>
    <w:next w:val="1"/>
    <w:qFormat/>
    <w:uiPriority w:val="0"/>
    <w:pPr>
      <w:spacing w:line="360" w:lineRule="auto"/>
      <w:ind w:firstLine="200" w:firstLineChars="200"/>
    </w:pPr>
    <w:rPr>
      <w:rFonts w:ascii="宋体" w:hAnsi="宋体" w:cs="宋体"/>
      <w:sz w:val="24"/>
    </w:rPr>
  </w:style>
  <w:style w:type="paragraph" w:customStyle="1" w:styleId="21">
    <w:name w:val="报告表正文"/>
    <w:basedOn w:val="22"/>
    <w:qFormat/>
    <w:uiPriority w:val="0"/>
    <w:pPr>
      <w:adjustRightInd w:val="0"/>
      <w:ind w:firstLine="482"/>
      <w:textAlignment w:val="baseline"/>
    </w:pPr>
  </w:style>
  <w:style w:type="paragraph" w:customStyle="1" w:styleId="22">
    <w:name w:val="报告正文"/>
    <w:basedOn w:val="23"/>
    <w:qFormat/>
    <w:uiPriority w:val="0"/>
    <w:pPr>
      <w:spacing w:line="360" w:lineRule="auto"/>
      <w:ind w:firstLine="723" w:firstLineChars="200"/>
    </w:pPr>
    <w:rPr>
      <w:rFonts w:cs="宋体"/>
      <w:sz w:val="24"/>
      <w:szCs w:val="24"/>
      <w:lang w:val="en-US" w:eastAsia="zh-CN" w:bidi="ar-SA"/>
    </w:rPr>
  </w:style>
  <w:style w:type="paragraph" w:customStyle="1" w:styleId="23">
    <w:name w:val="p17"/>
    <w:basedOn w:val="1"/>
    <w:qFormat/>
    <w:uiPriority w:val="0"/>
    <w:pPr>
      <w:widowControl/>
    </w:pPr>
    <w:rPr>
      <w:rFonts w:ascii="宋体" w:hAnsi="宋体" w:cs="宋体"/>
      <w:kern w:val="0"/>
      <w:szCs w:val="21"/>
    </w:rPr>
  </w:style>
  <w:style w:type="paragraph" w:customStyle="1" w:styleId="24">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5">
    <w:name w:val="lishishuju"/>
    <w:basedOn w:val="15"/>
    <w:qFormat/>
    <w:uiPriority w:val="0"/>
    <w:rPr>
      <w:b/>
      <w:bCs/>
      <w:color w:val="000052"/>
      <w:sz w:val="24"/>
      <w:szCs w:val="24"/>
      <w:bdr w:val="single" w:color="E3E3E3" w:sz="6" w:space="0"/>
    </w:rPr>
  </w:style>
  <w:style w:type="character" w:customStyle="1" w:styleId="26">
    <w:name w:val="cur1"/>
    <w:basedOn w:val="15"/>
    <w:qFormat/>
    <w:uiPriority w:val="0"/>
    <w:rPr>
      <w:color w:val="FFFFFF"/>
      <w:shd w:val="clear" w:fill="2F6B98"/>
    </w:rPr>
  </w:style>
  <w:style w:type="character" w:customStyle="1" w:styleId="27">
    <w:name w:val="lable"/>
    <w:basedOn w:val="15"/>
    <w:qFormat/>
    <w:uiPriority w:val="0"/>
    <w:rPr>
      <w:sz w:val="24"/>
      <w:szCs w:val="24"/>
    </w:rPr>
  </w:style>
  <w:style w:type="character" w:customStyle="1" w:styleId="28">
    <w:name w:val="radio-btn"/>
    <w:basedOn w:val="15"/>
    <w:qFormat/>
    <w:uiPriority w:val="0"/>
    <w:rPr>
      <w:sz w:val="21"/>
      <w:szCs w:val="21"/>
    </w:rPr>
  </w:style>
  <w:style w:type="character" w:customStyle="1" w:styleId="29">
    <w:name w:val="radio-btn1"/>
    <w:basedOn w:val="15"/>
    <w:qFormat/>
    <w:uiPriority w:val="0"/>
    <w:rPr>
      <w:sz w:val="24"/>
      <w:szCs w:val="24"/>
    </w:rPr>
  </w:style>
  <w:style w:type="character" w:customStyle="1" w:styleId="30">
    <w:name w:val="radio-btn2"/>
    <w:basedOn w:val="15"/>
    <w:qFormat/>
    <w:uiPriority w:val="0"/>
    <w:rPr>
      <w:sz w:val="24"/>
      <w:szCs w:val="24"/>
    </w:rPr>
  </w:style>
  <w:style w:type="character" w:customStyle="1" w:styleId="31">
    <w:name w:val="znspantitle"/>
    <w:basedOn w:val="15"/>
    <w:qFormat/>
    <w:uiPriority w:val="0"/>
    <w:rPr>
      <w:b/>
      <w:bCs/>
      <w:color w:val="333333"/>
    </w:rPr>
  </w:style>
  <w:style w:type="character" w:customStyle="1" w:styleId="32">
    <w:name w:val="cur"/>
    <w:basedOn w:val="15"/>
    <w:qFormat/>
    <w:uiPriority w:val="0"/>
    <w:rPr>
      <w:color w:val="FFFFFF"/>
      <w:shd w:val="clear" w:fill="2F6B9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274</Words>
  <Characters>1564</Characters>
  <Lines>13</Lines>
  <Paragraphs>3</Paragraphs>
  <TotalTime>10</TotalTime>
  <ScaleCrop>false</ScaleCrop>
  <LinksUpToDate>false</LinksUpToDate>
  <CharactersWithSpaces>1835</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2023-03-07T03:48:00Z</dcterms:created>
  <dc:creator>刘甲</dc:creator>
  <cp:lastModifiedBy>Administrator</cp:lastModifiedBy>
  <cp:lastPrinted>2024-02-19T11:05:00Z</cp:lastPrinted>
  <dcterms:modified xsi:type="dcterms:W3CDTF">2024-03-21T10:46:27Z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082E3318466F49B58656341536E70826</vt:lpwstr>
  </property>
</Properties>
</file>