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仿宋_GB2312"/>
          <w:lang w:val="en-US" w:eastAsia="zh-CN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 w:ascii="宋体" w:hAnsi="宋体"/>
          <w:color w:val="auto"/>
          <w:sz w:val="16"/>
          <w:szCs w:val="16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 w:firstLine="640" w:firstLineChars="200"/>
        <w:jc w:val="right"/>
        <w:textAlignment w:val="auto"/>
        <w:rPr>
          <w:rFonts w:hint="eastAsia" w:ascii="宋体" w:hAnsi="宋体" w:eastAsia="方正仿宋简体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仿宋_GB2312"/>
          <w:color w:val="auto"/>
          <w:kern w:val="0"/>
          <w:sz w:val="32"/>
          <w:szCs w:val="32"/>
          <w:lang w:val="en-US" w:eastAsia="zh-CN" w:bidi="ar-SA"/>
        </w:rPr>
        <w:t>伊州环函</w:t>
      </w:r>
      <w:r>
        <w:rPr>
          <w:rFonts w:hint="eastAsia" w:ascii="宋体" w:hAnsi="宋体" w:eastAsia="方正仿宋简体" w:cs="黑体"/>
          <w:color w:val="auto"/>
          <w:kern w:val="0"/>
          <w:sz w:val="32"/>
          <w:szCs w:val="32"/>
          <w:lang w:val="en-US" w:eastAsia="zh-CN" w:bidi="ar-SA"/>
        </w:rPr>
        <w:t>〔</w:t>
      </w:r>
      <w:r>
        <w:rPr>
          <w:rFonts w:hint="eastAsia" w:ascii="宋体" w:hAnsi="宋体" w:eastAsia="方正仿宋简体" w:cs="仿宋_GB2312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宋体" w:hAnsi="宋体" w:eastAsia="方正仿宋简体" w:cs="黑体"/>
          <w:color w:val="auto"/>
          <w:kern w:val="0"/>
          <w:sz w:val="32"/>
          <w:szCs w:val="32"/>
          <w:lang w:val="en-US" w:eastAsia="zh-CN" w:bidi="ar-SA"/>
        </w:rPr>
        <w:t>〕77</w:t>
      </w:r>
      <w:r>
        <w:rPr>
          <w:rFonts w:hint="eastAsia" w:ascii="宋体" w:hAnsi="宋体" w:eastAsia="方正仿宋简体" w:cs="仿宋_GB2312"/>
          <w:color w:val="auto"/>
          <w:kern w:val="0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outlineLvl w:val="9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Cs/>
          <w:sz w:val="44"/>
          <w:szCs w:val="44"/>
          <w:lang w:val="en-US" w:eastAsia="zh-CN"/>
        </w:rPr>
        <w:t>关于新源县玉什开普台尔村1号砂石料矿建设项目环境影响报告表的批复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新源县鑫通能源科技有限责任公司：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你公司报批的《关于新源县玉什开普台尔村1号砂石料矿申请审批的请示》及相关附件均已收悉。经研究，批复如下：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一、拟建项目位于新源县阿热勒托别镇玉什开普台尔村，项目总占地面积</w:t>
      </w:r>
      <w:r>
        <w:rPr>
          <w:rFonts w:hint="eastAsia" w:ascii="宋体" w:hAnsi="宋体" w:eastAsia="方正仿宋简体" w:cs="方正仿宋简体"/>
          <w:color w:val="auto"/>
          <w:kern w:val="0"/>
          <w:sz w:val="32"/>
          <w:szCs w:val="32"/>
          <w:lang w:val="en-US" w:eastAsia="zh-CN"/>
        </w:rPr>
        <w:t>17138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方正仿宋简体" w:cs="方正仿宋简体"/>
          <w:color w:val="auto"/>
          <w:spacing w:val="-6"/>
          <w:sz w:val="32"/>
          <w:szCs w:val="32"/>
          <w:lang w:val="en-US" w:eastAsia="zh-CN"/>
        </w:rPr>
        <w:t>m</w:t>
      </w:r>
      <w:r>
        <w:rPr>
          <w:rFonts w:hint="eastAsia" w:ascii="宋体" w:hAnsi="宋体" w:eastAsia="方正仿宋简体" w:cs="方正仿宋简体"/>
          <w:color w:val="auto"/>
          <w:spacing w:val="-6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，矿区面积为12.16hm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，项目区中心坐标为：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东经</w:t>
      </w:r>
      <w:r>
        <w:rPr>
          <w:rFonts w:hint="default" w:ascii="宋体" w:hAnsi="宋体" w:eastAsia="方正仿宋简体" w:cs="方正仿宋简体"/>
          <w:color w:val="auto"/>
          <w:spacing w:val="-6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简体" w:cs="方正仿宋简体"/>
          <w:color w:val="auto"/>
          <w:spacing w:val="-6"/>
          <w:sz w:val="32"/>
          <w:szCs w:val="32"/>
          <w:lang w:val="en-US" w:eastAsia="zh-CN"/>
        </w:rPr>
        <w:t>3</w:t>
      </w:r>
      <w:r>
        <w:rPr>
          <w:rFonts w:hint="default" w:ascii="宋体" w:hAnsi="宋体" w:eastAsia="方正仿宋简体" w:cs="方正仿宋简体"/>
          <w:color w:val="auto"/>
          <w:spacing w:val="-6"/>
          <w:sz w:val="32"/>
          <w:szCs w:val="32"/>
          <w:lang w:val="en-US" w:eastAsia="zh-CN"/>
        </w:rPr>
        <w:t>°</w:t>
      </w:r>
      <w:r>
        <w:rPr>
          <w:rFonts w:hint="eastAsia" w:ascii="宋体" w:hAnsi="宋体" w:eastAsia="方正仿宋简体" w:cs="方正仿宋简体"/>
          <w:color w:val="auto"/>
          <w:spacing w:val="-6"/>
          <w:sz w:val="32"/>
          <w:szCs w:val="32"/>
          <w:lang w:val="en-US" w:eastAsia="zh-CN"/>
        </w:rPr>
        <w:t>39</w:t>
      </w:r>
      <w:r>
        <w:rPr>
          <w:rFonts w:hint="default" w:ascii="宋体" w:hAnsi="宋体" w:eastAsia="方正仿宋简体" w:cs="方正仿宋简体"/>
          <w:color w:val="auto"/>
          <w:spacing w:val="-6"/>
          <w:sz w:val="32"/>
          <w:szCs w:val="32"/>
          <w:lang w:val="en-US" w:eastAsia="zh-CN"/>
        </w:rPr>
        <w:t>′</w:t>
      </w:r>
      <w:r>
        <w:rPr>
          <w:rFonts w:hint="eastAsia" w:ascii="宋体" w:hAnsi="宋体" w:eastAsia="方正仿宋简体" w:cs="方正仿宋简体"/>
          <w:color w:val="auto"/>
          <w:spacing w:val="-6"/>
          <w:sz w:val="32"/>
          <w:szCs w:val="32"/>
          <w:lang w:val="en-US" w:eastAsia="zh-CN"/>
        </w:rPr>
        <w:t>27.25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6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″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北纬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3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°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27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′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46.514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″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。建设内容:（1）</w:t>
      </w:r>
      <w:bookmarkStart w:id="0" w:name="_Hlk144206396"/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主体工程</w:t>
      </w:r>
      <w:bookmarkEnd w:id="0"/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开采区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工业广场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（2）储运工程：成品堆场、表土堆场、矿山道路；（3）辅助工程：矿山生活区、磅房、蓄水池、沉淀池；（4）公用工程：包括供电系统、供水系统、排水系统；（5）环保工程：废气处理、废水处理、噪声控制、固废防治、水土保持及生态恢复等措施。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项目开采矿种为建筑用砂石料，开采方式为机械露天开采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eastAsia="zh-CN"/>
        </w:rPr>
        <w:t>开采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eastAsia="zh-CN"/>
        </w:rPr>
        <w:t>规模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30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eastAsia="zh-CN"/>
        </w:rPr>
        <w:t>万m³/a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。项目年加工砂石料原料60万m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vertAlign w:val="superscript"/>
          <w:lang w:val="en-US" w:eastAsia="zh-CN" w:bidi="ar"/>
        </w:rPr>
        <w:t>3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，原料来源包括本矿区年开采砂石原料30万m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vertAlign w:val="superscript"/>
          <w:lang w:val="en-US" w:eastAsia="zh-CN" w:bidi="ar"/>
        </w:rPr>
        <w:t>3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及新源县玉什开普台尔村2号砂石料矿年开采砂石原料30万m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vertAlign w:val="superscript"/>
          <w:lang w:val="en-US" w:eastAsia="zh-CN" w:bidi="ar"/>
        </w:rPr>
        <w:t>3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/>
        </w:rPr>
        <w:t>项目总投资1116万元，环保投资81万元，占总投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-6"/>
          <w:kern w:val="0"/>
          <w:sz w:val="32"/>
          <w:szCs w:val="32"/>
          <w:lang w:val="en-US" w:eastAsia="zh-CN" w:bidi="ar"/>
        </w:rPr>
        <w:t>资的7.26%。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、根据湖南玛格利环境评估有限公司编制的《新源县玉什开普台尔村1号砂石料矿建设项目环境影响报告表》（以下简称《报告表》），在全面落实《报告表》提出的各项环境保护措施后，项目建设对环境产生的不利影响可以缓解和控制。从环境保护的角度，我局原则同意按照《报告表》中所列建设项目的性质、规模、地点和拟采取的环境保护措施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三、在项目运行过程中要严格落实《报告表》中提出的各项环保措施和建议，严格执行环保“三同时”制度，确保污染物稳定达标排放，并达到以下要求：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GB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GB" w:eastAsia="zh-CN" w:bidi="ar"/>
        </w:rPr>
        <w:t>（一）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严格落实施工期各项环保措施。加强项目施工期的环境保护管理工作，防止施工期扬尘、废水、固体废物和噪声对周围环境产生不利影响。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施工期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尽量减少对原有地表环境的扰动和破坏，严格在建设用地审批红线范围内科学文明施工，尽量减少裸露土地面积、缩短土方调运、堆置时间等，将施工引起的水土流失降到最低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GB" w:eastAsia="zh-CN" w:bidi="ar"/>
        </w:rPr>
        <w:t>（二）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严格落实各项大气污染防治措施。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采矿场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采取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喷淋降尘措施，装载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扬尘采取运输车辆密封遮盖、</w:t>
      </w:r>
      <w:r>
        <w:rPr>
          <w:rFonts w:hint="default" w:ascii="宋体" w:hAnsi="宋体" w:eastAsia="方正仿宋简体" w:cs="方正仿宋简体"/>
          <w:spacing w:val="-6"/>
          <w:sz w:val="32"/>
          <w:szCs w:val="32"/>
          <w:lang w:val="en-US" w:eastAsia="zh-CN"/>
        </w:rPr>
        <w:t>洒水降尘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  <w:lang w:val="en-US" w:eastAsia="zh-CN"/>
        </w:rPr>
        <w:t>措施；堆场区采取防风抑尘网苫盖、洒水</w:t>
      </w:r>
      <w:r>
        <w:rPr>
          <w:rFonts w:hint="eastAsia" w:ascii="宋体" w:hAnsi="宋体" w:eastAsia="方正仿宋简体" w:cs="方正仿宋简体"/>
          <w:color w:val="auto"/>
          <w:spacing w:val="-6"/>
          <w:sz w:val="32"/>
          <w:szCs w:val="32"/>
          <w:lang w:val="en-US" w:eastAsia="zh-CN"/>
        </w:rPr>
        <w:t>抑尘措施；筛分、破碎工序进行密闭，设置袋式除尘器+15m高排气筒排放，废气执行</w:t>
      </w:r>
      <w:r>
        <w:rPr>
          <w:rFonts w:hint="default" w:ascii="宋体" w:hAnsi="宋体" w:eastAsia="方正仿宋简体" w:cs="方正仿宋简体"/>
          <w:color w:val="auto"/>
          <w:spacing w:val="-6"/>
          <w:sz w:val="32"/>
          <w:szCs w:val="32"/>
          <w:lang w:val="en-US" w:eastAsia="zh-CN"/>
        </w:rPr>
        <w:t>《大气污染物综合排放标准》（GB16297-1996）</w:t>
      </w:r>
      <w:r>
        <w:rPr>
          <w:rFonts w:hint="eastAsia" w:ascii="宋体" w:hAnsi="宋体" w:eastAsia="方正仿宋简体" w:cs="方正仿宋简体"/>
          <w:color w:val="auto"/>
          <w:spacing w:val="-6"/>
          <w:sz w:val="32"/>
          <w:szCs w:val="32"/>
          <w:lang w:val="en-US" w:eastAsia="zh-CN"/>
        </w:rPr>
        <w:t>。</w:t>
      </w:r>
      <w:r>
        <w:rPr>
          <w:rFonts w:hint="default" w:ascii="宋体" w:hAnsi="宋体" w:eastAsia="方正仿宋简体" w:cs="方正仿宋简体"/>
          <w:color w:val="auto"/>
          <w:spacing w:val="-6"/>
          <w:sz w:val="32"/>
          <w:szCs w:val="32"/>
          <w:lang w:val="zh-CN" w:eastAsia="zh-CN"/>
        </w:rPr>
        <w:t>厨房油烟</w:t>
      </w:r>
      <w:r>
        <w:rPr>
          <w:rFonts w:hint="eastAsia" w:ascii="宋体" w:hAnsi="宋体" w:eastAsia="方正仿宋简体" w:cs="方正仿宋简体"/>
          <w:color w:val="auto"/>
          <w:spacing w:val="-6"/>
          <w:sz w:val="32"/>
          <w:szCs w:val="32"/>
          <w:lang w:val="zh-CN" w:eastAsia="zh-CN"/>
        </w:rPr>
        <w:t>经</w:t>
      </w:r>
      <w:r>
        <w:rPr>
          <w:rFonts w:hint="default" w:ascii="宋体" w:hAnsi="宋体" w:eastAsia="方正仿宋简体" w:cs="方正仿宋简体"/>
          <w:color w:val="auto"/>
          <w:spacing w:val="-6"/>
          <w:sz w:val="32"/>
          <w:szCs w:val="32"/>
          <w:lang w:val="zh-CN" w:eastAsia="zh-CN"/>
        </w:rPr>
        <w:t>油烟净化设备处理后，通过专用管道屋顶排放</w:t>
      </w:r>
      <w:r>
        <w:rPr>
          <w:rFonts w:hint="eastAsia" w:ascii="宋体" w:hAnsi="宋体" w:eastAsia="方正仿宋简体" w:cs="方正仿宋简体"/>
          <w:color w:val="auto"/>
          <w:spacing w:val="-6"/>
          <w:sz w:val="32"/>
          <w:szCs w:val="32"/>
          <w:lang w:val="zh-CN" w:eastAsia="zh-CN"/>
        </w:rPr>
        <w:t>，执行</w:t>
      </w:r>
      <w:r>
        <w:rPr>
          <w:rFonts w:hint="default" w:ascii="宋体" w:hAnsi="宋体" w:eastAsia="方正仿宋简体" w:cs="方正仿宋简体"/>
          <w:color w:val="auto"/>
          <w:spacing w:val="-6"/>
          <w:sz w:val="32"/>
          <w:szCs w:val="32"/>
          <w:lang w:val="en-US" w:eastAsia="zh-CN"/>
        </w:rPr>
        <w:t>《饮食业油烟排放标准（试行）》（GB18483-2001）浓度限值</w:t>
      </w:r>
      <w:r>
        <w:rPr>
          <w:rFonts w:hint="eastAsia" w:ascii="宋体" w:hAnsi="宋体" w:eastAsia="方正仿宋简体" w:cs="方正仿宋简体"/>
          <w:color w:val="auto"/>
          <w:spacing w:val="-6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简体" w:cs="方正仿宋简体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</w:t>
      </w:r>
      <w:bookmarkStart w:id="1" w:name="_Hlk144139558"/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严格落实各项废水治理措施。</w:t>
      </w:r>
      <w:bookmarkEnd w:id="1"/>
      <w:r>
        <w:rPr>
          <w:rFonts w:hint="eastAsia" w:ascii="宋体" w:hAnsi="宋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本项目</w:t>
      </w:r>
      <w:r>
        <w:rPr>
          <w:rFonts w:hint="eastAsia" w:ascii="宋体" w:hAnsi="宋体" w:eastAsia="方正仿宋简体" w:cs="方正仿宋简体"/>
          <w:spacing w:val="-6"/>
          <w:kern w:val="2"/>
          <w:sz w:val="32"/>
          <w:szCs w:val="32"/>
          <w:lang w:val="en-US" w:eastAsia="zh-CN" w:bidi="ar-SA"/>
        </w:rPr>
        <w:t>生产废水为</w:t>
      </w:r>
      <w:r>
        <w:rPr>
          <w:rFonts w:hint="eastAsia" w:ascii="宋体" w:hAnsi="宋体" w:eastAsia="方正仿宋简体" w:cs="方正仿宋简体"/>
          <w:spacing w:val="-6"/>
          <w:kern w:val="2"/>
          <w:sz w:val="32"/>
          <w:szCs w:val="32"/>
          <w:lang w:val="zh-CN" w:eastAsia="zh-CN" w:bidi="ar-SA"/>
        </w:rPr>
        <w:t>洗砂废水，经沉淀池沉淀后循环使用；生活污水经地埋式一体化污水处理设施处理后用于周边绿化及洒水</w:t>
      </w:r>
      <w:r>
        <w:rPr>
          <w:rFonts w:hint="eastAsia" w:ascii="宋体" w:hAnsi="宋体" w:eastAsia="方正仿宋简体" w:cs="方正仿宋简体"/>
          <w:color w:val="auto"/>
          <w:spacing w:val="-6"/>
          <w:kern w:val="2"/>
          <w:sz w:val="32"/>
          <w:szCs w:val="32"/>
          <w:lang w:val="zh-CN" w:eastAsia="zh-CN" w:bidi="ar-SA"/>
        </w:rPr>
        <w:t>降尘，执行</w:t>
      </w:r>
      <w:r>
        <w:rPr>
          <w:rFonts w:hint="default" w:ascii="宋体" w:hAnsi="宋体" w:eastAsia="方正仿宋简体" w:cs="方正仿宋简体"/>
          <w:color w:val="auto"/>
          <w:spacing w:val="-6"/>
          <w:kern w:val="2"/>
          <w:sz w:val="32"/>
          <w:szCs w:val="32"/>
          <w:lang w:val="zh-CN" w:eastAsia="zh-CN" w:bidi="ar-SA"/>
        </w:rPr>
        <w:t>《农村生活污水处理排放标准》（DB654275-2019）表2中A级标准</w:t>
      </w:r>
      <w:r>
        <w:rPr>
          <w:rFonts w:hint="eastAsia" w:ascii="宋体" w:hAnsi="宋体" w:eastAsia="方正仿宋简体" w:cs="方正仿宋简体"/>
          <w:color w:val="auto"/>
          <w:spacing w:val="-6"/>
          <w:kern w:val="2"/>
          <w:sz w:val="32"/>
          <w:szCs w:val="32"/>
          <w:lang w:val="zh-CN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（四）严格落实各项噪声治理措施。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本项目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采用低噪声机械设备，合理布局设备安装位置，基座减振，距离衰减降噪，车辆行驶严格控制车速，严禁鸣笛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等措施后，噪声可满足《工业企业厂界环境噪声排放标准》（GB12348-2008）中的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类标准。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（五）加强固体废物收集、贮存、综合利用和处置工作。 筛分废料、沉淀池泥沙、布袋收尘均作为填料回填采坑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，执行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《一般工业固体废物贮存和填埋污染物控制标准》（GB18599-2020）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；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生活垃圾集中收集后交由环卫部门定期清运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（六）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zh-CN" w:eastAsia="zh-CN"/>
        </w:rPr>
        <w:t>生态保护措施。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开采前对开采区进行表土剥离，剥离表土堆放在表土堆场内；在</w:t>
      </w:r>
      <w:r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矿区北侧设置截排水沟，采场汇水经排水沟排至采场外，灌溉草场，不设沉砂池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zh-CN" w:eastAsia="zh-CN" w:bidi="ar"/>
        </w:rPr>
        <w:t>；开采结束后，工业场地内建筑物进行拆除，开采区进行土地平整、表土回覆、撒播草籽及种植乔木。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四、你公司应落实生态环境保护主体责任，建立内部生态环境管理体系，明确机构、人员职责和制度，加强生态环境管理，推动各项生态环境保护措施落实。项目建设必须严格执行配套的环境保护设施与主体工程同时设计、同时施工、同时投产使用的环境保护“三同时”制度。项目建成后，须按规定开展竣工环境保护验收，验收合格后，方可正式投入运行。如项目发生重大变动，环评文件须报有审批权的生态环境部门重新审批。自环评文件批准之日起满5年，工程方决定开工建设，环评文件应当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五、新源县分局要切实承担事中事后监管主要责任，履行属地监管职责，加强对该项目环境保护“三同时”及自主验收监管。州生态环境保护综合行政执法支队要加强对“三同时”及自主验收工作的监督指导。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六、你公司应在收到本批复后20个工作日内，将批准后的《报告表》送伊犁哈萨克自治州生态环境局新源县分局，并按规定接受各级生态环境行政主管部门的监督检查。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  （此件社会公开）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2024年4月25日  </w:t>
      </w:r>
      <w:r>
        <w:rPr>
          <w:rFonts w:hint="eastAsia" w:ascii="宋体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</w:t>
      </w:r>
    </w:p>
    <w:p>
      <w:pP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rPr>
          <w:rFonts w:hint="eastAsia" w:ascii="宋体" w:hAnsi="宋体"/>
          <w:lang w:val="en-US" w:eastAsia="zh-CN"/>
        </w:rPr>
      </w:pPr>
    </w:p>
    <w:p>
      <w:pPr>
        <w:pStyle w:val="6"/>
        <w:rPr>
          <w:rFonts w:hint="eastAsia" w:ascii="宋体" w:hAnsi="宋体"/>
          <w:lang w:val="en-US" w:eastAsia="zh-CN"/>
        </w:rPr>
      </w:pPr>
    </w:p>
    <w:p>
      <w:pPr>
        <w:rPr>
          <w:rFonts w:hint="eastAsia" w:ascii="宋体" w:hAnsi="宋体"/>
          <w:lang w:val="en-US" w:eastAsia="zh-CN"/>
        </w:rPr>
      </w:pPr>
    </w:p>
    <w:p>
      <w:pPr>
        <w:pStyle w:val="2"/>
        <w:rPr>
          <w:rFonts w:hint="eastAsia" w:ascii="宋体" w:hAnsi="宋体"/>
          <w:lang w:val="en-US" w:eastAsia="zh-CN"/>
        </w:rPr>
      </w:pPr>
    </w:p>
    <w:p>
      <w:pPr>
        <w:rPr>
          <w:rFonts w:hint="eastAsia" w:ascii="宋体" w:hAnsi="宋体"/>
          <w:lang w:val="en-US" w:eastAsia="zh-CN"/>
        </w:rPr>
      </w:pPr>
    </w:p>
    <w:p>
      <w:pPr>
        <w:pStyle w:val="2"/>
        <w:rPr>
          <w:rFonts w:hint="eastAsia" w:ascii="宋体" w:hAnsi="宋体"/>
          <w:lang w:val="en-US" w:eastAsia="zh-CN"/>
        </w:rPr>
      </w:pPr>
    </w:p>
    <w:p>
      <w:pPr>
        <w:rPr>
          <w:rFonts w:hint="eastAsia" w:ascii="宋体" w:hAnsi="宋体"/>
          <w:lang w:val="en-US" w:eastAsia="zh-CN"/>
        </w:rPr>
      </w:pPr>
    </w:p>
    <w:p>
      <w:pPr>
        <w:pStyle w:val="2"/>
        <w:rPr>
          <w:rFonts w:hint="eastAsia" w:ascii="宋体" w:hAnsi="宋体"/>
          <w:lang w:val="en-US" w:eastAsia="zh-CN"/>
        </w:rPr>
      </w:pPr>
    </w:p>
    <w:p>
      <w:pPr>
        <w:pStyle w:val="2"/>
        <w:rPr>
          <w:rFonts w:hint="eastAsia" w:ascii="宋体" w:hAnsi="宋体"/>
          <w:lang w:val="en-US" w:eastAsia="zh-CN"/>
        </w:rPr>
      </w:pPr>
    </w:p>
    <w:p>
      <w:pPr>
        <w:rPr>
          <w:rFonts w:hint="eastAsia" w:ascii="宋体" w:hAnsi="宋体"/>
          <w:lang w:val="en-US" w:eastAsia="zh-CN"/>
        </w:rPr>
      </w:pPr>
    </w:p>
    <w:p>
      <w:pPr>
        <w:pStyle w:val="2"/>
        <w:rPr>
          <w:rFonts w:hint="eastAsia" w:ascii="宋体" w:hAnsi="宋体"/>
          <w:lang w:val="en-US" w:eastAsia="zh-CN"/>
        </w:rPr>
      </w:pPr>
      <w:bookmarkStart w:id="2" w:name="_GoBack"/>
      <w:bookmarkEnd w:id="2"/>
    </w:p>
    <w:p>
      <w:pPr>
        <w:rPr>
          <w:rFonts w:hint="eastAsia" w:ascii="宋体" w:hAnsi="宋体"/>
          <w:lang w:val="en-US" w:eastAsia="zh-CN"/>
        </w:rPr>
      </w:pPr>
    </w:p>
    <w:p>
      <w:pPr>
        <w:rPr>
          <w:rFonts w:hint="eastAsia" w:ascii="宋体" w:hAnsi="宋体"/>
          <w:lang w:val="en-US" w:eastAsia="zh-CN"/>
        </w:rPr>
      </w:pPr>
    </w:p>
    <w:p>
      <w:pPr>
        <w:pStyle w:val="2"/>
        <w:rPr>
          <w:rFonts w:hint="eastAsia" w:ascii="宋体" w:hAnsi="宋体"/>
          <w:lang w:val="en-US" w:eastAsia="zh-CN"/>
        </w:rPr>
      </w:pPr>
    </w:p>
    <w:p>
      <w:pPr>
        <w:rPr>
          <w:rFonts w:hint="eastAsia" w:ascii="宋体" w:hAnsi="宋体"/>
          <w:lang w:val="en-US" w:eastAsia="zh-CN"/>
        </w:rPr>
      </w:pPr>
    </w:p>
    <w:p>
      <w:pPr>
        <w:pStyle w:val="2"/>
        <w:rPr>
          <w:rFonts w:hint="eastAsia" w:ascii="宋体" w:hAnsi="宋体"/>
          <w:lang w:val="en-US" w:eastAsia="zh-CN"/>
        </w:rPr>
      </w:pPr>
    </w:p>
    <w:p>
      <w:pPr>
        <w:rPr>
          <w:rFonts w:hint="eastAsia" w:ascii="宋体" w:hAnsi="宋体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20" w:hanging="1280" w:hangingChars="400"/>
        <w:textAlignment w:val="auto"/>
        <w:outlineLvl w:val="9"/>
        <w:rPr>
          <w:rFonts w:hint="eastAsia" w:ascii="宋体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抄送：州生态环境保护综合行政执法支队,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新源</w:t>
      </w:r>
      <w:r>
        <w:rPr>
          <w:rFonts w:hint="eastAsia" w:ascii="宋体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县分局，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湖南玛格利环境评估有限公司</w:t>
      </w:r>
      <w:r>
        <w:rPr>
          <w:rFonts w:hint="eastAsia" w:ascii="宋体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，本局存档。</w:t>
      </w:r>
    </w:p>
    <w:p>
      <w:pPr>
        <w:pStyle w:val="9"/>
        <w:keepNext w:val="0"/>
        <w:keepLines w:val="0"/>
        <w:pageBreakBefore w:val="0"/>
        <w:widowControl w:val="0"/>
        <w:pBdr>
          <w:bottom w:val="single" w:color="auto" w:sz="12" w:space="1"/>
          <w:between w:val="single" w:color="auto" w:sz="12" w:space="0"/>
        </w:pBdr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伊犁哈萨克自治州生态环境局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2024年4月25日 印发</w:t>
      </w:r>
    </w:p>
    <w:sectPr>
      <w:footerReference r:id="rId3" w:type="default"/>
      <w:pgSz w:w="11906" w:h="16838"/>
      <w:pgMar w:top="2098" w:right="1531" w:bottom="1531" w:left="1531" w:header="1134" w:footer="1587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105" w:leftChars="50" w:right="105" w:rightChars="50"/>
                            <w:textAlignment w:val="auto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105" w:leftChars="50" w:right="105" w:rightChars="50"/>
                      <w:textAlignment w:val="auto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4EB2"/>
    <w:multiLevelType w:val="singleLevel"/>
    <w:tmpl w:val="6BCC4EB2"/>
    <w:lvl w:ilvl="0" w:tentative="0">
      <w:start w:val="1"/>
      <w:numFmt w:val="bullet"/>
      <w:pStyle w:val="10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N2Y4MjJkNDdjNTUyNzU4MDFkMmY4NGRhNmNjMzUifQ=="/>
  </w:docVars>
  <w:rsids>
    <w:rsidRoot w:val="00172A27"/>
    <w:rsid w:val="00311582"/>
    <w:rsid w:val="01F32784"/>
    <w:rsid w:val="024E05F5"/>
    <w:rsid w:val="02D23B66"/>
    <w:rsid w:val="04BA1E76"/>
    <w:rsid w:val="058C294E"/>
    <w:rsid w:val="074227B3"/>
    <w:rsid w:val="084F1FBE"/>
    <w:rsid w:val="087121F5"/>
    <w:rsid w:val="09851318"/>
    <w:rsid w:val="0A5E60CD"/>
    <w:rsid w:val="0B6E5C2C"/>
    <w:rsid w:val="0BCF5993"/>
    <w:rsid w:val="0C5E6268"/>
    <w:rsid w:val="0CBE3081"/>
    <w:rsid w:val="0D5E48F5"/>
    <w:rsid w:val="0D7A52E7"/>
    <w:rsid w:val="0E2607E2"/>
    <w:rsid w:val="1016053D"/>
    <w:rsid w:val="111D09F4"/>
    <w:rsid w:val="12487EEE"/>
    <w:rsid w:val="12F20916"/>
    <w:rsid w:val="15682600"/>
    <w:rsid w:val="16BE482A"/>
    <w:rsid w:val="16F3287A"/>
    <w:rsid w:val="188552CF"/>
    <w:rsid w:val="197C50A5"/>
    <w:rsid w:val="1B01606D"/>
    <w:rsid w:val="1C732202"/>
    <w:rsid w:val="1C901676"/>
    <w:rsid w:val="1E761E91"/>
    <w:rsid w:val="1E994F94"/>
    <w:rsid w:val="1F2B2F33"/>
    <w:rsid w:val="1FC47C5E"/>
    <w:rsid w:val="20FA20E7"/>
    <w:rsid w:val="2113259C"/>
    <w:rsid w:val="22DD6625"/>
    <w:rsid w:val="22FC6542"/>
    <w:rsid w:val="23103AE4"/>
    <w:rsid w:val="23FB0191"/>
    <w:rsid w:val="24932CA6"/>
    <w:rsid w:val="24B9722B"/>
    <w:rsid w:val="25DE0FDF"/>
    <w:rsid w:val="27E20CB4"/>
    <w:rsid w:val="28313CCE"/>
    <w:rsid w:val="2AD20558"/>
    <w:rsid w:val="2BA2365C"/>
    <w:rsid w:val="2EC40DA4"/>
    <w:rsid w:val="33C6373E"/>
    <w:rsid w:val="34C73228"/>
    <w:rsid w:val="35850071"/>
    <w:rsid w:val="372C5B59"/>
    <w:rsid w:val="375767DE"/>
    <w:rsid w:val="38753F86"/>
    <w:rsid w:val="39225276"/>
    <w:rsid w:val="39DE473A"/>
    <w:rsid w:val="3B0F4A6E"/>
    <w:rsid w:val="3E2B583D"/>
    <w:rsid w:val="3F4023D6"/>
    <w:rsid w:val="3FC577D7"/>
    <w:rsid w:val="400E0434"/>
    <w:rsid w:val="40A76F53"/>
    <w:rsid w:val="40E7216D"/>
    <w:rsid w:val="412E0169"/>
    <w:rsid w:val="41D917F6"/>
    <w:rsid w:val="41FF7922"/>
    <w:rsid w:val="439A1B78"/>
    <w:rsid w:val="44454D0D"/>
    <w:rsid w:val="45BA55EE"/>
    <w:rsid w:val="45E82672"/>
    <w:rsid w:val="468F7DFB"/>
    <w:rsid w:val="46AE524C"/>
    <w:rsid w:val="474D2762"/>
    <w:rsid w:val="47566F4F"/>
    <w:rsid w:val="476A1996"/>
    <w:rsid w:val="47902396"/>
    <w:rsid w:val="4B976F98"/>
    <w:rsid w:val="4C5B1824"/>
    <w:rsid w:val="4DE7127A"/>
    <w:rsid w:val="4F502144"/>
    <w:rsid w:val="4F8F0CA7"/>
    <w:rsid w:val="4F9216DF"/>
    <w:rsid w:val="51592034"/>
    <w:rsid w:val="53152F1F"/>
    <w:rsid w:val="548F615C"/>
    <w:rsid w:val="5571245F"/>
    <w:rsid w:val="55CB5F7D"/>
    <w:rsid w:val="58DD03BD"/>
    <w:rsid w:val="590E0267"/>
    <w:rsid w:val="59DB78BF"/>
    <w:rsid w:val="5B6F6F9D"/>
    <w:rsid w:val="5B807F43"/>
    <w:rsid w:val="5CF670BD"/>
    <w:rsid w:val="5EC40CE5"/>
    <w:rsid w:val="5F023593"/>
    <w:rsid w:val="60507E95"/>
    <w:rsid w:val="6717562A"/>
    <w:rsid w:val="673E3050"/>
    <w:rsid w:val="67584F69"/>
    <w:rsid w:val="68090D38"/>
    <w:rsid w:val="6AE57A7B"/>
    <w:rsid w:val="6B1F7DE3"/>
    <w:rsid w:val="6B4050EE"/>
    <w:rsid w:val="6C691E50"/>
    <w:rsid w:val="6D8F101A"/>
    <w:rsid w:val="6DAD262D"/>
    <w:rsid w:val="6E955BB2"/>
    <w:rsid w:val="732066EF"/>
    <w:rsid w:val="74112BAB"/>
    <w:rsid w:val="758D011E"/>
    <w:rsid w:val="77531FFB"/>
    <w:rsid w:val="77765208"/>
    <w:rsid w:val="77BD5F03"/>
    <w:rsid w:val="7871000B"/>
    <w:rsid w:val="78FF13DE"/>
    <w:rsid w:val="7A823ABA"/>
    <w:rsid w:val="7B6950CA"/>
    <w:rsid w:val="7CBB4AB6"/>
    <w:rsid w:val="7D5806C9"/>
    <w:rsid w:val="7EC45EE7"/>
    <w:rsid w:val="7F9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tabs>
        <w:tab w:val="left" w:pos="2760"/>
      </w:tabs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abs>
        <w:tab w:val="left" w:pos="2760"/>
      </w:tabs>
      <w:adjustRightInd w:val="0"/>
    </w:pPr>
    <w:rPr>
      <w:rFonts w:ascii="宋体" w:hAnsi="Courier New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Lines="0" w:afterAutospacing="0" w:line="240" w:lineRule="auto"/>
      <w:ind w:firstLine="0" w:firstLineChars="0"/>
      <w:jc w:val="center"/>
    </w:pPr>
    <w:rPr>
      <w:rFonts w:ascii="Times New Roman" w:hAnsi="Times New Roman" w:eastAsia="宋体" w:cs="Times New Roman"/>
      <w:sz w:val="21"/>
      <w:szCs w:val="21"/>
    </w:rPr>
  </w:style>
  <w:style w:type="paragraph" w:styleId="7">
    <w:name w:val="Body Text Indent"/>
    <w:basedOn w:val="1"/>
    <w:next w:val="8"/>
    <w:unhideWhenUsed/>
    <w:qFormat/>
    <w:uiPriority w:val="99"/>
    <w:pPr>
      <w:spacing w:after="120" w:afterLines="0" w:afterAutospacing="0"/>
      <w:ind w:left="420" w:leftChars="200"/>
    </w:pPr>
  </w:style>
  <w:style w:type="paragraph" w:styleId="8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Plain Text"/>
    <w:basedOn w:val="1"/>
    <w:qFormat/>
    <w:uiPriority w:val="0"/>
    <w:rPr>
      <w:rFonts w:ascii="宋体" w:cs="Courier New"/>
      <w:szCs w:val="21"/>
    </w:rPr>
  </w:style>
  <w:style w:type="paragraph" w:styleId="10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List"/>
    <w:basedOn w:val="1"/>
    <w:qFormat/>
    <w:uiPriority w:val="0"/>
    <w:pPr>
      <w:ind w:left="420" w:hanging="420"/>
    </w:pPr>
  </w:style>
  <w:style w:type="paragraph" w:styleId="14">
    <w:name w:val="Body Text 2"/>
    <w:basedOn w:val="1"/>
    <w:qFormat/>
    <w:uiPriority w:val="0"/>
    <w:pPr>
      <w:spacing w:after="120" w:afterLines="0" w:line="480" w:lineRule="auto"/>
    </w:pPr>
    <w:rPr>
      <w:rFonts w:eastAsia="仿宋_GB2312"/>
    </w:rPr>
  </w:style>
  <w:style w:type="paragraph" w:styleId="15">
    <w:name w:val="Body Text First Indent 2"/>
    <w:basedOn w:val="1"/>
    <w:next w:val="7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样式 首行缩进:  2 字符1"/>
    <w:basedOn w:val="1"/>
    <w:qFormat/>
    <w:uiPriority w:val="0"/>
    <w:pPr>
      <w:spacing w:line="360" w:lineRule="auto"/>
      <w:ind w:firstLine="200" w:firstLineChars="200"/>
    </w:pPr>
    <w:rPr>
      <w:rFonts w:cs="宋体"/>
      <w:sz w:val="24"/>
      <w:szCs w:val="20"/>
    </w:rPr>
  </w:style>
  <w:style w:type="paragraph" w:customStyle="1" w:styleId="20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22">
    <w:name w:val="List Paragraph"/>
    <w:basedOn w:val="1"/>
    <w:qFormat/>
    <w:uiPriority w:val="99"/>
  </w:style>
  <w:style w:type="paragraph" w:customStyle="1" w:styleId="23">
    <w:name w:val="1正文段落"/>
    <w:basedOn w:val="1"/>
    <w:qFormat/>
    <w:uiPriority w:val="99"/>
    <w:pPr>
      <w:spacing w:line="360" w:lineRule="auto"/>
      <w:ind w:firstLine="200" w:firstLineChars="200"/>
    </w:pPr>
    <w:rPr>
      <w:snapToGrid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2133</Words>
  <Characters>2302</Characters>
  <Lines>0</Lines>
  <Paragraphs>0</Paragraphs>
  <TotalTime>36</TotalTime>
  <ScaleCrop>false</ScaleCrop>
  <LinksUpToDate>false</LinksUpToDate>
  <CharactersWithSpaces>2350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2021-04-12T02:19:00Z</dcterms:created>
  <dc:creator>xinjian</dc:creator>
  <cp:lastModifiedBy>Administrator</cp:lastModifiedBy>
  <cp:lastPrinted>2024-04-26T02:27:52Z</cp:lastPrinted>
  <dcterms:modified xsi:type="dcterms:W3CDTF">2024-04-26T03:56:52Z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3EC86990D1D943A7859B2C6541DD07A6</vt:lpwstr>
  </property>
</Properties>
</file>