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ind w:firstLine="720" w:firstLineChars="200"/>
        <w:rPr>
          <w:rFonts w:ascii="Times New Roman" w:hAnsi="Times New Roman" w:eastAsia="仿宋_GB2312" w:cs="Times New Roman"/>
          <w:color w:val="auto"/>
          <w:sz w:val="36"/>
          <w:szCs w:val="36"/>
        </w:rPr>
      </w:pPr>
      <w:bookmarkStart w:id="0" w:name="_Hlk57883707"/>
      <w:bookmarkStart w:id="13" w:name="_GoBack"/>
      <w:bookmarkEnd w:id="13"/>
    </w:p>
    <w:p>
      <w:pPr>
        <w:adjustRightInd w:val="0"/>
        <w:snapToGrid w:val="0"/>
        <w:spacing w:line="360" w:lineRule="auto"/>
        <w:ind w:firstLine="720" w:firstLineChars="200"/>
        <w:rPr>
          <w:rFonts w:ascii="Times New Roman" w:hAnsi="Times New Roman" w:eastAsia="仿宋_GB2312" w:cs="Times New Roman"/>
          <w:color w:val="auto"/>
          <w:sz w:val="36"/>
          <w:szCs w:val="36"/>
        </w:rPr>
      </w:pPr>
    </w:p>
    <w:p>
      <w:pPr>
        <w:adjustRightInd w:val="0"/>
        <w:snapToGrid w:val="0"/>
        <w:spacing w:line="360" w:lineRule="auto"/>
        <w:ind w:firstLine="720" w:firstLineChars="200"/>
        <w:rPr>
          <w:rFonts w:ascii="Times New Roman" w:hAnsi="Times New Roman" w:eastAsia="仿宋_GB2312" w:cs="Times New Roman"/>
          <w:color w:val="auto"/>
          <w:sz w:val="36"/>
          <w:szCs w:val="36"/>
        </w:rPr>
      </w:pPr>
    </w:p>
    <w:p>
      <w:pPr>
        <w:adjustRightInd w:val="0"/>
        <w:snapToGrid w:val="0"/>
        <w:spacing w:line="360" w:lineRule="auto"/>
        <w:ind w:firstLine="720" w:firstLineChars="200"/>
        <w:rPr>
          <w:rFonts w:ascii="Times New Roman" w:hAnsi="Times New Roman" w:eastAsia="仿宋_GB2312" w:cs="Times New Roman"/>
          <w:color w:val="auto"/>
          <w:sz w:val="36"/>
          <w:szCs w:val="36"/>
        </w:rPr>
      </w:pPr>
    </w:p>
    <w:bookmarkEnd w:id="0"/>
    <w:p>
      <w:pPr>
        <w:adjustRightInd w:val="0"/>
        <w:snapToGrid w:val="0"/>
        <w:spacing w:line="240" w:lineRule="auto"/>
        <w:ind w:firstLine="0" w:firstLineChars="0"/>
        <w:jc w:val="center"/>
        <w:outlineLvl w:val="0"/>
        <w:rPr>
          <w:rFonts w:ascii="Times New Roman" w:hAnsi="Times New Roman" w:eastAsia="方正小标宋_GBK" w:cs="Times New Roman"/>
          <w:bCs/>
          <w:color w:val="auto"/>
          <w:sz w:val="72"/>
          <w:szCs w:val="72"/>
        </w:rPr>
      </w:pPr>
      <w:r>
        <w:rPr>
          <w:rFonts w:ascii="Times New Roman" w:hAnsi="Times New Roman" w:eastAsia="方正小标宋_GBK" w:cs="Times New Roman"/>
          <w:bCs/>
          <w:color w:val="auto"/>
          <w:sz w:val="72"/>
          <w:szCs w:val="72"/>
        </w:rPr>
        <w:t>建设项目环境影响报告表</w:t>
      </w:r>
    </w:p>
    <w:p>
      <w:pPr>
        <w:adjustRightInd w:val="0"/>
        <w:snapToGrid w:val="0"/>
        <w:spacing w:before="192" w:beforeLines="80" w:line="360" w:lineRule="auto"/>
        <w:ind w:firstLine="0" w:firstLineChars="0"/>
        <w:jc w:val="center"/>
        <w:rPr>
          <w:rFonts w:hint="eastAsia" w:ascii="楷体_GB2312" w:hAnsi="Times New Roman" w:eastAsia="楷体_GB2312" w:cs="Times New Roman"/>
          <w:bCs/>
          <w:color w:val="auto"/>
          <w:sz w:val="48"/>
          <w:szCs w:val="48"/>
        </w:rPr>
      </w:pPr>
      <w:bookmarkStart w:id="1" w:name="_Hlk57883728"/>
      <w:r>
        <w:rPr>
          <w:rFonts w:hint="eastAsia" w:ascii="楷体_GB2312" w:hAnsi="Times New Roman" w:eastAsia="楷体_GB2312" w:cs="Times New Roman"/>
          <w:bCs/>
          <w:color w:val="auto"/>
          <w:sz w:val="48"/>
          <w:szCs w:val="48"/>
        </w:rPr>
        <w:t>（生态影响类）</w:t>
      </w:r>
    </w:p>
    <w:p>
      <w:pPr>
        <w:adjustRightInd w:val="0"/>
        <w:snapToGrid w:val="0"/>
        <w:spacing w:line="360" w:lineRule="auto"/>
        <w:ind w:firstLine="0" w:firstLineChars="0"/>
        <w:rPr>
          <w:rFonts w:ascii="Times New Roman" w:hAnsi="Times New Roman" w:eastAsia="宋体" w:cs="Times New Roman"/>
          <w:color w:val="auto"/>
          <w:sz w:val="24"/>
        </w:rPr>
      </w:pPr>
    </w:p>
    <w:p>
      <w:pPr>
        <w:adjustRightInd w:val="0"/>
        <w:snapToGrid w:val="0"/>
        <w:spacing w:line="360" w:lineRule="auto"/>
        <w:ind w:firstLine="1040" w:firstLineChars="200"/>
        <w:jc w:val="center"/>
        <w:rPr>
          <w:rFonts w:ascii="Times New Roman" w:hAnsi="Times New Roman" w:eastAsia="仿宋" w:cs="Times New Roman"/>
          <w:color w:val="auto"/>
          <w:sz w:val="52"/>
          <w:szCs w:val="52"/>
        </w:rPr>
      </w:pPr>
    </w:p>
    <w:p>
      <w:pPr>
        <w:adjustRightInd w:val="0"/>
        <w:snapToGrid w:val="0"/>
        <w:spacing w:line="360" w:lineRule="auto"/>
        <w:ind w:firstLine="880" w:firstLineChars="200"/>
        <w:rPr>
          <w:rFonts w:ascii="Times New Roman" w:hAnsi="Times New Roman" w:eastAsia="仿宋" w:cs="Times New Roman"/>
          <w:color w:val="auto"/>
          <w:sz w:val="44"/>
          <w:szCs w:val="44"/>
        </w:rPr>
      </w:pPr>
    </w:p>
    <w:p>
      <w:pPr>
        <w:widowControl w:val="0"/>
        <w:adjustRightInd w:val="0"/>
        <w:snapToGrid w:val="0"/>
        <w:spacing w:after="120" w:line="360" w:lineRule="auto"/>
        <w:ind w:left="480" w:leftChars="200" w:firstLine="480" w:firstLineChars="200"/>
        <w:jc w:val="both"/>
        <w:rPr>
          <w:rFonts w:ascii="Times New Roman" w:hAnsi="Times New Roman" w:eastAsia="宋体" w:cs="Times New Roman"/>
          <w:color w:val="auto"/>
          <w:kern w:val="2"/>
          <w:sz w:val="24"/>
          <w:szCs w:val="24"/>
          <w:lang w:val="en-US" w:eastAsia="zh-CN" w:bidi="ar-SA"/>
        </w:rPr>
      </w:pPr>
    </w:p>
    <w:p>
      <w:pPr>
        <w:widowControl w:val="0"/>
        <w:adjustRightInd w:val="0"/>
        <w:snapToGrid w:val="0"/>
        <w:spacing w:after="120" w:line="360" w:lineRule="auto"/>
        <w:ind w:left="480" w:leftChars="200" w:firstLine="480" w:firstLineChars="200"/>
        <w:jc w:val="both"/>
        <w:rPr>
          <w:rFonts w:ascii="Times New Roman" w:hAnsi="Times New Roman" w:eastAsia="宋体" w:cs="Times New Roman"/>
          <w:color w:val="auto"/>
          <w:kern w:val="2"/>
          <w:sz w:val="24"/>
          <w:szCs w:val="24"/>
          <w:lang w:val="en-US" w:eastAsia="zh-CN" w:bidi="ar-SA"/>
        </w:rPr>
      </w:pPr>
    </w:p>
    <w:bookmarkEnd w:id="1"/>
    <w:p>
      <w:pPr>
        <w:keepNext w:val="0"/>
        <w:keepLines w:val="0"/>
        <w:pageBreakBefore w:val="0"/>
        <w:widowControl w:val="0"/>
        <w:kinsoku/>
        <w:wordWrap/>
        <w:overflowPunct/>
        <w:topLinePunct w:val="0"/>
        <w:autoSpaceDE/>
        <w:autoSpaceDN/>
        <w:bidi w:val="0"/>
        <w:adjustRightInd w:val="0"/>
        <w:snapToGrid w:val="0"/>
        <w:spacing w:line="288" w:lineRule="auto"/>
        <w:ind w:firstLine="308" w:firstLineChars="100"/>
        <w:jc w:val="left"/>
        <w:textAlignment w:val="auto"/>
        <w:rPr>
          <w:rFonts w:hint="default" w:eastAsia="仿宋_GB2312" w:cs="Times New Roman"/>
          <w:color w:val="auto"/>
          <w:spacing w:val="-6"/>
          <w:sz w:val="32"/>
          <w:szCs w:val="32"/>
          <w:u w:val="single"/>
          <w:lang w:val="en-US" w:eastAsia="zh-CN"/>
        </w:rPr>
      </w:pPr>
      <w:r>
        <w:rPr>
          <w:rFonts w:ascii="Times New Roman" w:hAnsi="Times New Roman" w:eastAsia="仿宋_GB2312" w:cs="Times New Roman"/>
          <w:color w:val="auto"/>
          <w:spacing w:val="-6"/>
          <w:sz w:val="32"/>
          <w:szCs w:val="32"/>
        </w:rPr>
        <w:t>项目名称：</w:t>
      </w:r>
      <w:r>
        <w:rPr>
          <w:rFonts w:hint="eastAsia" w:eastAsia="仿宋_GB2312" w:cs="Times New Roman"/>
          <w:color w:val="auto"/>
          <w:spacing w:val="-6"/>
          <w:sz w:val="32"/>
          <w:szCs w:val="32"/>
          <w:u w:val="single"/>
          <w:lang w:val="en-US" w:eastAsia="zh-CN"/>
        </w:rPr>
        <w:t xml:space="preserve">       </w:t>
      </w:r>
      <w:r>
        <w:rPr>
          <w:rFonts w:hint="eastAsia" w:eastAsia="仿宋_GB2312" w:cs="Times New Roman"/>
          <w:color w:val="auto"/>
          <w:spacing w:val="-6"/>
          <w:sz w:val="32"/>
          <w:szCs w:val="32"/>
          <w:u w:val="single"/>
          <w:lang w:eastAsia="zh-CN"/>
        </w:rPr>
        <w:t>霍城县果子沟阿力麻里项目（一期）</w:t>
      </w:r>
      <w:r>
        <w:rPr>
          <w:rFonts w:hint="eastAsia" w:eastAsia="仿宋_GB2312" w:cs="Times New Roman"/>
          <w:color w:val="auto"/>
          <w:spacing w:val="-6"/>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firstLine="308" w:firstLineChars="100"/>
        <w:jc w:val="left"/>
        <w:textAlignment w:val="auto"/>
        <w:rPr>
          <w:rFonts w:hint="eastAsia" w:ascii="Times New Roman" w:hAnsi="Times New Roman" w:eastAsia="仿宋_GB2312" w:cs="Times New Roman"/>
          <w:color w:val="auto"/>
          <w:spacing w:val="-6"/>
          <w:sz w:val="32"/>
          <w:szCs w:val="32"/>
          <w:u w:val="single"/>
          <w:lang w:val="en-US" w:eastAsia="zh-CN"/>
        </w:rPr>
      </w:pPr>
      <w:r>
        <w:rPr>
          <w:rFonts w:ascii="Times New Roman" w:hAnsi="Times New Roman" w:eastAsia="仿宋_GB2312" w:cs="Times New Roman"/>
          <w:color w:val="auto"/>
          <w:spacing w:val="-6"/>
          <w:sz w:val="32"/>
          <w:szCs w:val="32"/>
        </w:rPr>
        <w:t>建设单位（盖章）：</w:t>
      </w:r>
      <w:r>
        <w:rPr>
          <w:rFonts w:hint="eastAsia" w:ascii="Times New Roman" w:hAnsi="Times New Roman" w:eastAsia="仿宋_GB2312" w:cs="Times New Roman"/>
          <w:color w:val="auto"/>
          <w:spacing w:val="-6"/>
          <w:sz w:val="32"/>
          <w:szCs w:val="32"/>
          <w:u w:val="single"/>
          <w:lang w:val="en-US" w:eastAsia="zh-CN"/>
        </w:rPr>
        <w:t>霍城县古道云桥文化旅游投资有限责任公司</w:t>
      </w:r>
    </w:p>
    <w:p>
      <w:pPr>
        <w:keepNext w:val="0"/>
        <w:keepLines w:val="0"/>
        <w:pageBreakBefore w:val="0"/>
        <w:widowControl w:val="0"/>
        <w:kinsoku/>
        <w:wordWrap/>
        <w:overflowPunct/>
        <w:topLinePunct w:val="0"/>
        <w:autoSpaceDE/>
        <w:autoSpaceDN/>
        <w:bidi w:val="0"/>
        <w:adjustRightInd w:val="0"/>
        <w:snapToGrid w:val="0"/>
        <w:spacing w:line="288" w:lineRule="auto"/>
        <w:ind w:firstLine="308" w:firstLineChars="100"/>
        <w:jc w:val="left"/>
        <w:textAlignment w:val="auto"/>
        <w:rPr>
          <w:rFonts w:hint="default" w:ascii="Times New Roman" w:hAnsi="Times New Roman" w:eastAsia="仿宋_GB2312" w:cs="Times New Roman"/>
          <w:color w:val="auto"/>
          <w:sz w:val="36"/>
          <w:szCs w:val="36"/>
          <w:u w:val="single"/>
          <w:lang w:val="en-US" w:eastAsia="zh-CN"/>
        </w:rPr>
      </w:pPr>
      <w:r>
        <w:rPr>
          <w:rFonts w:ascii="Times New Roman" w:hAnsi="Times New Roman" w:eastAsia="仿宋_GB2312" w:cs="Times New Roman"/>
          <w:color w:val="auto"/>
          <w:spacing w:val="-6"/>
          <w:sz w:val="32"/>
          <w:szCs w:val="32"/>
        </w:rPr>
        <w:t>编制日期：</w:t>
      </w:r>
      <w:r>
        <w:rPr>
          <w:rFonts w:hint="eastAsia" w:eastAsia="仿宋_GB2312" w:cs="Times New Roman"/>
          <w:color w:val="auto"/>
          <w:spacing w:val="-6"/>
          <w:sz w:val="32"/>
          <w:szCs w:val="32"/>
          <w:u w:val="single"/>
          <w:lang w:val="en-US" w:eastAsia="zh-CN"/>
        </w:rPr>
        <w:t xml:space="preserve">                 </w:t>
      </w:r>
      <w:r>
        <w:rPr>
          <w:rFonts w:ascii="Times New Roman" w:hAnsi="Times New Roman" w:eastAsia="仿宋_GB2312" w:cs="Times New Roman"/>
          <w:color w:val="auto"/>
          <w:spacing w:val="-6"/>
          <w:sz w:val="32"/>
          <w:szCs w:val="32"/>
          <w:u w:val="single"/>
        </w:rPr>
        <w:t>202</w:t>
      </w:r>
      <w:r>
        <w:rPr>
          <w:rFonts w:hint="eastAsia" w:ascii="Times New Roman" w:hAnsi="Times New Roman" w:eastAsia="仿宋_GB2312" w:cs="Times New Roman"/>
          <w:color w:val="auto"/>
          <w:spacing w:val="-6"/>
          <w:sz w:val="32"/>
          <w:szCs w:val="32"/>
          <w:u w:val="single"/>
          <w:lang w:val="en-US" w:eastAsia="zh-CN"/>
        </w:rPr>
        <w:t>4</w:t>
      </w:r>
      <w:r>
        <w:rPr>
          <w:rFonts w:ascii="Times New Roman" w:hAnsi="Times New Roman" w:eastAsia="仿宋_GB2312" w:cs="Times New Roman"/>
          <w:color w:val="auto"/>
          <w:spacing w:val="-6"/>
          <w:sz w:val="32"/>
          <w:szCs w:val="32"/>
          <w:u w:val="single"/>
        </w:rPr>
        <w:t>年</w:t>
      </w:r>
      <w:r>
        <w:rPr>
          <w:rFonts w:hint="eastAsia" w:eastAsia="仿宋_GB2312" w:cs="Times New Roman"/>
          <w:color w:val="auto"/>
          <w:spacing w:val="-6"/>
          <w:sz w:val="32"/>
          <w:szCs w:val="32"/>
          <w:u w:val="single"/>
          <w:lang w:val="en-US" w:eastAsia="zh-CN"/>
        </w:rPr>
        <w:t>5</w:t>
      </w:r>
      <w:r>
        <w:rPr>
          <w:rFonts w:ascii="Times New Roman" w:hAnsi="Times New Roman" w:eastAsia="仿宋_GB2312" w:cs="Times New Roman"/>
          <w:color w:val="auto"/>
          <w:spacing w:val="-6"/>
          <w:sz w:val="32"/>
          <w:szCs w:val="32"/>
          <w:u w:val="single"/>
        </w:rPr>
        <w:t>月</w:t>
      </w:r>
      <w:r>
        <w:rPr>
          <w:rFonts w:hint="eastAsia" w:eastAsia="仿宋_GB2312" w:cs="Times New Roman"/>
          <w:color w:val="auto"/>
          <w:spacing w:val="-6"/>
          <w:sz w:val="32"/>
          <w:szCs w:val="32"/>
          <w:u w:val="single"/>
          <w:lang w:val="en-US" w:eastAsia="zh-CN"/>
        </w:rPr>
        <w:t xml:space="preserve">                   </w:t>
      </w:r>
    </w:p>
    <w:p>
      <w:pPr>
        <w:adjustRightInd w:val="0"/>
        <w:snapToGrid w:val="0"/>
        <w:spacing w:line="288" w:lineRule="auto"/>
        <w:ind w:firstLine="720" w:firstLineChars="200"/>
        <w:rPr>
          <w:rFonts w:ascii="Times New Roman" w:hAnsi="Times New Roman" w:eastAsia="仿宋_GB2312" w:cs="Times New Roman"/>
          <w:color w:val="auto"/>
          <w:sz w:val="36"/>
          <w:szCs w:val="36"/>
          <w:u w:val="single"/>
        </w:rPr>
      </w:pPr>
    </w:p>
    <w:p>
      <w:pPr>
        <w:adjustRightInd w:val="0"/>
        <w:snapToGrid w:val="0"/>
        <w:spacing w:line="288" w:lineRule="auto"/>
        <w:ind w:firstLine="720" w:firstLineChars="200"/>
        <w:rPr>
          <w:rFonts w:ascii="Times New Roman" w:hAnsi="Times New Roman" w:eastAsia="仿宋_GB2312" w:cs="Times New Roman"/>
          <w:color w:val="auto"/>
          <w:sz w:val="36"/>
          <w:szCs w:val="36"/>
        </w:rPr>
      </w:pPr>
    </w:p>
    <w:p>
      <w:pPr>
        <w:adjustRightInd w:val="0"/>
        <w:snapToGrid w:val="0"/>
        <w:spacing w:line="288" w:lineRule="auto"/>
        <w:ind w:firstLine="720" w:firstLineChars="200"/>
        <w:rPr>
          <w:rFonts w:hint="eastAsia" w:ascii="Times New Roman" w:hAnsi="Times New Roman" w:eastAsia="仿宋_GB2312" w:cs="Times New Roman"/>
          <w:color w:val="auto"/>
          <w:sz w:val="36"/>
          <w:szCs w:val="36"/>
        </w:rPr>
      </w:pPr>
    </w:p>
    <w:p>
      <w:pPr>
        <w:adjustRightInd w:val="0"/>
        <w:snapToGrid w:val="0"/>
        <w:spacing w:line="288" w:lineRule="auto"/>
        <w:ind w:firstLine="720" w:firstLineChars="200"/>
        <w:rPr>
          <w:rFonts w:ascii="Times New Roman" w:hAnsi="Times New Roman" w:eastAsia="仿宋_GB2312" w:cs="Times New Roman"/>
          <w:color w:val="auto"/>
          <w:sz w:val="36"/>
          <w:szCs w:val="36"/>
        </w:rPr>
      </w:pPr>
    </w:p>
    <w:p>
      <w:pPr>
        <w:adjustRightInd w:val="0"/>
        <w:snapToGrid w:val="0"/>
        <w:spacing w:line="288" w:lineRule="auto"/>
        <w:ind w:firstLine="0" w:firstLineChars="0"/>
        <w:jc w:val="center"/>
        <w:rPr>
          <w:rFonts w:ascii="Times New Roman" w:hAnsi="Times New Roman" w:eastAsia="楷体_GB2312" w:cs="Times New Roman"/>
          <w:color w:val="auto"/>
          <w:sz w:val="36"/>
          <w:szCs w:val="36"/>
        </w:rPr>
      </w:pPr>
    </w:p>
    <w:p>
      <w:pPr>
        <w:adjustRightInd w:val="0"/>
        <w:snapToGrid w:val="0"/>
        <w:spacing w:line="288" w:lineRule="auto"/>
        <w:ind w:firstLine="0" w:firstLineChars="0"/>
        <w:jc w:val="center"/>
        <w:rPr>
          <w:rFonts w:ascii="Times New Roman" w:hAnsi="Times New Roman" w:eastAsia="楷体_GB2312" w:cs="Times New Roman"/>
          <w:color w:val="auto"/>
          <w:sz w:val="36"/>
          <w:szCs w:val="36"/>
        </w:rPr>
      </w:pPr>
      <w:r>
        <w:rPr>
          <w:rFonts w:ascii="Times New Roman" w:hAnsi="Times New Roman" w:eastAsia="楷体_GB2312" w:cs="Times New Roman"/>
          <w:color w:val="auto"/>
          <w:sz w:val="36"/>
          <w:szCs w:val="36"/>
        </w:rPr>
        <w:t>中华人民共和国生态环境部制</w:t>
      </w:r>
    </w:p>
    <w:p>
      <w:pPr>
        <w:adjustRightInd w:val="0"/>
        <w:snapToGrid w:val="0"/>
        <w:spacing w:line="288" w:lineRule="auto"/>
        <w:ind w:firstLine="1040"/>
        <w:rPr>
          <w:rFonts w:hint="default" w:ascii="Times New Roman" w:hAnsi="Times New Roman" w:eastAsia="FangSong_GB2312" w:cs="Times New Roman"/>
          <w:color w:val="auto"/>
          <w:sz w:val="36"/>
          <w:szCs w:val="36"/>
        </w:rPr>
      </w:pPr>
    </w:p>
    <w:p>
      <w:pPr>
        <w:bidi w:val="0"/>
        <w:rPr>
          <w:rFonts w:hint="default"/>
          <w:color w:val="auto"/>
        </w:rPr>
      </w:pPr>
    </w:p>
    <w:p>
      <w:pPr>
        <w:bidi w:val="0"/>
        <w:rPr>
          <w:rFonts w:hint="default"/>
          <w:color w:val="auto"/>
          <w:lang w:eastAsia="zh-CN"/>
        </w:rPr>
      </w:pPr>
    </w:p>
    <w:p>
      <w:pPr>
        <w:bidi w:val="0"/>
        <w:rPr>
          <w:rFonts w:hint="default"/>
          <w:color w:val="auto"/>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ind w:left="0" w:leftChars="0" w:firstLine="0" w:firstLineChars="0"/>
        <w:jc w:val="center"/>
        <w:outlineLvl w:val="0"/>
        <w:rPr>
          <w:rFonts w:hint="default" w:ascii="Times New Roman" w:hAnsi="Times New Roman" w:eastAsia="黑体" w:cs="Times New Roman"/>
          <w:snapToGrid w:val="0"/>
          <w:color w:val="auto"/>
          <w:sz w:val="30"/>
          <w:szCs w:val="30"/>
        </w:rPr>
      </w:pPr>
      <w:bookmarkStart w:id="2" w:name="_Toc26561"/>
      <w:r>
        <w:rPr>
          <w:rFonts w:hint="default" w:ascii="Times New Roman" w:hAnsi="Times New Roman" w:eastAsia="黑体" w:cs="Times New Roman"/>
          <w:snapToGrid w:val="0"/>
          <w:color w:val="auto"/>
          <w:sz w:val="30"/>
          <w:szCs w:val="30"/>
        </w:rPr>
        <w:t>一、建设项目基本情况</w:t>
      </w:r>
      <w:bookmarkEnd w:id="2"/>
    </w:p>
    <w:tbl>
      <w:tblPr>
        <w:tblStyle w:val="12"/>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395"/>
        <w:gridCol w:w="1768"/>
        <w:gridCol w:w="2219"/>
        <w:gridCol w:w="1649"/>
        <w:gridCol w:w="284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80" w:hRule="atLeast"/>
          <w:jc w:val="center"/>
        </w:trPr>
        <w:tc>
          <w:tcPr>
            <w:tcW w:w="121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3780" w:type="pct"/>
            <w:gridSpan w:val="3"/>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eastAsia="zh-CN"/>
              </w:rPr>
            </w:pPr>
            <w:r>
              <w:rPr>
                <w:rFonts w:hint="eastAsia" w:cs="Times New Roman"/>
                <w:color w:val="auto"/>
                <w:sz w:val="24"/>
                <w:szCs w:val="24"/>
                <w:lang w:eastAsia="zh-CN"/>
              </w:rPr>
              <w:t>霍城县果子沟阿力麻里项目（</w:t>
            </w:r>
            <w:r>
              <w:rPr>
                <w:rFonts w:hint="eastAsia" w:cs="Times New Roman"/>
                <w:color w:val="auto"/>
                <w:sz w:val="24"/>
                <w:szCs w:val="24"/>
                <w:lang w:val="en-US" w:eastAsia="zh-CN"/>
              </w:rPr>
              <w:t>一期</w:t>
            </w:r>
            <w:r>
              <w:rPr>
                <w:rFonts w:hint="eastAsia" w:cs="Times New Roman"/>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3" w:hRule="atLeast"/>
          <w:jc w:val="center"/>
        </w:trPr>
        <w:tc>
          <w:tcPr>
            <w:tcW w:w="121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3780" w:type="pct"/>
            <w:gridSpan w:val="3"/>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2311-654023-22-01-653710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37" w:hRule="atLeast"/>
          <w:jc w:val="center"/>
        </w:trPr>
        <w:tc>
          <w:tcPr>
            <w:tcW w:w="121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1250"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highlight w:val="none"/>
                <w:lang w:val="en-US" w:eastAsia="zh-CN"/>
              </w:rPr>
              <w:t>海洋</w:t>
            </w:r>
          </w:p>
        </w:tc>
        <w:tc>
          <w:tcPr>
            <w:tcW w:w="929"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联系方式</w:t>
            </w:r>
          </w:p>
        </w:tc>
        <w:tc>
          <w:tcPr>
            <w:tcW w:w="1600"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highlight w:val="none"/>
                <w:lang w:val="en-US" w:eastAsia="zh-CN"/>
              </w:rPr>
              <w:t>18147124647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2" w:hRule="atLeast"/>
          <w:jc w:val="center"/>
        </w:trPr>
        <w:tc>
          <w:tcPr>
            <w:tcW w:w="121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3780" w:type="pct"/>
            <w:gridSpan w:val="3"/>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rPr>
            </w:pPr>
            <w:r>
              <w:rPr>
                <w:rFonts w:hint="eastAsia" w:cs="Times New Roman"/>
                <w:color w:val="auto"/>
                <w:sz w:val="24"/>
                <w:szCs w:val="24"/>
                <w:lang w:val="en-US" w:eastAsia="zh-CN"/>
              </w:rPr>
              <w:t>霍城县果子沟景区</w:t>
            </w:r>
            <w:r>
              <w:rPr>
                <w:rFonts w:hint="eastAsia" w:ascii="Times New Roman" w:hAnsi="Times New Roman" w:eastAsia="宋体" w:cs="Times New Roman"/>
                <w:color w:val="auto"/>
                <w:sz w:val="24"/>
                <w:szCs w:val="24"/>
                <w:lang w:val="en-US" w:eastAsia="zh-CN"/>
              </w:rPr>
              <w:t>内</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121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3780" w:type="pct"/>
            <w:gridSpan w:val="3"/>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项目区中心地理位置坐标：</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lang w:val="en-US" w:eastAsia="zh-CN"/>
              </w:rPr>
            </w:pPr>
            <w:r>
              <w:rPr>
                <w:rFonts w:hint="eastAsia"/>
                <w:color w:val="auto"/>
                <w:sz w:val="24"/>
                <w:szCs w:val="24"/>
                <w:lang w:val="en-US" w:eastAsia="zh-CN"/>
              </w:rPr>
              <w:t>经度：</w:t>
            </w:r>
            <w:r>
              <w:rPr>
                <w:rFonts w:hint="default" w:ascii="Times New Roman" w:hAnsi="Times New Roman" w:cs="Times New Roman"/>
                <w:color w:val="auto"/>
                <w:sz w:val="24"/>
                <w:szCs w:val="24"/>
                <w:lang w:val="en-US" w:eastAsia="zh-CN"/>
              </w:rPr>
              <w:t>81°</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lang w:val="en-US" w:eastAsia="zh-CN"/>
              </w:rPr>
              <w:t>9′</w:t>
            </w:r>
            <w:r>
              <w:rPr>
                <w:rFonts w:hint="eastAsia" w:ascii="Times New Roman" w:hAnsi="Times New Roman" w:cs="Times New Roman"/>
                <w:color w:val="auto"/>
                <w:sz w:val="24"/>
                <w:szCs w:val="24"/>
                <w:lang w:val="en-US" w:eastAsia="zh-CN"/>
              </w:rPr>
              <w:t>58</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102</w:t>
            </w:r>
            <w:r>
              <w:rPr>
                <w:rFonts w:hint="default" w:ascii="Times New Roman" w:hAnsi="Times New Roman" w:cs="Times New Roman"/>
                <w:color w:val="auto"/>
                <w:sz w:val="24"/>
                <w:szCs w:val="24"/>
                <w:lang w:val="en-US" w:eastAsia="zh-CN"/>
              </w:rPr>
              <w:t>″，纬度：44°2</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53.211</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索道下站坐标：81°9′15.798″，纬度：44°29′13.888″；</w:t>
            </w:r>
          </w:p>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color w:val="auto"/>
                <w:lang w:val="en-US" w:eastAsia="zh-CN"/>
              </w:rPr>
            </w:pPr>
            <w:r>
              <w:rPr>
                <w:rFonts w:hint="eastAsia"/>
                <w:color w:val="auto"/>
                <w:sz w:val="24"/>
                <w:szCs w:val="24"/>
                <w:lang w:val="en-US" w:eastAsia="zh-CN"/>
              </w:rPr>
              <w:t>索道上站坐标：81°10′6.618″，纬度：44°28′47.406″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121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1250"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五十、社会事业与服务业-115、旅游开发-缆车、索道建设</w:t>
            </w:r>
          </w:p>
        </w:tc>
        <w:tc>
          <w:tcPr>
            <w:tcW w:w="929"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用地面积（</w:t>
            </w:r>
            <w:r>
              <w:rPr>
                <w:rFonts w:hint="default" w:ascii="Times New Roman" w:hAnsi="Times New Roman" w:cs="Times New Roman"/>
                <w:color w:val="auto"/>
                <w:sz w:val="24"/>
                <w:szCs w:val="24"/>
                <w:lang w:val="en-US" w:eastAsia="zh-CN"/>
              </w:rPr>
              <w:t>h</w:t>
            </w:r>
            <w:r>
              <w:rPr>
                <w:rFonts w:hint="eastAsia" w:cs="Times New Roman"/>
                <w:color w:val="auto"/>
                <w:sz w:val="24"/>
                <w:szCs w:val="24"/>
                <w:lang w:eastAsia="zh-CN"/>
              </w:rPr>
              <w:t>m</w:t>
            </w:r>
            <w:r>
              <w:rPr>
                <w:rFonts w:hint="eastAsia" w:cs="Times New Roman"/>
                <w:color w:val="auto"/>
                <w:sz w:val="24"/>
                <w:szCs w:val="24"/>
                <w:vertAlign w:val="superscript"/>
                <w:lang w:eastAsia="zh-CN"/>
              </w:rPr>
              <w:t>2</w:t>
            </w:r>
            <w:r>
              <w:rPr>
                <w:rFonts w:hint="default" w:ascii="Times New Roman" w:hAnsi="Times New Roman" w:cs="Times New Roman"/>
                <w:color w:val="auto"/>
                <w:sz w:val="24"/>
                <w:szCs w:val="24"/>
              </w:rPr>
              <w:t>）</w:t>
            </w:r>
          </w:p>
        </w:tc>
        <w:tc>
          <w:tcPr>
            <w:tcW w:w="1600"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永久占地：</w:t>
            </w:r>
            <w:r>
              <w:rPr>
                <w:rFonts w:hint="eastAsia" w:cs="Times New Roman"/>
                <w:color w:val="auto"/>
                <w:sz w:val="24"/>
                <w:szCs w:val="24"/>
                <w:highlight w:val="none"/>
                <w:lang w:val="en-US" w:eastAsia="zh-CN"/>
              </w:rPr>
              <w:t>27.53</w:t>
            </w:r>
            <w:r>
              <w:rPr>
                <w:rFonts w:hint="eastAsia" w:ascii="Times New Roman" w:hAnsi="Times New Roman" w:eastAsia="宋体" w:cs="Times New Roman"/>
                <w:color w:val="auto"/>
                <w:sz w:val="24"/>
                <w:szCs w:val="24"/>
                <w:highlight w:val="none"/>
                <w:lang w:val="en-US" w:eastAsia="zh-CN"/>
              </w:rPr>
              <w:t>h</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1589" w:hRule="atLeast"/>
          <w:jc w:val="center"/>
        </w:trPr>
        <w:tc>
          <w:tcPr>
            <w:tcW w:w="121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1250"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sym w:font="Wingdings 2" w:char="0052"/>
            </w:r>
            <w:r>
              <w:rPr>
                <w:rFonts w:hint="default" w:ascii="Times New Roman" w:hAnsi="Times New Roman" w:cs="Times New Roman"/>
                <w:color w:val="auto"/>
                <w:sz w:val="24"/>
                <w:szCs w:val="24"/>
              </w:rPr>
              <w:t>新建</w:t>
            </w:r>
          </w:p>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迁建</w:t>
            </w:r>
          </w:p>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sym w:font="Wingdings 2" w:char="00A3"/>
            </w:r>
            <w:r>
              <w:rPr>
                <w:rFonts w:hint="default" w:ascii="Times New Roman" w:hAnsi="Times New Roman" w:cs="Times New Roman"/>
                <w:color w:val="auto"/>
                <w:sz w:val="24"/>
                <w:szCs w:val="24"/>
              </w:rPr>
              <w:t>改建</w:t>
            </w:r>
          </w:p>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sym w:font="Wingdings 2" w:char="00A3"/>
            </w:r>
            <w:r>
              <w:rPr>
                <w:rFonts w:hint="default" w:ascii="Times New Roman" w:hAnsi="Times New Roman" w:cs="Times New Roman"/>
                <w:color w:val="auto"/>
                <w:sz w:val="24"/>
                <w:szCs w:val="24"/>
              </w:rPr>
              <w:t>扩建</w:t>
            </w:r>
          </w:p>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sym w:font="Wingdings 2" w:char="00A3"/>
            </w:r>
            <w:r>
              <w:rPr>
                <w:rFonts w:hint="default" w:ascii="Times New Roman" w:hAnsi="Times New Roman" w:cs="Times New Roman"/>
                <w:color w:val="auto"/>
                <w:sz w:val="24"/>
                <w:szCs w:val="24"/>
              </w:rPr>
              <w:t>技术改造</w:t>
            </w:r>
          </w:p>
        </w:tc>
        <w:tc>
          <w:tcPr>
            <w:tcW w:w="929"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1600"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sym w:font="Wingdings 2" w:char="0052"/>
            </w:r>
            <w:r>
              <w:rPr>
                <w:rFonts w:hint="default" w:ascii="Times New Roman" w:hAnsi="Times New Roman" w:cs="Times New Roman"/>
                <w:color w:val="auto"/>
                <w:sz w:val="24"/>
                <w:szCs w:val="24"/>
              </w:rPr>
              <w:t>首次申报项目</w:t>
            </w:r>
          </w:p>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sym w:font="Wingdings 2" w:char="00A3"/>
            </w:r>
            <w:r>
              <w:rPr>
                <w:rFonts w:hint="default" w:ascii="Times New Roman" w:hAnsi="Times New Roman" w:cs="Times New Roman"/>
                <w:color w:val="auto"/>
                <w:sz w:val="24"/>
                <w:szCs w:val="24"/>
              </w:rPr>
              <w:t>不予批准后再次申报项目</w:t>
            </w:r>
          </w:p>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sym w:font="Wingdings 2" w:char="00A3"/>
            </w:r>
            <w:r>
              <w:rPr>
                <w:rFonts w:hint="default" w:ascii="Times New Roman" w:hAnsi="Times New Roman" w:cs="Times New Roman"/>
                <w:color w:val="auto"/>
                <w:sz w:val="24"/>
                <w:szCs w:val="24"/>
              </w:rPr>
              <w:t>超五年重新审核项目</w:t>
            </w:r>
          </w:p>
          <w:p>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color w:val="auto"/>
                <w:sz w:val="24"/>
                <w:szCs w:val="24"/>
              </w:rPr>
            </w:pPr>
            <w:r>
              <w:rPr>
                <w:rFonts w:hint="eastAsia" w:cs="Times New Roman"/>
                <w:color w:val="auto"/>
                <w:sz w:val="24"/>
                <w:szCs w:val="24"/>
                <w:lang w:eastAsia="zh-CN"/>
              </w:rPr>
              <w:sym w:font="Wingdings 2" w:char="00A3"/>
            </w:r>
            <w:r>
              <w:rPr>
                <w:rFonts w:hint="default" w:ascii="Times New Roman" w:hAnsi="Times New Roman" w:cs="Times New Roman"/>
                <w:color w:val="auto"/>
                <w:sz w:val="24"/>
                <w:szCs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23" w:hRule="atLeast"/>
          <w:jc w:val="center"/>
        </w:trPr>
        <w:tc>
          <w:tcPr>
            <w:tcW w:w="121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项目审批部门</w:t>
            </w:r>
          </w:p>
        </w:tc>
        <w:tc>
          <w:tcPr>
            <w:tcW w:w="1250"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lang w:val="en-US"/>
              </w:rPr>
            </w:pPr>
            <w:r>
              <w:rPr>
                <w:rFonts w:hint="eastAsia" w:cs="Times New Roman"/>
                <w:color w:val="auto"/>
                <w:sz w:val="24"/>
                <w:szCs w:val="24"/>
                <w:highlight w:val="none"/>
                <w:lang w:val="en-US" w:eastAsia="zh-CN"/>
              </w:rPr>
              <w:t>霍城县发展和改革委员会</w:t>
            </w:r>
          </w:p>
        </w:tc>
        <w:tc>
          <w:tcPr>
            <w:tcW w:w="929"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项目审批文号</w:t>
            </w:r>
          </w:p>
        </w:tc>
        <w:tc>
          <w:tcPr>
            <w:tcW w:w="1600"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lang w:val="en-US"/>
              </w:rPr>
            </w:pPr>
            <w:r>
              <w:rPr>
                <w:rFonts w:hint="eastAsia" w:cs="Times New Roman"/>
                <w:color w:val="auto"/>
                <w:sz w:val="24"/>
                <w:szCs w:val="24"/>
                <w:highlight w:val="none"/>
                <w:lang w:val="en-US" w:eastAsia="zh-CN"/>
              </w:rPr>
              <w:t>备案证号：2311081136654000000189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48" w:hRule="atLeast"/>
          <w:jc w:val="center"/>
        </w:trPr>
        <w:tc>
          <w:tcPr>
            <w:tcW w:w="121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12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74100</w:t>
            </w:r>
          </w:p>
        </w:tc>
        <w:tc>
          <w:tcPr>
            <w:tcW w:w="929"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1600"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olor w:val="auto"/>
                <w:sz w:val="24"/>
                <w:highlight w:val="none"/>
                <w:lang w:val="en-US" w:eastAsia="zh-CN"/>
              </w:rPr>
              <w:t>271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121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12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olor w:val="auto"/>
                <w:lang w:val="en-US" w:eastAsia="zh-CN"/>
              </w:rPr>
              <w:t>0.37</w:t>
            </w:r>
          </w:p>
        </w:tc>
        <w:tc>
          <w:tcPr>
            <w:tcW w:w="929"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1600"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02</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年</w:t>
            </w:r>
            <w:r>
              <w:rPr>
                <w:rFonts w:hint="eastAsia" w:cs="Times New Roman"/>
                <w:color w:val="auto"/>
                <w:sz w:val="24"/>
                <w:szCs w:val="24"/>
                <w:lang w:val="en-US" w:eastAsia="zh-CN"/>
              </w:rPr>
              <w:t>5</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2025年10</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施工期</w:t>
            </w:r>
            <w:r>
              <w:rPr>
                <w:rFonts w:hint="eastAsia" w:cs="Times New Roman"/>
                <w:color w:val="auto"/>
                <w:sz w:val="24"/>
                <w:szCs w:val="24"/>
                <w:lang w:val="en-US" w:eastAsia="zh-CN"/>
              </w:rPr>
              <w:t>1</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个月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703" w:hRule="atLeast"/>
          <w:jc w:val="center"/>
        </w:trPr>
        <w:tc>
          <w:tcPr>
            <w:tcW w:w="121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3780" w:type="pct"/>
            <w:gridSpan w:val="3"/>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sym w:font="Wingdings 2" w:char="0052"/>
            </w:r>
            <w:r>
              <w:rPr>
                <w:rFonts w:hint="default" w:ascii="Times New Roman" w:hAnsi="Times New Roman" w:cs="Times New Roman"/>
                <w:color w:val="auto"/>
                <w:sz w:val="24"/>
                <w:szCs w:val="24"/>
              </w:rPr>
              <w:t>否</w:t>
            </w:r>
          </w:p>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sym w:font="Wingdings 2" w:char="00A3"/>
            </w:r>
            <w:r>
              <w:rPr>
                <w:rFonts w:hint="default" w:ascii="Times New Roman" w:hAnsi="Times New Roman" w:cs="Times New Roman"/>
                <w:color w:val="auto"/>
                <w:sz w:val="24"/>
                <w:szCs w:val="24"/>
              </w:rPr>
              <w:t>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777" w:hRule="atLeast"/>
          <w:jc w:val="center"/>
        </w:trPr>
        <w:tc>
          <w:tcPr>
            <w:tcW w:w="1219" w:type="pct"/>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3780" w:type="pct"/>
            <w:gridSpan w:val="3"/>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rPr>
              <w:t>由于本项目位于</w:t>
            </w:r>
            <w:r>
              <w:rPr>
                <w:rFonts w:hint="default" w:ascii="Times New Roman" w:hAnsi="Times New Roman" w:cs="Times New Roman"/>
                <w:color w:val="auto"/>
                <w:kern w:val="0"/>
                <w:sz w:val="24"/>
                <w:szCs w:val="24"/>
                <w:lang w:val="en-US" w:eastAsia="zh-CN"/>
              </w:rPr>
              <w:t>果子沟-</w:t>
            </w:r>
            <w:r>
              <w:rPr>
                <w:rFonts w:hint="default" w:cs="Times New Roman"/>
                <w:color w:val="auto"/>
                <w:kern w:val="0"/>
                <w:sz w:val="24"/>
                <w:szCs w:val="24"/>
                <w:lang w:val="en-US" w:eastAsia="zh-CN"/>
              </w:rPr>
              <w:t>赛里木湖景区</w:t>
            </w:r>
            <w:r>
              <w:rPr>
                <w:rFonts w:hint="eastAsia" w:cs="Times New Roman"/>
                <w:color w:val="auto"/>
                <w:kern w:val="0"/>
                <w:sz w:val="24"/>
                <w:szCs w:val="24"/>
                <w:lang w:val="en-US" w:eastAsia="zh-CN"/>
              </w:rPr>
              <w:t>规划的养生度假区内</w:t>
            </w:r>
            <w:r>
              <w:rPr>
                <w:rFonts w:hint="default" w:cs="Times New Roman"/>
                <w:color w:val="auto"/>
                <w:kern w:val="0"/>
                <w:sz w:val="24"/>
                <w:szCs w:val="24"/>
                <w:lang w:val="en-US" w:eastAsia="zh-CN"/>
              </w:rPr>
              <w:t>，</w:t>
            </w:r>
            <w:r>
              <w:rPr>
                <w:rFonts w:hint="eastAsia" w:cs="Times New Roman"/>
                <w:color w:val="auto"/>
                <w:kern w:val="0"/>
                <w:sz w:val="24"/>
                <w:szCs w:val="24"/>
                <w:lang w:val="en-US" w:eastAsia="zh-CN"/>
              </w:rPr>
              <w:t>临近生态保护红线管控范围。《建设项目环境影响评价分类管理名录（2021年版）》中未列出本项目类别的环境敏感区</w:t>
            </w:r>
            <w:r>
              <w:rPr>
                <w:rFonts w:hint="default" w:cs="Times New Roman"/>
                <w:color w:val="auto"/>
                <w:kern w:val="0"/>
                <w:sz w:val="24"/>
                <w:szCs w:val="24"/>
                <w:lang w:val="en-US" w:eastAsia="zh-CN"/>
              </w:rPr>
              <w:t>，因此本</w:t>
            </w:r>
            <w:r>
              <w:rPr>
                <w:rFonts w:hint="eastAsia" w:cs="Times New Roman"/>
                <w:color w:val="auto"/>
                <w:kern w:val="0"/>
                <w:sz w:val="24"/>
                <w:szCs w:val="24"/>
                <w:lang w:val="en-US" w:eastAsia="zh-CN"/>
              </w:rPr>
              <w:t>次不需</w:t>
            </w:r>
            <w:r>
              <w:rPr>
                <w:rFonts w:hint="default" w:cs="Times New Roman"/>
                <w:color w:val="auto"/>
                <w:kern w:val="0"/>
                <w:sz w:val="24"/>
                <w:szCs w:val="24"/>
                <w:lang w:val="en-US" w:eastAsia="zh-CN"/>
              </w:rPr>
              <w:t>设置</w:t>
            </w:r>
            <w:r>
              <w:rPr>
                <w:rFonts w:hint="eastAsia" w:cs="Times New Roman"/>
                <w:color w:val="auto"/>
                <w:kern w:val="0"/>
                <w:sz w:val="24"/>
                <w:szCs w:val="24"/>
                <w:lang w:val="en-US" w:eastAsia="zh-CN"/>
              </w:rPr>
              <w:t>生态专项评价。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1326" w:hRule="atLeast"/>
          <w:jc w:val="center"/>
        </w:trPr>
        <w:tc>
          <w:tcPr>
            <w:tcW w:w="1219" w:type="pct"/>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3780" w:type="pct"/>
            <w:gridSpan w:val="3"/>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规划名称：</w:t>
            </w:r>
            <w:r>
              <w:rPr>
                <w:rFonts w:hint="default" w:ascii="Times New Roman" w:hAnsi="Times New Roman" w:cs="Times New Roman"/>
                <w:color w:val="auto"/>
                <w:kern w:val="0"/>
                <w:sz w:val="24"/>
                <w:szCs w:val="24"/>
                <w:lang w:val="en-US"/>
              </w:rPr>
              <w:t>《</w:t>
            </w:r>
            <w:r>
              <w:rPr>
                <w:rFonts w:hint="default" w:ascii="Times New Roman" w:hAnsi="Times New Roman" w:cs="Times New Roman"/>
                <w:color w:val="auto"/>
                <w:kern w:val="0"/>
                <w:sz w:val="24"/>
                <w:szCs w:val="24"/>
                <w:lang w:val="en-US" w:eastAsia="zh-CN"/>
              </w:rPr>
              <w:t>果子沟-赛里木湖</w:t>
            </w:r>
            <w:r>
              <w:rPr>
                <w:rFonts w:hint="default" w:ascii="Times New Roman" w:hAnsi="Times New Roman" w:cs="Times New Roman"/>
                <w:color w:val="auto"/>
                <w:kern w:val="0"/>
                <w:sz w:val="24"/>
                <w:szCs w:val="24"/>
                <w:lang w:val="en-US"/>
              </w:rPr>
              <w:t>景区总体规划》（2012-2030）</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审批机关：</w:t>
            </w:r>
            <w:r>
              <w:rPr>
                <w:rFonts w:hint="eastAsia" w:cs="Times New Roman"/>
                <w:color w:val="auto"/>
                <w:kern w:val="0"/>
                <w:sz w:val="24"/>
                <w:szCs w:val="24"/>
                <w:lang w:val="en-US" w:eastAsia="zh-CN"/>
              </w:rPr>
              <w:t>伊犁哈萨克自治州</w:t>
            </w:r>
            <w:r>
              <w:rPr>
                <w:rFonts w:hint="default" w:ascii="Times New Roman" w:hAnsi="Times New Roman" w:cs="Times New Roman"/>
                <w:color w:val="auto"/>
                <w:kern w:val="0"/>
                <w:sz w:val="24"/>
                <w:szCs w:val="24"/>
              </w:rPr>
              <w:t>人民政府</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审批文件名称及文号：《关于同意实施果子沟赛里木湖景区总体规划</w:t>
            </w:r>
            <w:r>
              <w:rPr>
                <w:rFonts w:hint="eastAsia" w:cs="Times New Roman"/>
                <w:color w:val="auto"/>
                <w:kern w:val="0"/>
                <w:sz w:val="24"/>
                <w:szCs w:val="24"/>
                <w:lang w:eastAsia="zh-CN"/>
              </w:rPr>
              <w:t>（</w:t>
            </w:r>
            <w:r>
              <w:rPr>
                <w:rFonts w:hint="default" w:ascii="Times New Roman" w:hAnsi="Times New Roman" w:cs="Times New Roman"/>
                <w:color w:val="auto"/>
                <w:kern w:val="0"/>
                <w:sz w:val="24"/>
                <w:szCs w:val="24"/>
              </w:rPr>
              <w:t>2012-2030年</w:t>
            </w:r>
            <w:r>
              <w:rPr>
                <w:rFonts w:hint="eastAsia" w:cs="Times New Roman"/>
                <w:color w:val="auto"/>
                <w:kern w:val="0"/>
                <w:sz w:val="24"/>
                <w:szCs w:val="24"/>
                <w:lang w:eastAsia="zh-CN"/>
              </w:rPr>
              <w:t>）</w:t>
            </w:r>
            <w:r>
              <w:rPr>
                <w:rFonts w:hint="default" w:ascii="Times New Roman" w:hAnsi="Times New Roman" w:cs="Times New Roman"/>
                <w:color w:val="auto"/>
                <w:kern w:val="0"/>
                <w:sz w:val="24"/>
                <w:szCs w:val="24"/>
              </w:rPr>
              <w:t>的批复》（</w:t>
            </w:r>
            <w:r>
              <w:rPr>
                <w:rFonts w:hint="eastAsia" w:cs="Times New Roman"/>
                <w:color w:val="auto"/>
                <w:kern w:val="0"/>
                <w:sz w:val="24"/>
                <w:szCs w:val="24"/>
                <w:lang w:val="en-US" w:eastAsia="zh-CN"/>
              </w:rPr>
              <w:t>伊州</w:t>
            </w:r>
            <w:r>
              <w:rPr>
                <w:rFonts w:hint="default" w:ascii="Times New Roman" w:hAnsi="Times New Roman" w:cs="Times New Roman"/>
                <w:color w:val="auto"/>
                <w:kern w:val="0"/>
                <w:sz w:val="24"/>
                <w:szCs w:val="24"/>
              </w:rPr>
              <w:t>政</w:t>
            </w:r>
            <w:r>
              <w:rPr>
                <w:rFonts w:hint="eastAsia" w:cs="Times New Roman"/>
                <w:color w:val="auto"/>
                <w:kern w:val="0"/>
                <w:sz w:val="24"/>
                <w:szCs w:val="24"/>
                <w:lang w:val="en-US" w:eastAsia="zh-CN"/>
              </w:rPr>
              <w:t>办</w:t>
            </w:r>
            <w:r>
              <w:rPr>
                <w:rFonts w:hint="default" w:ascii="Times New Roman" w:hAnsi="Times New Roman" w:cs="Times New Roman"/>
                <w:color w:val="auto"/>
                <w:kern w:val="0"/>
                <w:sz w:val="24"/>
                <w:szCs w:val="24"/>
              </w:rPr>
              <w:t>函</w:t>
            </w:r>
            <w:r>
              <w:rPr>
                <w:spacing w:val="-5"/>
              </w:rPr>
              <w:t>〔</w:t>
            </w:r>
            <w:r>
              <w:rPr>
                <w:rFonts w:hint="default" w:ascii="Times New Roman" w:hAnsi="Times New Roman" w:cs="Times New Roman"/>
                <w:color w:val="auto"/>
                <w:kern w:val="0"/>
                <w:sz w:val="24"/>
                <w:szCs w:val="24"/>
              </w:rPr>
              <w:t>201</w:t>
            </w:r>
            <w:r>
              <w:rPr>
                <w:rFonts w:hint="eastAsia" w:cs="Times New Roman"/>
                <w:color w:val="auto"/>
                <w:kern w:val="0"/>
                <w:sz w:val="24"/>
                <w:szCs w:val="24"/>
                <w:lang w:val="en-US" w:eastAsia="zh-CN"/>
              </w:rPr>
              <w:t>2</w:t>
            </w:r>
            <w:r>
              <w:rPr>
                <w:spacing w:val="-5"/>
              </w:rPr>
              <w:t>〕</w:t>
            </w:r>
            <w:r>
              <w:rPr>
                <w:rFonts w:hint="eastAsia" w:cs="Times New Roman"/>
                <w:color w:val="auto"/>
                <w:kern w:val="0"/>
                <w:sz w:val="24"/>
                <w:szCs w:val="24"/>
                <w:lang w:val="en-US" w:eastAsia="zh-CN"/>
              </w:rPr>
              <w:t>75</w:t>
            </w:r>
            <w:r>
              <w:rPr>
                <w:rFonts w:hint="default" w:ascii="Times New Roman" w:hAnsi="Times New Roman" w:cs="Times New Roman"/>
                <w:color w:val="auto"/>
                <w:kern w:val="0"/>
                <w:sz w:val="24"/>
                <w:szCs w:val="24"/>
              </w:rPr>
              <w:t>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1662" w:hRule="atLeast"/>
          <w:jc w:val="center"/>
        </w:trPr>
        <w:tc>
          <w:tcPr>
            <w:tcW w:w="1219" w:type="pct"/>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3780" w:type="pct"/>
            <w:gridSpan w:val="3"/>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rPr>
              <w:t>规划环境影响评价文件的名称：</w:t>
            </w:r>
            <w:r>
              <w:rPr>
                <w:rFonts w:hint="default" w:ascii="Times New Roman" w:hAnsi="Times New Roman" w:cs="Times New Roman"/>
                <w:color w:val="auto"/>
                <w:kern w:val="0"/>
                <w:sz w:val="24"/>
                <w:szCs w:val="24"/>
                <w:lang w:val="en-US" w:eastAsia="zh-CN"/>
              </w:rPr>
              <w:t>《果子沟-赛里木湖景区总体规划环境影响报告书》</w:t>
            </w:r>
          </w:p>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4"/>
                <w:szCs w:val="24"/>
                <w:lang w:val="en-US"/>
              </w:rPr>
            </w:pPr>
            <w:r>
              <w:rPr>
                <w:rFonts w:hint="default" w:ascii="Times New Roman" w:hAnsi="Times New Roman" w:cs="Times New Roman"/>
                <w:color w:val="auto"/>
                <w:kern w:val="0"/>
                <w:sz w:val="24"/>
                <w:szCs w:val="24"/>
              </w:rPr>
              <w:t>召集审查机关：</w:t>
            </w:r>
            <w:r>
              <w:rPr>
                <w:rFonts w:hint="default" w:ascii="Times New Roman" w:hAnsi="Times New Roman" w:cs="Times New Roman"/>
                <w:color w:val="auto"/>
                <w:kern w:val="0"/>
                <w:sz w:val="24"/>
                <w:szCs w:val="24"/>
                <w:lang w:val="en-US" w:eastAsia="zh-CN"/>
              </w:rPr>
              <w:t>伊犁哈萨克自治州</w:t>
            </w:r>
            <w:r>
              <w:rPr>
                <w:rFonts w:hint="eastAsia" w:cs="Times New Roman"/>
                <w:color w:val="auto"/>
                <w:kern w:val="0"/>
                <w:sz w:val="24"/>
                <w:szCs w:val="24"/>
                <w:lang w:val="en-US" w:eastAsia="zh-CN"/>
              </w:rPr>
              <w:t>环境保护局</w:t>
            </w:r>
          </w:p>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审查文件名称及文号：</w:t>
            </w:r>
            <w:r>
              <w:rPr>
                <w:rFonts w:hint="default" w:ascii="Times New Roman" w:hAnsi="Times New Roman" w:cs="Times New Roman"/>
                <w:color w:val="auto"/>
                <w:kern w:val="0"/>
                <w:sz w:val="24"/>
                <w:szCs w:val="24"/>
                <w:lang w:val="en-US" w:eastAsia="zh-CN"/>
              </w:rPr>
              <w:t>《关于果子沟-赛里木湖景区总体规划环境影响报告书的审查意见》（伊州环评审</w:t>
            </w:r>
            <w:r>
              <w:rPr>
                <w:spacing w:val="-5"/>
              </w:rPr>
              <w:t>〔</w:t>
            </w:r>
            <w:r>
              <w:rPr>
                <w:rFonts w:hint="default" w:ascii="Times New Roman" w:hAnsi="Times New Roman" w:cs="Times New Roman"/>
                <w:color w:val="auto"/>
                <w:kern w:val="0"/>
                <w:sz w:val="24"/>
                <w:szCs w:val="24"/>
                <w:lang w:val="en-US" w:eastAsia="zh-CN"/>
              </w:rPr>
              <w:t>2019</w:t>
            </w:r>
            <w:r>
              <w:rPr>
                <w:spacing w:val="-5"/>
              </w:rPr>
              <w:t>〕</w:t>
            </w:r>
            <w:r>
              <w:rPr>
                <w:rFonts w:hint="default" w:ascii="Times New Roman" w:hAnsi="Times New Roman" w:cs="Times New Roman"/>
                <w:color w:val="auto"/>
                <w:kern w:val="0"/>
                <w:sz w:val="24"/>
                <w:szCs w:val="24"/>
                <w:lang w:val="en-US" w:eastAsia="zh-CN"/>
              </w:rPr>
              <w:t>8号）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222" w:type="pct"/>
            <w:noWrap w:val="0"/>
            <w:tcMar>
              <w:top w:w="16" w:type="dxa"/>
              <w:left w:w="16" w:type="dxa"/>
              <w:right w:w="16" w:type="dxa"/>
            </w:tcMar>
            <w:vAlign w:val="center"/>
          </w:tcPr>
          <w:p>
            <w:pPr>
              <w:autoSpaceDE w:val="0"/>
              <w:autoSpaceDN w:val="0"/>
              <w:adjustRightInd w:val="0"/>
              <w:snapToGrid w:val="0"/>
              <w:ind w:left="0" w:leftChars="0" w:firstLine="0" w:firstLineChars="0"/>
              <w:jc w:val="center"/>
              <w:rPr>
                <w:rFonts w:hint="eastAsia" w:cs="Times New Roman"/>
                <w:color w:val="auto"/>
                <w:kern w:val="0"/>
                <w:sz w:val="24"/>
                <w:szCs w:val="24"/>
                <w:lang w:val="en-US" w:eastAsia="zh-CN"/>
              </w:rPr>
            </w:pPr>
            <w:r>
              <w:rPr>
                <w:rFonts w:hint="eastAsia" w:cs="Times New Roman"/>
                <w:color w:val="auto"/>
                <w:kern w:val="0"/>
                <w:sz w:val="24"/>
                <w:szCs w:val="24"/>
                <w:lang w:val="en-US" w:eastAsia="zh-CN"/>
              </w:rPr>
              <w:t>规</w:t>
            </w:r>
          </w:p>
          <w:p>
            <w:pPr>
              <w:autoSpaceDE w:val="0"/>
              <w:autoSpaceDN w:val="0"/>
              <w:adjustRightInd w:val="0"/>
              <w:snapToGrid w:val="0"/>
              <w:ind w:left="0" w:leftChars="0" w:firstLine="0" w:firstLineChars="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划</w:t>
            </w:r>
          </w:p>
          <w:p>
            <w:pPr>
              <w:autoSpaceDE w:val="0"/>
              <w:autoSpaceDN w:val="0"/>
              <w:adjustRightInd w:val="0"/>
              <w:snapToGrid w:val="0"/>
              <w:ind w:left="0" w:leftChars="0" w:firstLine="0" w:firstLineChars="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及</w:t>
            </w:r>
          </w:p>
          <w:p>
            <w:pPr>
              <w:autoSpaceDE w:val="0"/>
              <w:autoSpaceDN w:val="0"/>
              <w:adjustRightInd w:val="0"/>
              <w:snapToGrid w:val="0"/>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w:t>
            </w:r>
          </w:p>
          <w:p>
            <w:pPr>
              <w:autoSpaceDE w:val="0"/>
              <w:autoSpaceDN w:val="0"/>
              <w:adjustRightInd w:val="0"/>
              <w:snapToGrid w:val="0"/>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划</w:t>
            </w:r>
          </w:p>
          <w:p>
            <w:pPr>
              <w:autoSpaceDE w:val="0"/>
              <w:autoSpaceDN w:val="0"/>
              <w:adjustRightInd w:val="0"/>
              <w:snapToGrid w:val="0"/>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w:t>
            </w:r>
          </w:p>
          <w:p>
            <w:pPr>
              <w:autoSpaceDE w:val="0"/>
              <w:autoSpaceDN w:val="0"/>
              <w:adjustRightInd w:val="0"/>
              <w:snapToGrid w:val="0"/>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境</w:t>
            </w:r>
          </w:p>
          <w:p>
            <w:pPr>
              <w:autoSpaceDE w:val="0"/>
              <w:autoSpaceDN w:val="0"/>
              <w:adjustRightInd w:val="0"/>
              <w:snapToGrid w:val="0"/>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影</w:t>
            </w:r>
          </w:p>
          <w:p>
            <w:pPr>
              <w:autoSpaceDE w:val="0"/>
              <w:autoSpaceDN w:val="0"/>
              <w:adjustRightInd w:val="0"/>
              <w:snapToGrid w:val="0"/>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响</w:t>
            </w:r>
          </w:p>
          <w:p>
            <w:pPr>
              <w:autoSpaceDE w:val="0"/>
              <w:autoSpaceDN w:val="0"/>
              <w:adjustRightInd w:val="0"/>
              <w:snapToGrid w:val="0"/>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评</w:t>
            </w:r>
          </w:p>
          <w:p>
            <w:pPr>
              <w:autoSpaceDE w:val="0"/>
              <w:autoSpaceDN w:val="0"/>
              <w:adjustRightInd w:val="0"/>
              <w:snapToGrid w:val="0"/>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价</w:t>
            </w:r>
          </w:p>
          <w:p>
            <w:pPr>
              <w:autoSpaceDE w:val="0"/>
              <w:autoSpaceDN w:val="0"/>
              <w:adjustRightInd w:val="0"/>
              <w:snapToGrid w:val="0"/>
              <w:ind w:left="0" w:leftChars="0" w:firstLine="0" w:firstLineChars="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符</w:t>
            </w:r>
          </w:p>
          <w:p>
            <w:pPr>
              <w:autoSpaceDE w:val="0"/>
              <w:autoSpaceDN w:val="0"/>
              <w:adjustRightInd w:val="0"/>
              <w:snapToGrid w:val="0"/>
              <w:ind w:left="0" w:leftChars="0" w:firstLine="0" w:firstLineChars="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合</w:t>
            </w:r>
          </w:p>
          <w:p>
            <w:pPr>
              <w:autoSpaceDE w:val="0"/>
              <w:autoSpaceDN w:val="0"/>
              <w:adjustRightInd w:val="0"/>
              <w:snapToGrid w:val="0"/>
              <w:ind w:left="0" w:leftChars="0" w:firstLine="0" w:firstLineChars="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性</w:t>
            </w:r>
          </w:p>
          <w:p>
            <w:pPr>
              <w:autoSpaceDE w:val="0"/>
              <w:autoSpaceDN w:val="0"/>
              <w:adjustRightInd w:val="0"/>
              <w:snapToGrid w:val="0"/>
              <w:ind w:left="0" w:leftChars="0" w:firstLine="0" w:firstLineChars="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分</w:t>
            </w:r>
          </w:p>
          <w:p>
            <w:pPr>
              <w:autoSpaceDE w:val="0"/>
              <w:autoSpaceDN w:val="0"/>
              <w:adjustRightInd w:val="0"/>
              <w:snapToGrid w:val="0"/>
              <w:ind w:left="0" w:leftChars="0" w:firstLine="0" w:firstLineChars="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析</w:t>
            </w:r>
          </w:p>
        </w:tc>
        <w:tc>
          <w:tcPr>
            <w:tcW w:w="4777" w:type="pct"/>
            <w:gridSpan w:val="4"/>
            <w:noWrap w:val="0"/>
            <w:tcMar>
              <w:top w:w="16" w:type="dxa"/>
              <w:left w:w="16" w:type="dxa"/>
              <w:right w:w="16" w:type="dxa"/>
            </w:tcMar>
            <w:vAlign w:val="center"/>
          </w:tcPr>
          <w:p>
            <w:pPr>
              <w:pStyle w:val="4"/>
              <w:bidi w:val="0"/>
              <w:rPr>
                <w:rFonts w:hint="eastAsia"/>
                <w:color w:val="auto"/>
                <w:lang w:val="en-US" w:eastAsia="zh-CN"/>
              </w:rPr>
            </w:pPr>
            <w:r>
              <w:rPr>
                <w:rFonts w:hint="eastAsia"/>
                <w:color w:val="auto"/>
                <w:lang w:val="en-US" w:eastAsia="zh-CN"/>
              </w:rPr>
              <w:t>1规划符合性分析</w:t>
            </w:r>
          </w:p>
          <w:p>
            <w:pPr>
              <w:bidi w:val="0"/>
              <w:rPr>
                <w:rFonts w:hint="eastAsia"/>
                <w:color w:val="auto"/>
                <w:lang w:val="en-US" w:eastAsia="zh-CN"/>
              </w:rPr>
            </w:pPr>
            <w:r>
              <w:rPr>
                <w:rFonts w:hint="eastAsia"/>
                <w:color w:val="auto"/>
                <w:lang w:val="en-US" w:eastAsia="zh-CN"/>
              </w:rPr>
              <w:t>本项目位于果子沟-赛里木湖景区内，根据《果子沟-赛里木湖景区总体规划》（2012-2030）及批复（</w:t>
            </w:r>
            <w:r>
              <w:rPr>
                <w:rFonts w:hint="eastAsia" w:cs="Times New Roman"/>
                <w:color w:val="auto"/>
                <w:kern w:val="0"/>
                <w:sz w:val="24"/>
                <w:szCs w:val="24"/>
                <w:lang w:val="en-US" w:eastAsia="zh-CN"/>
              </w:rPr>
              <w:t>伊州</w:t>
            </w:r>
            <w:r>
              <w:rPr>
                <w:rFonts w:hint="default" w:ascii="Times New Roman" w:hAnsi="Times New Roman" w:cs="Times New Roman"/>
                <w:color w:val="auto"/>
                <w:kern w:val="0"/>
                <w:sz w:val="24"/>
                <w:szCs w:val="24"/>
              </w:rPr>
              <w:t>政</w:t>
            </w:r>
            <w:r>
              <w:rPr>
                <w:rFonts w:hint="eastAsia" w:cs="Times New Roman"/>
                <w:color w:val="auto"/>
                <w:kern w:val="0"/>
                <w:sz w:val="24"/>
                <w:szCs w:val="24"/>
                <w:lang w:val="en-US" w:eastAsia="zh-CN"/>
              </w:rPr>
              <w:t>办</w:t>
            </w:r>
            <w:r>
              <w:rPr>
                <w:rFonts w:hint="default" w:ascii="Times New Roman" w:hAnsi="Times New Roman" w:cs="Times New Roman"/>
                <w:color w:val="auto"/>
                <w:kern w:val="0"/>
                <w:sz w:val="24"/>
                <w:szCs w:val="24"/>
              </w:rPr>
              <w:t>函[201</w:t>
            </w:r>
            <w:r>
              <w:rPr>
                <w:rFonts w:hint="eastAsia" w:cs="Times New Roman"/>
                <w:color w:val="auto"/>
                <w:kern w:val="0"/>
                <w:sz w:val="24"/>
                <w:szCs w:val="24"/>
                <w:lang w:val="en-US" w:eastAsia="zh-CN"/>
              </w:rPr>
              <w:t>2</w:t>
            </w:r>
            <w:r>
              <w:rPr>
                <w:rFonts w:hint="default" w:ascii="Times New Roman" w:hAnsi="Times New Roman" w:cs="Times New Roman"/>
                <w:color w:val="auto"/>
                <w:kern w:val="0"/>
                <w:sz w:val="24"/>
                <w:szCs w:val="24"/>
              </w:rPr>
              <w:t>]</w:t>
            </w:r>
            <w:r>
              <w:rPr>
                <w:rFonts w:hint="eastAsia" w:cs="Times New Roman"/>
                <w:color w:val="auto"/>
                <w:kern w:val="0"/>
                <w:sz w:val="24"/>
                <w:szCs w:val="24"/>
                <w:lang w:val="en-US" w:eastAsia="zh-CN"/>
              </w:rPr>
              <w:t>75</w:t>
            </w:r>
            <w:r>
              <w:rPr>
                <w:rFonts w:hint="default" w:ascii="Times New Roman" w:hAnsi="Times New Roman" w:cs="Times New Roman"/>
                <w:color w:val="auto"/>
                <w:kern w:val="0"/>
                <w:sz w:val="24"/>
                <w:szCs w:val="24"/>
              </w:rPr>
              <w:t>号</w:t>
            </w:r>
            <w:r>
              <w:rPr>
                <w:rFonts w:hint="eastAsia"/>
                <w:color w:val="auto"/>
                <w:lang w:val="en-US" w:eastAsia="zh-CN"/>
              </w:rPr>
              <w:t>），该规划概况简述如下：</w:t>
            </w:r>
          </w:p>
          <w:p>
            <w:pPr>
              <w:bidi w:val="0"/>
              <w:rPr>
                <w:rFonts w:hint="eastAsia"/>
                <w:color w:val="auto"/>
                <w:lang w:val="en-US" w:eastAsia="zh-CN"/>
              </w:rPr>
            </w:pPr>
            <w:r>
              <w:rPr>
                <w:rFonts w:hint="eastAsia"/>
                <w:color w:val="auto"/>
                <w:lang w:val="en-US" w:eastAsia="zh-CN"/>
              </w:rPr>
              <w:t>果子沟-赛里木湖景区总体规划将景区范围划分为三个层次，一是大景区范围：南起果子沟收费站，北至伊犁州和博州交界处，西至大西沟，东到库尔特冷苏草原，面积约56000hm</w:t>
            </w:r>
            <w:r>
              <w:rPr>
                <w:rFonts w:hint="eastAsia"/>
                <w:color w:val="auto"/>
                <w:vertAlign w:val="superscript"/>
                <w:lang w:val="en-US" w:eastAsia="zh-CN"/>
              </w:rPr>
              <w:t>2</w:t>
            </w:r>
            <w:r>
              <w:rPr>
                <w:rFonts w:hint="eastAsia"/>
                <w:color w:val="auto"/>
                <w:lang w:val="en-US" w:eastAsia="zh-CN"/>
              </w:rPr>
              <w:t>；二是次核心区范围：以高速公路为景观轴，以沟为纵深，两侧平均各取6km范围，呈马头形状，面积约36000hm</w:t>
            </w:r>
            <w:r>
              <w:rPr>
                <w:rFonts w:hint="eastAsia"/>
                <w:color w:val="auto"/>
                <w:vertAlign w:val="superscript"/>
                <w:lang w:val="en-US" w:eastAsia="zh-CN"/>
              </w:rPr>
              <w:t>2</w:t>
            </w:r>
            <w:r>
              <w:rPr>
                <w:rFonts w:hint="eastAsia"/>
                <w:color w:val="auto"/>
                <w:lang w:val="en-US" w:eastAsia="zh-CN"/>
              </w:rPr>
              <w:t>；三是核心区范围：磨石沟与赛里木湖南岸之间区域，面积约2600hm</w:t>
            </w:r>
            <w:r>
              <w:rPr>
                <w:rFonts w:hint="eastAsia"/>
                <w:color w:val="auto"/>
                <w:vertAlign w:val="superscript"/>
                <w:lang w:val="en-US" w:eastAsia="zh-CN"/>
              </w:rPr>
              <w:t>2</w:t>
            </w:r>
            <w:r>
              <w:rPr>
                <w:rFonts w:hint="eastAsia"/>
                <w:color w:val="auto"/>
                <w:lang w:val="en-US" w:eastAsia="zh-CN"/>
              </w:rPr>
              <w:t>。景区规划总面积56000hm</w:t>
            </w:r>
            <w:r>
              <w:rPr>
                <w:rFonts w:hint="eastAsia"/>
                <w:color w:val="auto"/>
                <w:vertAlign w:val="superscript"/>
                <w:lang w:val="en-US" w:eastAsia="zh-CN"/>
              </w:rPr>
              <w:t>2</w:t>
            </w:r>
            <w:r>
              <w:rPr>
                <w:rFonts w:hint="eastAsia"/>
                <w:color w:val="auto"/>
                <w:lang w:val="en-US" w:eastAsia="zh-CN"/>
              </w:rPr>
              <w:t>（560km</w:t>
            </w:r>
            <w:r>
              <w:rPr>
                <w:rFonts w:hint="eastAsia"/>
                <w:color w:val="auto"/>
                <w:vertAlign w:val="superscript"/>
                <w:lang w:val="en-US" w:eastAsia="zh-CN"/>
              </w:rPr>
              <w:t>2</w:t>
            </w:r>
            <w:r>
              <w:rPr>
                <w:rFonts w:hint="eastAsia"/>
                <w:color w:val="auto"/>
                <w:lang w:val="en-US" w:eastAsia="zh-CN"/>
              </w:rPr>
              <w:t>）。</w:t>
            </w:r>
          </w:p>
          <w:p>
            <w:pPr>
              <w:bidi w:val="0"/>
              <w:rPr>
                <w:rFonts w:hint="default"/>
                <w:color w:val="auto"/>
                <w:lang w:val="en-US" w:eastAsia="zh-CN"/>
              </w:rPr>
            </w:pPr>
            <w:r>
              <w:rPr>
                <w:rFonts w:hint="eastAsia"/>
                <w:color w:val="auto"/>
                <w:lang w:val="en-US" w:eastAsia="zh-CN"/>
              </w:rPr>
              <w:t>景区主体定位为“丝路天湖、伊犁门户”；功能定位为伊犁河谷旅游门厅，迎宾景区展示旅游形象，开展度假休闲，探奇观光。尊重和保护自然、文化原生态，遵循景观风貌的原真性、游憩性和融入性的原则，建设以果子沟、赛里木湖观光为切入点，融运动探险、商务度假、幽谷养生、文化休闲、丝路风情、民俗体验等于一体的AAAAA级旅游景区。</w:t>
            </w:r>
          </w:p>
          <w:p>
            <w:pPr>
              <w:bidi w:val="0"/>
              <w:rPr>
                <w:rFonts w:hint="eastAsia"/>
                <w:color w:val="auto"/>
                <w:lang w:val="en-US" w:eastAsia="zh-CN"/>
              </w:rPr>
            </w:pPr>
            <w:r>
              <w:rPr>
                <w:rFonts w:hint="eastAsia"/>
                <w:color w:val="auto"/>
                <w:lang w:val="en-US" w:eastAsia="zh-CN"/>
              </w:rPr>
              <w:t>景区规划目标为：在保护和利用好草原风景资源、以哈萨克族为主的多民族文化生活方式、特色民俗文化和天山地质风貌的前提下，整体构筑果子沟旅游发展基本格局，完善配置旅游吃、住、行、游、购、娱六大要素，助推霍城县、伊犁州经济发展，展示民族文化、带动百姓收入，提高原住牧民生活水平，转变草原发展方式，建设中国具有代表性的生态旅游示范区，具有国际影响的国际生态旅游示范区和旅游的目的。</w:t>
            </w:r>
          </w:p>
          <w:p>
            <w:pPr>
              <w:bidi w:val="0"/>
              <w:rPr>
                <w:rFonts w:hint="eastAsia"/>
                <w:color w:val="auto"/>
                <w:lang w:val="en-US" w:eastAsia="zh-CN"/>
              </w:rPr>
            </w:pPr>
            <w:r>
              <w:rPr>
                <w:rFonts w:hint="eastAsia"/>
                <w:color w:val="auto"/>
                <w:lang w:val="en-US" w:eastAsia="zh-CN"/>
              </w:rPr>
              <w:t>总体布局规划：以“生态观光、养生度假、民俗旅游、运动游乐、户外探险”五大功能为核心，形成“一心一轴一环五区”点、线、面相结合的空间结构。</w:t>
            </w:r>
          </w:p>
          <w:p>
            <w:pPr>
              <w:bidi w:val="0"/>
              <w:rPr>
                <w:rFonts w:hint="eastAsia"/>
                <w:color w:val="auto"/>
                <w:lang w:val="en-US" w:eastAsia="zh-CN"/>
              </w:rPr>
            </w:pPr>
            <w:r>
              <w:rPr>
                <w:rFonts w:hint="eastAsia"/>
                <w:color w:val="auto"/>
                <w:lang w:val="en-US" w:eastAsia="zh-CN"/>
              </w:rPr>
              <w:t>一心：松树头游客服务中心形成以文化展示与体验为核心，集旅游集散、购物、文化展现等多功能为一体的复合型区域。</w:t>
            </w:r>
          </w:p>
          <w:p>
            <w:pPr>
              <w:bidi w:val="0"/>
              <w:rPr>
                <w:rFonts w:hint="eastAsia"/>
                <w:color w:val="auto"/>
                <w:lang w:val="en-US" w:eastAsia="zh-CN"/>
              </w:rPr>
            </w:pPr>
            <w:r>
              <w:rPr>
                <w:rFonts w:hint="eastAsia"/>
                <w:color w:val="auto"/>
                <w:lang w:val="en-US" w:eastAsia="zh-CN"/>
              </w:rPr>
              <w:t>一轴：高速公路景观轴，该轴线南北贯穿整个景区，既是景区主体交通轴线，同时也是生态景观和旅游发展轴线。</w:t>
            </w:r>
          </w:p>
          <w:p>
            <w:pPr>
              <w:bidi w:val="0"/>
              <w:rPr>
                <w:rFonts w:hint="eastAsia"/>
                <w:color w:val="auto"/>
                <w:lang w:val="en-US" w:eastAsia="zh-CN"/>
              </w:rPr>
            </w:pPr>
            <w:r>
              <w:rPr>
                <w:rFonts w:hint="eastAsia"/>
                <w:color w:val="auto"/>
                <w:lang w:val="en-US" w:eastAsia="zh-CN"/>
              </w:rPr>
              <w:t>一环：江巴斯沟与盘山公路旅游环线。该环线作为旅游专用道路，是文化和自然景观的浓缩展现。</w:t>
            </w:r>
          </w:p>
          <w:p>
            <w:pPr>
              <w:bidi w:val="0"/>
              <w:rPr>
                <w:rFonts w:hint="eastAsia"/>
                <w:color w:val="auto"/>
                <w:lang w:val="en-US" w:eastAsia="zh-CN"/>
              </w:rPr>
            </w:pPr>
            <w:r>
              <w:rPr>
                <w:rFonts w:hint="eastAsia"/>
                <w:color w:val="auto"/>
                <w:lang w:val="en-US" w:eastAsia="zh-CN"/>
              </w:rPr>
              <w:t>五区：养生度假区、游览观光区、运动游乐区、户外探险区、综合服务区。</w:t>
            </w:r>
          </w:p>
          <w:p>
            <w:pPr>
              <w:bidi w:val="0"/>
              <w:rPr>
                <w:rFonts w:hint="eastAsia" w:ascii="Times New Roman" w:hAnsi="Times New Roman" w:eastAsia="宋体" w:cs="Times New Roman"/>
                <w:color w:val="auto"/>
                <w:lang w:val="en-US" w:eastAsia="zh-CN"/>
              </w:rPr>
            </w:pPr>
            <w:r>
              <w:rPr>
                <w:rFonts w:hint="eastAsia"/>
                <w:color w:val="auto"/>
                <w:lang w:val="en-US" w:eastAsia="zh-CN"/>
              </w:rPr>
              <w:t>本项目位于景区规划内的养生度假区，规划范围为以直沟为中心，涵盖直沟、东沟、科克萨拉沟、波克瓦依沟、磨石沟等沟群和老二台、果子沟大桥等，功能定位为生态休闲、商务会议、养生度假、文化感悟。养生度假区重点规划项目为：</w:t>
            </w:r>
            <w:r>
              <w:rPr>
                <w:rFonts w:hint="eastAsia" w:cs="Times New Roman"/>
                <w:color w:val="auto"/>
              </w:rPr>
              <w:t>果子沟生态养生度假村</w:t>
            </w:r>
            <w:r>
              <w:rPr>
                <w:rFonts w:hint="eastAsia" w:cs="Times New Roman"/>
                <w:color w:val="auto"/>
                <w:lang w:eastAsia="zh-CN"/>
              </w:rPr>
              <w:t>、</w:t>
            </w:r>
            <w:r>
              <w:rPr>
                <w:rFonts w:hint="eastAsia" w:cs="Times New Roman"/>
                <w:color w:val="auto"/>
              </w:rPr>
              <w:t>将军沟房车营地</w:t>
            </w:r>
            <w:r>
              <w:rPr>
                <w:rFonts w:hint="eastAsia" w:cs="Times New Roman"/>
                <w:color w:val="auto"/>
                <w:lang w:eastAsia="zh-CN"/>
              </w:rPr>
              <w:t>、</w:t>
            </w:r>
            <w:r>
              <w:rPr>
                <w:rFonts w:hint="eastAsia" w:cs="Times New Roman"/>
                <w:color w:val="auto"/>
              </w:rPr>
              <w:t>地埋电缆、变压器建设项目</w:t>
            </w:r>
            <w:r>
              <w:rPr>
                <w:rFonts w:hint="eastAsia" w:cs="Times New Roman"/>
                <w:color w:val="auto"/>
                <w:lang w:eastAsia="zh-CN"/>
              </w:rPr>
              <w:t>、</w:t>
            </w:r>
            <w:r>
              <w:rPr>
                <w:rFonts w:hint="eastAsia"/>
                <w:color w:val="auto"/>
              </w:rPr>
              <w:t>盘山景观道路边坡支护建设项目</w:t>
            </w:r>
            <w:r>
              <w:rPr>
                <w:rFonts w:hint="eastAsia"/>
                <w:color w:val="auto"/>
                <w:lang w:eastAsia="zh-CN"/>
              </w:rPr>
              <w:t>、</w:t>
            </w:r>
            <w:r>
              <w:rPr>
                <w:rFonts w:hint="eastAsia"/>
                <w:color w:val="auto"/>
              </w:rPr>
              <w:t>盘山景观道路（松树头至龙岭山庄）</w:t>
            </w:r>
            <w:r>
              <w:rPr>
                <w:rFonts w:hint="eastAsia"/>
                <w:color w:val="auto"/>
                <w:lang w:eastAsia="zh-CN"/>
              </w:rPr>
              <w:t>、</w:t>
            </w:r>
            <w:r>
              <w:rPr>
                <w:rFonts w:hint="eastAsia"/>
                <w:color w:val="auto"/>
              </w:rPr>
              <w:t>二台古驿站恢复项目</w:t>
            </w:r>
            <w:r>
              <w:rPr>
                <w:rFonts w:hint="eastAsia"/>
                <w:color w:val="auto"/>
                <w:lang w:eastAsia="zh-CN"/>
              </w:rPr>
              <w:t>、</w:t>
            </w:r>
            <w:r>
              <w:rPr>
                <w:rFonts w:hint="eastAsia" w:cs="Times New Roman"/>
                <w:color w:val="auto"/>
              </w:rPr>
              <w:t>高空蹦极</w:t>
            </w:r>
            <w:r>
              <w:rPr>
                <w:rFonts w:hint="eastAsia" w:cs="Times New Roman"/>
                <w:color w:val="auto"/>
                <w:lang w:eastAsia="zh-CN"/>
              </w:rPr>
              <w:t>、</w:t>
            </w:r>
            <w:r>
              <w:rPr>
                <w:rFonts w:hint="eastAsia" w:cs="Times New Roman"/>
                <w:color w:val="auto"/>
              </w:rPr>
              <w:t>山涧悬空溜索</w:t>
            </w:r>
            <w:r>
              <w:rPr>
                <w:rFonts w:hint="eastAsia" w:cs="Times New Roman"/>
                <w:color w:val="auto"/>
                <w:lang w:eastAsia="zh-CN"/>
              </w:rPr>
              <w:t>、</w:t>
            </w:r>
            <w:r>
              <w:rPr>
                <w:rFonts w:hint="eastAsia"/>
                <w:color w:val="auto"/>
              </w:rPr>
              <w:t>玻璃栈桥建设项目</w:t>
            </w:r>
            <w:r>
              <w:rPr>
                <w:rFonts w:hint="eastAsia"/>
                <w:color w:val="auto"/>
                <w:lang w:eastAsia="zh-CN"/>
              </w:rPr>
              <w:t>、</w:t>
            </w:r>
            <w:r>
              <w:rPr>
                <w:rFonts w:hint="eastAsia"/>
                <w:color w:val="auto"/>
              </w:rPr>
              <w:t>果子沟哈萨克民俗村</w:t>
            </w:r>
            <w:r>
              <w:rPr>
                <w:rFonts w:hint="eastAsia"/>
                <w:color w:val="auto"/>
                <w:lang w:eastAsia="zh-CN"/>
              </w:rPr>
              <w:t>、</w:t>
            </w:r>
            <w:r>
              <w:rPr>
                <w:rFonts w:eastAsia="宋体" w:cs="Times New Roman"/>
                <w:color w:val="auto"/>
                <w:kern w:val="0"/>
                <w:szCs w:val="24"/>
              </w:rPr>
              <w:t>金顶至南山观光缆车建设项目</w:t>
            </w:r>
            <w:r>
              <w:rPr>
                <w:rFonts w:hint="eastAsia" w:eastAsia="宋体" w:cs="Times New Roman"/>
                <w:color w:val="auto"/>
                <w:kern w:val="0"/>
                <w:szCs w:val="24"/>
                <w:lang w:eastAsia="zh-CN"/>
              </w:rPr>
              <w:t>、</w:t>
            </w:r>
            <w:r>
              <w:rPr>
                <w:rFonts w:cs="Times New Roman"/>
                <w:color w:val="auto"/>
                <w:szCs w:val="24"/>
              </w:rPr>
              <w:t>东沟盘山路自驾游道路</w:t>
            </w:r>
            <w:r>
              <w:rPr>
                <w:rFonts w:hint="eastAsia" w:cs="Times New Roman"/>
                <w:color w:val="auto"/>
                <w:szCs w:val="24"/>
                <w:lang w:eastAsia="zh-CN"/>
              </w:rPr>
              <w:t>、</w:t>
            </w:r>
            <w:r>
              <w:rPr>
                <w:rFonts w:eastAsia="宋体" w:cs="Times New Roman"/>
                <w:color w:val="auto"/>
                <w:kern w:val="0"/>
                <w:szCs w:val="24"/>
              </w:rPr>
              <w:t>将军沟房车营地</w:t>
            </w:r>
            <w:r>
              <w:rPr>
                <w:rFonts w:hint="eastAsia" w:eastAsia="宋体" w:cs="Times New Roman"/>
                <w:color w:val="auto"/>
                <w:kern w:val="0"/>
                <w:szCs w:val="24"/>
                <w:lang w:eastAsia="zh-CN"/>
              </w:rPr>
              <w:t>、</w:t>
            </w:r>
            <w:r>
              <w:rPr>
                <w:rFonts w:ascii="Times New Roman" w:cs="Times New Roman"/>
                <w:color w:val="auto"/>
              </w:rPr>
              <w:t>沿观景木栈道至金顶区间车道</w:t>
            </w:r>
            <w:r>
              <w:rPr>
                <w:rFonts w:hint="eastAsia" w:ascii="Times New Roman" w:hAnsi="Times New Roman" w:eastAsia="宋体" w:cs="Times New Roman"/>
                <w:color w:val="auto"/>
              </w:rPr>
              <w:t>路项目</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金顶滑翔机观景项目</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金顶生态观湖养生馆</w:t>
            </w:r>
            <w:r>
              <w:rPr>
                <w:rFonts w:hint="eastAsia" w:ascii="Times New Roman" w:hAnsi="Times New Roman" w:eastAsia="宋体" w:cs="Times New Roman"/>
                <w:color w:val="auto"/>
                <w:lang w:val="en-US" w:eastAsia="zh-CN"/>
              </w:rPr>
              <w:t>和</w:t>
            </w:r>
            <w:r>
              <w:rPr>
                <w:rFonts w:hint="eastAsia" w:ascii="Times New Roman" w:hAnsi="Times New Roman" w:eastAsia="宋体" w:cs="Times New Roman"/>
                <w:color w:val="auto"/>
              </w:rPr>
              <w:t>松树头区域直升机观景项目</w:t>
            </w:r>
            <w:r>
              <w:rPr>
                <w:rFonts w:hint="eastAsia" w:ascii="Times New Roman" w:hAnsi="Times New Roman" w:eastAsia="宋体" w:cs="Times New Roman"/>
                <w:color w:val="auto"/>
                <w:lang w:eastAsia="zh-CN"/>
              </w:rPr>
              <w:t>。</w:t>
            </w:r>
          </w:p>
          <w:p>
            <w:pPr>
              <w:bidi w:val="0"/>
              <w:rPr>
                <w:rFonts w:hint="eastAsia"/>
                <w:color w:val="auto"/>
                <w:lang w:val="en-US" w:eastAsia="zh-CN"/>
              </w:rPr>
            </w:pPr>
            <w:r>
              <w:rPr>
                <w:rFonts w:hint="eastAsia" w:ascii="Times New Roman" w:hAnsi="Times New Roman" w:eastAsia="宋体" w:cs="Times New Roman"/>
                <w:color w:val="auto"/>
                <w:lang w:val="en-US" w:eastAsia="zh-CN"/>
              </w:rPr>
              <w:t>本项目拟在该区域内建设游客集散中心、索道缆车、特色商业及景点等</w:t>
            </w:r>
            <w:r>
              <w:rPr>
                <w:rFonts w:hint="eastAsia" w:ascii="Times New Roman" w:hAnsi="Times New Roman" w:eastAsia="宋体" w:cs="Times New Roman"/>
                <w:color w:val="auto"/>
              </w:rPr>
              <w:t>旅游基础服务设施</w:t>
            </w:r>
            <w:r>
              <w:rPr>
                <w:rFonts w:hint="eastAsia" w:ascii="Times New Roman" w:hAnsi="Times New Roman" w:eastAsia="宋体" w:cs="Times New Roman"/>
                <w:color w:val="auto"/>
                <w:lang w:val="en-US" w:eastAsia="zh-CN"/>
              </w:rPr>
              <w:t>，并配套建设水</w:t>
            </w:r>
            <w:r>
              <w:rPr>
                <w:rFonts w:hint="eastAsia"/>
                <w:color w:val="auto"/>
                <w:lang w:val="en-US" w:eastAsia="zh-CN"/>
              </w:rPr>
              <w:t>、电、道路等相关附属设施。本项目符合养生度假区功能定位，符合果子沟-赛里木湖景区主体定位，与《果子沟-赛里木湖景区总体规划》（2012-2030）及批复（</w:t>
            </w:r>
            <w:r>
              <w:rPr>
                <w:rFonts w:hint="eastAsia" w:cs="Times New Roman"/>
                <w:color w:val="auto"/>
                <w:kern w:val="0"/>
                <w:sz w:val="24"/>
                <w:szCs w:val="24"/>
                <w:lang w:val="en-US" w:eastAsia="zh-CN"/>
              </w:rPr>
              <w:t>伊州</w:t>
            </w:r>
            <w:r>
              <w:rPr>
                <w:rFonts w:hint="default" w:ascii="Times New Roman" w:hAnsi="Times New Roman" w:cs="Times New Roman"/>
                <w:color w:val="auto"/>
                <w:kern w:val="0"/>
                <w:sz w:val="24"/>
                <w:szCs w:val="24"/>
              </w:rPr>
              <w:t>政</w:t>
            </w:r>
            <w:r>
              <w:rPr>
                <w:rFonts w:hint="eastAsia" w:cs="Times New Roman"/>
                <w:color w:val="auto"/>
                <w:kern w:val="0"/>
                <w:sz w:val="24"/>
                <w:szCs w:val="24"/>
                <w:lang w:val="en-US" w:eastAsia="zh-CN"/>
              </w:rPr>
              <w:t>办</w:t>
            </w:r>
            <w:r>
              <w:rPr>
                <w:rFonts w:hint="default" w:ascii="Times New Roman" w:hAnsi="Times New Roman" w:cs="Times New Roman"/>
                <w:color w:val="auto"/>
                <w:kern w:val="0"/>
                <w:sz w:val="24"/>
                <w:szCs w:val="24"/>
              </w:rPr>
              <w:t>函[201</w:t>
            </w:r>
            <w:r>
              <w:rPr>
                <w:rFonts w:hint="eastAsia" w:cs="Times New Roman"/>
                <w:color w:val="auto"/>
                <w:kern w:val="0"/>
                <w:sz w:val="24"/>
                <w:szCs w:val="24"/>
                <w:lang w:val="en-US" w:eastAsia="zh-CN"/>
              </w:rPr>
              <w:t>2</w:t>
            </w:r>
            <w:r>
              <w:rPr>
                <w:rFonts w:hint="default" w:ascii="Times New Roman" w:hAnsi="Times New Roman" w:cs="Times New Roman"/>
                <w:color w:val="auto"/>
                <w:kern w:val="0"/>
                <w:sz w:val="24"/>
                <w:szCs w:val="24"/>
              </w:rPr>
              <w:t>]</w:t>
            </w:r>
            <w:r>
              <w:rPr>
                <w:rFonts w:hint="eastAsia" w:cs="Times New Roman"/>
                <w:color w:val="auto"/>
                <w:kern w:val="0"/>
                <w:sz w:val="24"/>
                <w:szCs w:val="24"/>
                <w:lang w:val="en-US" w:eastAsia="zh-CN"/>
              </w:rPr>
              <w:t>75</w:t>
            </w:r>
            <w:r>
              <w:rPr>
                <w:rFonts w:hint="default" w:ascii="Times New Roman" w:hAnsi="Times New Roman" w:cs="Times New Roman"/>
                <w:color w:val="auto"/>
                <w:kern w:val="0"/>
                <w:sz w:val="24"/>
                <w:szCs w:val="24"/>
              </w:rPr>
              <w:t>号</w:t>
            </w:r>
            <w:r>
              <w:rPr>
                <w:rFonts w:hint="eastAsia"/>
                <w:color w:val="auto"/>
                <w:lang w:val="en-US" w:eastAsia="zh-CN"/>
              </w:rPr>
              <w:t>）相协调。</w:t>
            </w:r>
          </w:p>
          <w:p>
            <w:pPr>
              <w:pStyle w:val="4"/>
              <w:bidi w:val="0"/>
              <w:rPr>
                <w:rFonts w:hint="eastAsia"/>
                <w:color w:val="auto"/>
                <w:lang w:val="en-US" w:eastAsia="zh-CN"/>
              </w:rPr>
            </w:pPr>
            <w:r>
              <w:rPr>
                <w:rFonts w:hint="eastAsia"/>
                <w:color w:val="auto"/>
                <w:lang w:val="en-US" w:eastAsia="zh-CN"/>
              </w:rPr>
              <w:t>2与规划环境影响评价符合性分析</w:t>
            </w:r>
          </w:p>
          <w:p>
            <w:pPr>
              <w:pStyle w:val="3"/>
              <w:keepNext/>
              <w:keepLines w:val="0"/>
              <w:pageBreakBefore w:val="0"/>
              <w:widowControl w:val="0"/>
              <w:kinsoku/>
              <w:wordWrap/>
              <w:overflowPunct w:val="0"/>
              <w:topLinePunct w:val="0"/>
              <w:autoSpaceDE/>
              <w:autoSpaceDN/>
              <w:bidi w:val="0"/>
              <w:adjustRightInd w:val="0"/>
              <w:snapToGrid w:val="0"/>
              <w:spacing w:after="0" w:afterLines="0"/>
              <w:textAlignment w:val="auto"/>
              <w:rPr>
                <w:rFonts w:hint="eastAsia"/>
                <w:color w:val="auto"/>
                <w:sz w:val="24"/>
                <w:szCs w:val="24"/>
                <w:lang w:val="en-US" w:eastAsia="zh-CN"/>
              </w:rPr>
            </w:pPr>
            <w:r>
              <w:rPr>
                <w:rFonts w:hint="eastAsia"/>
                <w:b w:val="0"/>
                <w:bCs w:val="0"/>
                <w:color w:val="auto"/>
                <w:sz w:val="24"/>
                <w:szCs w:val="24"/>
                <w:lang w:val="en-US" w:eastAsia="zh-CN"/>
              </w:rPr>
              <w:t>表2-1  本项目与果子沟-赛里木湖景区规划环评及审查意见相符性分析表</w:t>
            </w:r>
          </w:p>
          <w:tbl>
            <w:tblPr>
              <w:tblStyle w:val="1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7"/>
              <w:gridCol w:w="4651"/>
              <w:gridCol w:w="2355"/>
              <w:gridCol w:w="8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vAlign w:val="center"/>
                </w:tcPr>
                <w:p>
                  <w:pPr>
                    <w:pStyle w:val="17"/>
                    <w:bidi w:val="0"/>
                    <w:jc w:val="center"/>
                    <w:rPr>
                      <w:rFonts w:hint="eastAsia"/>
                      <w:color w:val="auto"/>
                      <w:lang w:val="en-US" w:eastAsia="zh-CN"/>
                    </w:rPr>
                  </w:pPr>
                  <w:r>
                    <w:rPr>
                      <w:color w:val="auto"/>
                    </w:rPr>
                    <w:t>序号</w:t>
                  </w:r>
                </w:p>
              </w:tc>
              <w:tc>
                <w:tcPr>
                  <w:tcW w:w="2754" w:type="pct"/>
                  <w:tcBorders>
                    <w:tl2br w:val="nil"/>
                    <w:tr2bl w:val="nil"/>
                  </w:tcBorders>
                  <w:vAlign w:val="center"/>
                </w:tcPr>
                <w:p>
                  <w:pPr>
                    <w:pStyle w:val="17"/>
                    <w:bidi w:val="0"/>
                    <w:jc w:val="center"/>
                    <w:rPr>
                      <w:rFonts w:hint="eastAsia" w:eastAsia="宋体"/>
                      <w:color w:val="auto"/>
                      <w:lang w:val="en-US" w:eastAsia="zh-CN"/>
                    </w:rPr>
                  </w:pPr>
                  <w:r>
                    <w:rPr>
                      <w:color w:val="auto"/>
                    </w:rPr>
                    <w:t>关于新疆</w:t>
                  </w:r>
                  <w:r>
                    <w:rPr>
                      <w:rFonts w:hint="eastAsia"/>
                      <w:color w:val="auto"/>
                      <w:lang w:eastAsia="zh-CN"/>
                    </w:rPr>
                    <w:t>果子沟-赛里木湖</w:t>
                  </w:r>
                  <w:r>
                    <w:rPr>
                      <w:rFonts w:hint="eastAsia" w:ascii="Times New Roman" w:hAnsi="Times New Roman" w:eastAsia="宋体" w:cs="Times New Roman"/>
                      <w:color w:val="auto"/>
                      <w:lang w:eastAsia="zh-CN"/>
                    </w:rPr>
                    <w:t>景区总体规划（2015-2030）环境影响报告书</w:t>
                  </w:r>
                  <w:r>
                    <w:rPr>
                      <w:rFonts w:hint="eastAsia" w:ascii="Times New Roman" w:hAnsi="Times New Roman" w:eastAsia="宋体" w:cs="Times New Roman"/>
                      <w:color w:val="auto"/>
                      <w:lang w:val="en-US" w:eastAsia="zh-CN"/>
                    </w:rPr>
                    <w:t>及</w:t>
                  </w:r>
                  <w:r>
                    <w:rPr>
                      <w:rFonts w:hint="eastAsia" w:ascii="Times New Roman" w:hAnsi="Times New Roman" w:eastAsia="宋体" w:cs="Times New Roman"/>
                      <w:color w:val="auto"/>
                      <w:lang w:eastAsia="zh-CN"/>
                    </w:rPr>
                    <w:t>审查意见（</w:t>
                  </w:r>
                  <w:r>
                    <w:rPr>
                      <w:rFonts w:hint="default" w:ascii="Times New Roman" w:hAnsi="Times New Roman" w:eastAsia="宋体" w:cs="Times New Roman"/>
                      <w:color w:val="auto"/>
                      <w:lang w:val="en-US" w:eastAsia="zh-CN"/>
                    </w:rPr>
                    <w:t>伊州环评审</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2019</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8号</w:t>
                  </w:r>
                  <w:r>
                    <w:rPr>
                      <w:rFonts w:hint="eastAsia" w:ascii="Times New Roman" w:hAnsi="Times New Roman" w:eastAsia="宋体" w:cs="Times New Roman"/>
                      <w:color w:val="auto"/>
                      <w:lang w:eastAsia="zh-CN"/>
                    </w:rPr>
                    <w:t>）</w:t>
                  </w:r>
                </w:p>
              </w:tc>
              <w:tc>
                <w:tcPr>
                  <w:tcW w:w="1394" w:type="pct"/>
                  <w:tcBorders>
                    <w:tl2br w:val="nil"/>
                    <w:tr2bl w:val="nil"/>
                  </w:tcBorders>
                  <w:vAlign w:val="center"/>
                </w:tcPr>
                <w:p>
                  <w:pPr>
                    <w:pStyle w:val="17"/>
                    <w:bidi w:val="0"/>
                    <w:jc w:val="center"/>
                    <w:rPr>
                      <w:rFonts w:hint="eastAsia"/>
                      <w:color w:val="auto"/>
                      <w:lang w:val="en-US" w:eastAsia="zh-CN"/>
                    </w:rPr>
                  </w:pPr>
                  <w:r>
                    <w:rPr>
                      <w:color w:val="auto"/>
                    </w:rPr>
                    <w:t>本项目</w:t>
                  </w:r>
                </w:p>
              </w:tc>
              <w:tc>
                <w:tcPr>
                  <w:tcW w:w="520" w:type="pct"/>
                  <w:tcBorders>
                    <w:tl2br w:val="nil"/>
                    <w:tr2bl w:val="nil"/>
                  </w:tcBorders>
                  <w:vAlign w:val="center"/>
                </w:tcPr>
                <w:p>
                  <w:pPr>
                    <w:pStyle w:val="17"/>
                    <w:bidi w:val="0"/>
                    <w:jc w:val="center"/>
                    <w:rPr>
                      <w:rFonts w:hint="eastAsia"/>
                      <w:color w:val="auto"/>
                      <w:lang w:val="en-US" w:eastAsia="zh-CN"/>
                    </w:rPr>
                  </w:pPr>
                  <w:r>
                    <w:rPr>
                      <w:color w:val="auto"/>
                    </w:rPr>
                    <w:t>相符性评价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vAlign w:val="center"/>
                </w:tcPr>
                <w:p>
                  <w:pPr>
                    <w:pStyle w:val="17"/>
                    <w:bidi w:val="0"/>
                    <w:jc w:val="center"/>
                    <w:rPr>
                      <w:rFonts w:hint="default"/>
                      <w:color w:val="auto"/>
                      <w:lang w:val="en-US" w:eastAsia="zh-CN"/>
                    </w:rPr>
                  </w:pPr>
                  <w:r>
                    <w:rPr>
                      <w:rFonts w:hint="eastAsia"/>
                      <w:color w:val="auto"/>
                      <w:lang w:val="en-US" w:eastAsia="zh-CN"/>
                    </w:rPr>
                    <w:t>1</w:t>
                  </w:r>
                </w:p>
              </w:tc>
              <w:tc>
                <w:tcPr>
                  <w:tcW w:w="2754" w:type="pct"/>
                  <w:tcBorders>
                    <w:tl2br w:val="nil"/>
                    <w:tr2bl w:val="nil"/>
                  </w:tcBorders>
                  <w:vAlign w:val="center"/>
                </w:tcPr>
                <w:p>
                  <w:pPr>
                    <w:pStyle w:val="17"/>
                    <w:bidi w:val="0"/>
                    <w:jc w:val="left"/>
                    <w:rPr>
                      <w:rFonts w:hint="eastAsia"/>
                      <w:color w:val="auto"/>
                      <w:lang w:val="en-US" w:eastAsia="zh-CN"/>
                    </w:rPr>
                  </w:pPr>
                  <w:r>
                    <w:rPr>
                      <w:rFonts w:hint="eastAsia"/>
                      <w:color w:val="auto"/>
                      <w:lang w:val="en-US" w:eastAsia="zh-CN"/>
                    </w:rPr>
                    <w:t>景区内现有建构筑物及设施与景区自然环境不协调的、与规划不符合的、无相应的环保设施或环保设施不符和要求的予以拆除。</w:t>
                  </w:r>
                </w:p>
              </w:tc>
              <w:tc>
                <w:tcPr>
                  <w:tcW w:w="1394" w:type="pct"/>
                  <w:tcBorders>
                    <w:tl2br w:val="nil"/>
                    <w:tr2bl w:val="nil"/>
                  </w:tcBorders>
                  <w:vAlign w:val="center"/>
                </w:tcPr>
                <w:p>
                  <w:pPr>
                    <w:pStyle w:val="17"/>
                    <w:bidi w:val="0"/>
                    <w:jc w:val="center"/>
                    <w:rPr>
                      <w:rFonts w:hint="default"/>
                      <w:color w:val="auto"/>
                      <w:lang w:val="en-US" w:eastAsia="zh-CN"/>
                    </w:rPr>
                  </w:pPr>
                  <w:r>
                    <w:rPr>
                      <w:rFonts w:hint="eastAsia"/>
                      <w:color w:val="auto"/>
                      <w:lang w:val="en-US" w:eastAsia="zh-CN"/>
                    </w:rPr>
                    <w:t>本项目建设内容与景区规划相符</w:t>
                  </w:r>
                </w:p>
              </w:tc>
              <w:tc>
                <w:tcPr>
                  <w:tcW w:w="520" w:type="pct"/>
                  <w:tcBorders>
                    <w:tl2br w:val="nil"/>
                    <w:tr2bl w:val="nil"/>
                  </w:tcBorders>
                  <w:vAlign w:val="center"/>
                </w:tcPr>
                <w:p>
                  <w:pPr>
                    <w:pStyle w:val="17"/>
                    <w:bidi w:val="0"/>
                    <w:jc w:val="center"/>
                    <w:rPr>
                      <w:rFonts w:hint="eastAsia"/>
                      <w:color w:val="auto"/>
                      <w:lang w:val="en-US" w:eastAsia="zh-CN"/>
                    </w:rPr>
                  </w:pPr>
                  <w:r>
                    <w:rPr>
                      <w:rFonts w:hint="eastAsia"/>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 w:type="pct"/>
                  <w:tcBorders>
                    <w:tl2br w:val="nil"/>
                    <w:tr2bl w:val="nil"/>
                  </w:tcBorders>
                  <w:vAlign w:val="center"/>
                </w:tcPr>
                <w:p>
                  <w:pPr>
                    <w:pStyle w:val="17"/>
                    <w:bidi w:val="0"/>
                    <w:jc w:val="center"/>
                    <w:rPr>
                      <w:rFonts w:hint="default"/>
                      <w:color w:val="auto"/>
                      <w:lang w:val="en-US" w:eastAsia="zh-CN"/>
                    </w:rPr>
                  </w:pPr>
                  <w:r>
                    <w:rPr>
                      <w:rFonts w:hint="eastAsia"/>
                      <w:color w:val="auto"/>
                      <w:lang w:val="en-US" w:eastAsia="zh-CN"/>
                    </w:rPr>
                    <w:t>2</w:t>
                  </w:r>
                </w:p>
              </w:tc>
              <w:tc>
                <w:tcPr>
                  <w:tcW w:w="2754" w:type="pct"/>
                  <w:tcBorders>
                    <w:tl2br w:val="nil"/>
                    <w:tr2bl w:val="nil"/>
                  </w:tcBorders>
                  <w:vAlign w:val="center"/>
                </w:tcPr>
                <w:p>
                  <w:pPr>
                    <w:pStyle w:val="17"/>
                    <w:bidi w:val="0"/>
                    <w:jc w:val="left"/>
                    <w:rPr>
                      <w:rFonts w:hint="eastAsia"/>
                      <w:color w:val="auto"/>
                      <w:lang w:val="en-US" w:eastAsia="zh-CN"/>
                    </w:rPr>
                  </w:pPr>
                  <w:r>
                    <w:rPr>
                      <w:rFonts w:hint="eastAsia"/>
                      <w:color w:val="auto"/>
                      <w:lang w:val="en-US" w:eastAsia="zh-CN"/>
                    </w:rPr>
                    <w:t>为保护景区生态环境，2019年底完成景区核心区禁牧工作，2020年底完成景区范围内其他区域禁牧工作。</w:t>
                  </w:r>
                </w:p>
              </w:tc>
              <w:tc>
                <w:tcPr>
                  <w:tcW w:w="1394" w:type="pct"/>
                  <w:tcBorders>
                    <w:tl2br w:val="nil"/>
                    <w:tr2bl w:val="nil"/>
                  </w:tcBorders>
                  <w:vAlign w:val="center"/>
                </w:tcPr>
                <w:p>
                  <w:pPr>
                    <w:pStyle w:val="17"/>
                    <w:bidi w:val="0"/>
                    <w:jc w:val="center"/>
                    <w:rPr>
                      <w:rFonts w:hint="default"/>
                      <w:color w:val="auto"/>
                      <w:lang w:val="en-US" w:eastAsia="zh-CN"/>
                    </w:rPr>
                  </w:pPr>
                  <w:r>
                    <w:rPr>
                      <w:rFonts w:hint="eastAsia"/>
                      <w:color w:val="auto"/>
                      <w:lang w:val="en-US" w:eastAsia="zh-CN"/>
                    </w:rPr>
                    <w:t>本项目不涉及</w:t>
                  </w:r>
                </w:p>
              </w:tc>
              <w:tc>
                <w:tcPr>
                  <w:tcW w:w="520" w:type="pct"/>
                  <w:tcBorders>
                    <w:tl2br w:val="nil"/>
                    <w:tr2bl w:val="nil"/>
                  </w:tcBorders>
                  <w:vAlign w:val="center"/>
                </w:tcPr>
                <w:p>
                  <w:pPr>
                    <w:pStyle w:val="17"/>
                    <w:bidi w:val="0"/>
                    <w:jc w:val="center"/>
                    <w:rPr>
                      <w:rFonts w:hint="eastAsia"/>
                      <w:color w:val="auto"/>
                      <w:lang w:val="en-US" w:eastAsia="zh-CN"/>
                    </w:rPr>
                  </w:pPr>
                  <w:r>
                    <w:rPr>
                      <w:rFonts w:hint="eastAsia"/>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vAlign w:val="center"/>
                </w:tcPr>
                <w:p>
                  <w:pPr>
                    <w:pStyle w:val="17"/>
                    <w:bidi w:val="0"/>
                    <w:jc w:val="center"/>
                    <w:rPr>
                      <w:rFonts w:hint="default"/>
                      <w:color w:val="auto"/>
                      <w:lang w:val="en-US" w:eastAsia="zh-CN"/>
                    </w:rPr>
                  </w:pPr>
                  <w:r>
                    <w:rPr>
                      <w:rFonts w:hint="eastAsia"/>
                      <w:color w:val="auto"/>
                      <w:lang w:val="en-US" w:eastAsia="zh-CN"/>
                    </w:rPr>
                    <w:t>3</w:t>
                  </w:r>
                </w:p>
              </w:tc>
              <w:tc>
                <w:tcPr>
                  <w:tcW w:w="2754" w:type="pct"/>
                  <w:tcBorders>
                    <w:tl2br w:val="nil"/>
                    <w:tr2bl w:val="nil"/>
                  </w:tcBorders>
                  <w:vAlign w:val="center"/>
                </w:tcPr>
                <w:p>
                  <w:pPr>
                    <w:pStyle w:val="17"/>
                    <w:bidi w:val="0"/>
                    <w:jc w:val="left"/>
                    <w:rPr>
                      <w:rFonts w:hint="eastAsia"/>
                      <w:color w:val="auto"/>
                      <w:lang w:val="en-US" w:eastAsia="zh-CN"/>
                    </w:rPr>
                  </w:pPr>
                  <w:r>
                    <w:rPr>
                      <w:rFonts w:hint="eastAsia"/>
                      <w:color w:val="auto"/>
                      <w:lang w:val="en-US" w:eastAsia="zh-CN"/>
                    </w:rPr>
                    <w:t>合理规划功能分区，规划的实施必须符合“三线一单”的管控要求，与区域旅游环境容量相协调。根据规划布局、主体功能区和环境敏感区范围，落实避免、减缓和补偿措施，加强生态红线管控，确保生态底线，并结合旅游区功能分区和空间布局，落实环境保护措施。</w:t>
                  </w:r>
                </w:p>
              </w:tc>
              <w:tc>
                <w:tcPr>
                  <w:tcW w:w="1394" w:type="pct"/>
                  <w:tcBorders>
                    <w:tl2br w:val="nil"/>
                    <w:tr2bl w:val="nil"/>
                  </w:tcBorders>
                  <w:vAlign w:val="center"/>
                </w:tcPr>
                <w:p>
                  <w:pPr>
                    <w:pStyle w:val="17"/>
                    <w:bidi w:val="0"/>
                    <w:jc w:val="center"/>
                    <w:rPr>
                      <w:rFonts w:hint="default"/>
                      <w:color w:val="auto"/>
                      <w:lang w:val="en-US" w:eastAsia="zh-CN"/>
                    </w:rPr>
                  </w:pPr>
                  <w:r>
                    <w:rPr>
                      <w:rFonts w:hint="eastAsia"/>
                      <w:color w:val="auto"/>
                      <w:lang w:val="en-US" w:eastAsia="zh-CN"/>
                    </w:rPr>
                    <w:t>本项目符合“三线一单”的管控要求；本环评要求项目建设期必须落实避免、减缓和补偿措施与环境保护措施</w:t>
                  </w:r>
                </w:p>
              </w:tc>
              <w:tc>
                <w:tcPr>
                  <w:tcW w:w="520" w:type="pct"/>
                  <w:tcBorders>
                    <w:tl2br w:val="nil"/>
                    <w:tr2bl w:val="nil"/>
                  </w:tcBorders>
                  <w:vAlign w:val="center"/>
                </w:tcPr>
                <w:p>
                  <w:pPr>
                    <w:pStyle w:val="17"/>
                    <w:bidi w:val="0"/>
                    <w:jc w:val="center"/>
                    <w:rPr>
                      <w:rFonts w:hint="eastAsia"/>
                      <w:color w:val="auto"/>
                      <w:lang w:val="en-US" w:eastAsia="zh-CN"/>
                    </w:rPr>
                  </w:pPr>
                  <w:r>
                    <w:rPr>
                      <w:rFonts w:hint="eastAsia"/>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vAlign w:val="center"/>
                </w:tcPr>
                <w:p>
                  <w:pPr>
                    <w:pStyle w:val="17"/>
                    <w:bidi w:val="0"/>
                    <w:jc w:val="center"/>
                    <w:rPr>
                      <w:rFonts w:hint="default"/>
                      <w:color w:val="auto"/>
                      <w:lang w:val="en-US" w:eastAsia="zh-CN"/>
                    </w:rPr>
                  </w:pPr>
                  <w:r>
                    <w:rPr>
                      <w:rFonts w:hint="eastAsia"/>
                      <w:color w:val="auto"/>
                      <w:lang w:val="en-US" w:eastAsia="zh-CN"/>
                    </w:rPr>
                    <w:t>4</w:t>
                  </w:r>
                </w:p>
              </w:tc>
              <w:tc>
                <w:tcPr>
                  <w:tcW w:w="2754" w:type="pct"/>
                  <w:tcBorders>
                    <w:tl2br w:val="nil"/>
                    <w:tr2bl w:val="nil"/>
                  </w:tcBorders>
                  <w:vAlign w:val="center"/>
                </w:tcPr>
                <w:p>
                  <w:pPr>
                    <w:pStyle w:val="17"/>
                    <w:bidi w:val="0"/>
                    <w:jc w:val="both"/>
                    <w:rPr>
                      <w:rFonts w:hint="eastAsia"/>
                      <w:color w:val="auto"/>
                      <w:lang w:val="en-US" w:eastAsia="zh-CN"/>
                    </w:rPr>
                  </w:pPr>
                  <w:r>
                    <w:rPr>
                      <w:rFonts w:hint="eastAsia"/>
                      <w:color w:val="auto"/>
                      <w:lang w:val="en-US" w:eastAsia="zh-CN"/>
                    </w:rPr>
                    <w:t>完善旅游区环保基础设施建设。按照“清污分流、雨污分流”的要求，加快建设旅游区内污水处理设施及污水管网工程。旅游区内生活污水近期外运出景区，中期经处理后，达到《城镇污水处理厂污染物排放标准》（GB18918-2002）中一级标准的A标准、《城市杂用水质标准》（GB/T25499-2010）中相关标准限值后全部回用；旅游区内不得设置燃煤（重油）锅炉，餐饮单位应使用天然气、瓶装液化气或电等清洁能源。旅游区应建立统一的固废收集、贮存、运输、综合利用和安全处置的运营管理体系，废弃农药瓶等危险废物应单独收集，并委托有资质的单位处理，禁止随意丢弃固体废物。</w:t>
                  </w:r>
                </w:p>
              </w:tc>
              <w:tc>
                <w:tcPr>
                  <w:tcW w:w="1394" w:type="pct"/>
                  <w:tcBorders>
                    <w:tl2br w:val="nil"/>
                    <w:tr2bl w:val="nil"/>
                  </w:tcBorders>
                  <w:vAlign w:val="center"/>
                </w:tcPr>
                <w:p>
                  <w:pPr>
                    <w:pStyle w:val="17"/>
                    <w:bidi w:val="0"/>
                    <w:jc w:val="center"/>
                    <w:rPr>
                      <w:rFonts w:hint="default"/>
                      <w:color w:val="auto"/>
                      <w:lang w:val="en-US" w:eastAsia="zh-CN"/>
                    </w:rPr>
                  </w:pPr>
                  <w:r>
                    <w:rPr>
                      <w:rFonts w:hint="eastAsia"/>
                      <w:color w:val="auto"/>
                      <w:lang w:val="en-US" w:eastAsia="zh-CN"/>
                    </w:rPr>
                    <w:t>本项目已设计环保基础设施建设，运营期的职工及游客生活污水及餐饮废水，采用隔油池和地埋式一体化污水处理设施处理，处理后废水由吸污车拉运至当地生活污水处理厂处理，后期待</w:t>
                  </w:r>
                  <w:r>
                    <w:rPr>
                      <w:rFonts w:cs="Times New Roman"/>
                      <w:kern w:val="0"/>
                      <w:szCs w:val="24"/>
                    </w:rPr>
                    <w:t>果</w:t>
                  </w:r>
                  <w:r>
                    <w:rPr>
                      <w:rFonts w:hint="eastAsia" w:cs="Times New Roman"/>
                      <w:kern w:val="0"/>
                      <w:szCs w:val="24"/>
                      <w:lang w:val="en-US" w:eastAsia="zh-CN"/>
                    </w:rPr>
                    <w:t>赛</w:t>
                  </w:r>
                  <w:r>
                    <w:rPr>
                      <w:rFonts w:cs="Times New Roman"/>
                      <w:kern w:val="0"/>
                      <w:szCs w:val="24"/>
                    </w:rPr>
                    <w:t>景区</w:t>
                  </w:r>
                  <w:r>
                    <w:rPr>
                      <w:rFonts w:hint="eastAsia" w:cs="Times New Roman"/>
                      <w:kern w:val="0"/>
                      <w:szCs w:val="24"/>
                      <w:lang w:val="en-US" w:eastAsia="zh-CN"/>
                    </w:rPr>
                    <w:t>污水处理厂建成后运至景区污水处理厂处理</w:t>
                  </w:r>
                  <w:r>
                    <w:rPr>
                      <w:rFonts w:hint="eastAsia"/>
                      <w:color w:val="auto"/>
                      <w:lang w:val="en-US" w:eastAsia="zh-CN"/>
                    </w:rPr>
                    <w:t>。项目不建设锅炉，餐饮使用瓶装液化天然气和电。运营期生活垃圾</w:t>
                  </w:r>
                  <w:r>
                    <w:rPr>
                      <w:rFonts w:hint="eastAsia" w:ascii="Times New Roman" w:hAnsi="Times New Roman" w:eastAsia="宋体" w:cs="Times New Roman"/>
                      <w:color w:val="auto"/>
                      <w:lang w:eastAsia="zh-CN"/>
                    </w:rPr>
                    <w:t>由景区环卫部门统一运至果赛景区垃圾收集站</w:t>
                  </w:r>
                  <w:r>
                    <w:rPr>
                      <w:rFonts w:hint="eastAsia" w:cs="Times New Roman"/>
                      <w:color w:val="auto"/>
                      <w:lang w:eastAsia="zh-CN"/>
                    </w:rPr>
                    <w:t>，</w:t>
                  </w:r>
                  <w:r>
                    <w:rPr>
                      <w:rFonts w:hint="eastAsia" w:ascii="Times New Roman" w:hAnsi="Times New Roman" w:eastAsia="宋体" w:cs="Times New Roman"/>
                      <w:color w:val="auto"/>
                      <w:lang w:eastAsia="zh-CN"/>
                    </w:rPr>
                    <w:t>再集中运送至</w:t>
                  </w:r>
                  <w:r>
                    <w:rPr>
                      <w:rFonts w:hint="eastAsia"/>
                      <w:color w:val="auto"/>
                      <w:lang w:val="en-US" w:eastAsia="zh-CN"/>
                    </w:rPr>
                    <w:t>霍尔果斯经济开发区清水河配套园区</w:t>
                  </w:r>
                  <w:r>
                    <w:rPr>
                      <w:rFonts w:hint="eastAsia" w:cs="Times New Roman"/>
                      <w:color w:val="auto"/>
                      <w:lang w:eastAsia="zh-CN"/>
                    </w:rPr>
                    <w:t>垃圾填埋场处理</w:t>
                  </w:r>
                  <w:r>
                    <w:rPr>
                      <w:rFonts w:hint="eastAsia" w:ascii="Times New Roman" w:hAnsi="Times New Roman" w:eastAsia="宋体" w:cs="Times New Roman"/>
                      <w:color w:val="auto"/>
                      <w:lang w:eastAsia="zh-CN"/>
                    </w:rPr>
                    <w:t>处理。</w:t>
                  </w:r>
                  <w:r>
                    <w:rPr>
                      <w:rFonts w:hint="eastAsia"/>
                      <w:color w:val="auto"/>
                      <w:lang w:val="en-US" w:eastAsia="zh-CN"/>
                    </w:rPr>
                    <w:t>其他环保基础设施已按照相关标准要求进行设计建设。</w:t>
                  </w:r>
                </w:p>
              </w:tc>
              <w:tc>
                <w:tcPr>
                  <w:tcW w:w="520" w:type="pct"/>
                  <w:tcBorders>
                    <w:tl2br w:val="nil"/>
                    <w:tr2bl w:val="nil"/>
                  </w:tcBorders>
                  <w:vAlign w:val="center"/>
                </w:tcPr>
                <w:p>
                  <w:pPr>
                    <w:pStyle w:val="17"/>
                    <w:bidi w:val="0"/>
                    <w:jc w:val="center"/>
                    <w:rPr>
                      <w:rFonts w:hint="eastAsia"/>
                      <w:color w:val="auto"/>
                      <w:lang w:val="en-US" w:eastAsia="zh-CN"/>
                    </w:rPr>
                  </w:pPr>
                  <w:r>
                    <w:rPr>
                      <w:rFonts w:hint="eastAsia"/>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vAlign w:val="center"/>
                </w:tcPr>
                <w:p>
                  <w:pPr>
                    <w:pStyle w:val="17"/>
                    <w:bidi w:val="0"/>
                    <w:jc w:val="center"/>
                    <w:rPr>
                      <w:rFonts w:hint="default"/>
                      <w:color w:val="auto"/>
                      <w:lang w:val="en-US" w:eastAsia="zh-CN"/>
                    </w:rPr>
                  </w:pPr>
                  <w:r>
                    <w:rPr>
                      <w:rFonts w:hint="eastAsia"/>
                      <w:color w:val="auto"/>
                      <w:lang w:val="en-US" w:eastAsia="zh-CN"/>
                    </w:rPr>
                    <w:t>5</w:t>
                  </w:r>
                </w:p>
              </w:tc>
              <w:tc>
                <w:tcPr>
                  <w:tcW w:w="2754" w:type="pct"/>
                  <w:tcBorders>
                    <w:tl2br w:val="nil"/>
                    <w:tr2bl w:val="nil"/>
                  </w:tcBorders>
                  <w:vAlign w:val="center"/>
                </w:tcPr>
                <w:p>
                  <w:pPr>
                    <w:pStyle w:val="17"/>
                    <w:bidi w:val="0"/>
                    <w:jc w:val="left"/>
                    <w:rPr>
                      <w:rFonts w:hint="eastAsia"/>
                      <w:color w:val="auto"/>
                      <w:lang w:val="en-US" w:eastAsia="zh-CN"/>
                    </w:rPr>
                  </w:pPr>
                  <w:r>
                    <w:rPr>
                      <w:rFonts w:hint="eastAsia"/>
                      <w:color w:val="auto"/>
                      <w:lang w:val="en-US" w:eastAsia="zh-CN"/>
                    </w:rPr>
                    <w:t>注重旅游区生态环境建设。加强旅游区生态环境建设，落实规划和报告书提出的生态建设方案。区域内尽量减少农药、化肥的使用。加强对旅游区内道路、停车场的生态设计。加强水土保持工作，结合旅游区内地形条件，在项目施工时，平衡挖方和填方，尽量减少挖填方量。严格控制弃土排放量，避免造成水土流失，把旅游区建设项目对周边生态环境的不利影响降至最低程度。</w:t>
                  </w:r>
                </w:p>
              </w:tc>
              <w:tc>
                <w:tcPr>
                  <w:tcW w:w="1394" w:type="pct"/>
                  <w:tcBorders>
                    <w:tl2br w:val="nil"/>
                    <w:tr2bl w:val="nil"/>
                  </w:tcBorders>
                  <w:vAlign w:val="center"/>
                </w:tcPr>
                <w:p>
                  <w:pPr>
                    <w:pStyle w:val="17"/>
                    <w:bidi w:val="0"/>
                    <w:jc w:val="center"/>
                    <w:rPr>
                      <w:rFonts w:hint="default"/>
                      <w:color w:val="auto"/>
                      <w:lang w:val="en-US" w:eastAsia="zh-CN"/>
                    </w:rPr>
                  </w:pPr>
                  <w:r>
                    <w:rPr>
                      <w:rFonts w:hint="eastAsia"/>
                      <w:color w:val="auto"/>
                      <w:lang w:val="en-US" w:eastAsia="zh-CN"/>
                    </w:rPr>
                    <w:t>本项目严格控制施工期的生态环境保护，已对项目区道路、停车场进行生态设计，基础施工按照地形进行放坡设计，可减少土石方的挖填量，并采相关水土保持措施避免对周边生态环境的不利影响。</w:t>
                  </w:r>
                </w:p>
              </w:tc>
              <w:tc>
                <w:tcPr>
                  <w:tcW w:w="520" w:type="pct"/>
                  <w:tcBorders>
                    <w:tl2br w:val="nil"/>
                    <w:tr2bl w:val="nil"/>
                  </w:tcBorders>
                  <w:vAlign w:val="center"/>
                </w:tcPr>
                <w:p>
                  <w:pPr>
                    <w:pStyle w:val="17"/>
                    <w:bidi w:val="0"/>
                    <w:jc w:val="center"/>
                    <w:rPr>
                      <w:rFonts w:hint="eastAsia"/>
                      <w:color w:val="auto"/>
                      <w:lang w:val="en-US" w:eastAsia="zh-CN"/>
                    </w:rPr>
                  </w:pPr>
                  <w:r>
                    <w:rPr>
                      <w:rFonts w:hint="eastAsia"/>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vAlign w:val="center"/>
                </w:tcPr>
                <w:p>
                  <w:pPr>
                    <w:pStyle w:val="17"/>
                    <w:bidi w:val="0"/>
                    <w:jc w:val="center"/>
                    <w:rPr>
                      <w:rFonts w:hint="default"/>
                      <w:color w:val="auto"/>
                      <w:lang w:val="en-US" w:eastAsia="zh-CN"/>
                    </w:rPr>
                  </w:pPr>
                  <w:r>
                    <w:rPr>
                      <w:rFonts w:hint="eastAsia"/>
                      <w:color w:val="auto"/>
                      <w:lang w:val="en-US" w:eastAsia="zh-CN"/>
                    </w:rPr>
                    <w:t>6</w:t>
                  </w:r>
                </w:p>
              </w:tc>
              <w:tc>
                <w:tcPr>
                  <w:tcW w:w="2754" w:type="pct"/>
                  <w:tcBorders>
                    <w:tl2br w:val="nil"/>
                    <w:tr2bl w:val="nil"/>
                  </w:tcBorders>
                  <w:vAlign w:val="center"/>
                </w:tcPr>
                <w:p>
                  <w:pPr>
                    <w:pStyle w:val="17"/>
                    <w:bidi w:val="0"/>
                    <w:jc w:val="left"/>
                    <w:rPr>
                      <w:rFonts w:hint="eastAsia"/>
                      <w:color w:val="auto"/>
                      <w:lang w:val="en-US" w:eastAsia="zh-CN"/>
                    </w:rPr>
                  </w:pPr>
                  <w:r>
                    <w:rPr>
                      <w:rFonts w:hint="eastAsia"/>
                      <w:color w:val="auto"/>
                      <w:lang w:val="en-US" w:eastAsia="zh-CN"/>
                    </w:rPr>
                    <w:t>加强旅游区建设期环境保护工作。落实有效措施控制施工期噪声、粉尘、废水和固废对周围环境的影响。施工生活污水、含油废水须收集输送到污水处理设施统一处理，不得排入湖泊和河流等水体。建筑垃圾须及时清运。施工场地应适时酒水，并加强管理，有效控制施工场地、建材和渣土运输车辆对周边环境的粉尘污染，</w:t>
                  </w:r>
                </w:p>
              </w:tc>
              <w:tc>
                <w:tcPr>
                  <w:tcW w:w="1394" w:type="pct"/>
                  <w:tcBorders>
                    <w:tl2br w:val="nil"/>
                    <w:tr2bl w:val="nil"/>
                  </w:tcBorders>
                  <w:vAlign w:val="center"/>
                </w:tcPr>
                <w:p>
                  <w:pPr>
                    <w:pStyle w:val="17"/>
                    <w:bidi w:val="0"/>
                    <w:jc w:val="center"/>
                    <w:rPr>
                      <w:rFonts w:hint="default"/>
                      <w:color w:val="auto"/>
                      <w:lang w:val="en-US" w:eastAsia="zh-CN"/>
                    </w:rPr>
                  </w:pPr>
                  <w:r>
                    <w:rPr>
                      <w:rFonts w:hint="eastAsia"/>
                      <w:color w:val="auto"/>
                      <w:lang w:val="en-US" w:eastAsia="zh-CN"/>
                    </w:rPr>
                    <w:t>本项目施工废水采用防渗沉淀池处理后用于施工场地洒水降尘</w:t>
                  </w:r>
                  <w:r>
                    <w:rPr>
                      <w:rFonts w:hint="eastAsia" w:ascii="Times New Roman" w:hAnsi="Times New Roman" w:eastAsia="宋体" w:cs="Times New Roman"/>
                      <w:color w:val="auto"/>
                      <w:lang w:val="en-US" w:eastAsia="zh-CN"/>
                    </w:rPr>
                    <w:t>；施工期严格做到周边围挡、物料堆放覆盖、土方开挖湿法作业、路面硬化、出入车辆清洗、渣土车辆密闭运输</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六个百分之百</w:t>
                  </w:r>
                  <w:r>
                    <w:rPr>
                      <w:rFonts w:hint="default" w:ascii="Times New Roman" w:hAnsi="Times New Roman" w:eastAsia="宋体" w:cs="Times New Roman"/>
                      <w:color w:val="auto"/>
                      <w:lang w:val="en-US" w:eastAsia="zh-CN"/>
                    </w:rPr>
                    <w:t>”</w:t>
                  </w:r>
                  <w:r>
                    <w:rPr>
                      <w:rFonts w:hint="eastAsia"/>
                      <w:color w:val="auto"/>
                      <w:lang w:val="en-US" w:eastAsia="zh-CN"/>
                    </w:rPr>
                    <w:t>将扬尘影响降到最低；运营期索道检修产生的废机油等存放至危废暂存间，委托有资质单位定期外运处置。</w:t>
                  </w:r>
                </w:p>
              </w:tc>
              <w:tc>
                <w:tcPr>
                  <w:tcW w:w="520" w:type="pct"/>
                  <w:tcBorders>
                    <w:tl2br w:val="nil"/>
                    <w:tr2bl w:val="nil"/>
                  </w:tcBorders>
                  <w:vAlign w:val="center"/>
                </w:tcPr>
                <w:p>
                  <w:pPr>
                    <w:pStyle w:val="17"/>
                    <w:bidi w:val="0"/>
                    <w:jc w:val="center"/>
                    <w:rPr>
                      <w:rFonts w:hint="eastAsia"/>
                      <w:color w:val="auto"/>
                      <w:lang w:val="en-US" w:eastAsia="zh-CN"/>
                    </w:rPr>
                  </w:pPr>
                  <w:r>
                    <w:rPr>
                      <w:rFonts w:hint="eastAsia"/>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vAlign w:val="center"/>
                </w:tcPr>
                <w:p>
                  <w:pPr>
                    <w:pStyle w:val="17"/>
                    <w:bidi w:val="0"/>
                    <w:jc w:val="center"/>
                    <w:rPr>
                      <w:rFonts w:hint="default"/>
                      <w:color w:val="auto"/>
                      <w:lang w:val="en-US" w:eastAsia="zh-CN"/>
                    </w:rPr>
                  </w:pPr>
                  <w:r>
                    <w:rPr>
                      <w:rFonts w:hint="eastAsia"/>
                      <w:color w:val="auto"/>
                      <w:lang w:val="en-US" w:eastAsia="zh-CN"/>
                    </w:rPr>
                    <w:t>7</w:t>
                  </w:r>
                </w:p>
              </w:tc>
              <w:tc>
                <w:tcPr>
                  <w:tcW w:w="2754" w:type="pct"/>
                  <w:tcBorders>
                    <w:tl2br w:val="nil"/>
                    <w:tr2bl w:val="nil"/>
                  </w:tcBorders>
                  <w:vAlign w:val="center"/>
                </w:tcPr>
                <w:p>
                  <w:pPr>
                    <w:pStyle w:val="17"/>
                    <w:bidi w:val="0"/>
                    <w:jc w:val="left"/>
                    <w:rPr>
                      <w:rFonts w:hint="eastAsia"/>
                      <w:color w:val="auto"/>
                      <w:lang w:val="en-US" w:eastAsia="zh-CN"/>
                    </w:rPr>
                  </w:pPr>
                  <w:r>
                    <w:rPr>
                      <w:rFonts w:hint="eastAsia"/>
                      <w:color w:val="auto"/>
                      <w:lang w:val="en-US" w:eastAsia="zh-CN"/>
                    </w:rPr>
                    <w:t>严格建设项目的环境准入条件。严禁违反国家产业政策和与旅游区设定产业类型、条件不相符的建设项目入区；拟引进项目须经环境影响评价审批后方可入驻。</w:t>
                  </w:r>
                </w:p>
              </w:tc>
              <w:tc>
                <w:tcPr>
                  <w:tcW w:w="1394" w:type="pct"/>
                  <w:tcBorders>
                    <w:tl2br w:val="nil"/>
                    <w:tr2bl w:val="nil"/>
                  </w:tcBorders>
                  <w:vAlign w:val="center"/>
                </w:tcPr>
                <w:p>
                  <w:pPr>
                    <w:pStyle w:val="17"/>
                    <w:bidi w:val="0"/>
                    <w:jc w:val="center"/>
                    <w:rPr>
                      <w:rFonts w:hint="default"/>
                      <w:color w:val="auto"/>
                      <w:lang w:val="en-US" w:eastAsia="zh-CN"/>
                    </w:rPr>
                  </w:pPr>
                  <w:r>
                    <w:rPr>
                      <w:rFonts w:hint="eastAsia"/>
                      <w:color w:val="auto"/>
                      <w:lang w:val="en-US" w:eastAsia="zh-CN"/>
                    </w:rPr>
                    <w:t>本项目符合国家产业政策和与旅游区设定产业类型，环境影响评价正在进行。</w:t>
                  </w:r>
                </w:p>
              </w:tc>
              <w:tc>
                <w:tcPr>
                  <w:tcW w:w="520" w:type="pct"/>
                  <w:tcBorders>
                    <w:tl2br w:val="nil"/>
                    <w:tr2bl w:val="nil"/>
                  </w:tcBorders>
                  <w:vAlign w:val="center"/>
                </w:tcPr>
                <w:p>
                  <w:pPr>
                    <w:pStyle w:val="17"/>
                    <w:bidi w:val="0"/>
                    <w:jc w:val="center"/>
                    <w:rPr>
                      <w:rFonts w:hint="eastAsia"/>
                      <w:color w:val="auto"/>
                      <w:lang w:val="en-US" w:eastAsia="zh-CN"/>
                    </w:rPr>
                  </w:pPr>
                  <w:r>
                    <w:rPr>
                      <w:rFonts w:hint="eastAsia"/>
                      <w:color w:val="auto"/>
                      <w:lang w:val="en-US" w:eastAsia="zh-CN"/>
                    </w:rPr>
                    <w:t>相符</w:t>
                  </w:r>
                </w:p>
              </w:tc>
            </w:tr>
          </w:tbl>
          <w:p>
            <w:pPr>
              <w:bidi w:val="0"/>
              <w:rPr>
                <w:rFonts w:hint="eastAsia"/>
                <w:color w:val="auto"/>
                <w:lang w:val="en-US" w:eastAsia="zh-CN"/>
              </w:rPr>
            </w:pPr>
            <w:r>
              <w:rPr>
                <w:rFonts w:hint="eastAsia"/>
                <w:color w:val="auto"/>
                <w:lang w:val="en-US" w:eastAsia="zh-CN"/>
              </w:rPr>
              <w:t>综上所述，本项目的建设与规划环境影响报告书及其审查意见要求相符。</w:t>
            </w:r>
          </w:p>
          <w:p>
            <w:pPr>
              <w:bidi w:val="0"/>
              <w:rPr>
                <w:rFonts w:hint="eastAsia"/>
                <w:color w:val="auto"/>
                <w:lang w:val="en-US" w:eastAsia="zh-CN"/>
              </w:rPr>
            </w:pPr>
          </w:p>
          <w:p>
            <w:pPr>
              <w:pStyle w:val="23"/>
              <w:rPr>
                <w:rFonts w:hint="eastAsia"/>
                <w:color w:val="auto"/>
                <w:lang w:val="en-US" w:eastAsia="zh-CN"/>
              </w:rPr>
            </w:pPr>
          </w:p>
          <w:p>
            <w:pPr>
              <w:pStyle w:val="23"/>
              <w:ind w:left="0" w:leftChars="0" w:firstLine="0" w:firstLineChars="0"/>
              <w:rPr>
                <w:rFonts w:hint="eastAsia"/>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222" w:type="pct"/>
            <w:noWrap w:val="0"/>
            <w:tcMar>
              <w:top w:w="16" w:type="dxa"/>
              <w:left w:w="16" w:type="dxa"/>
              <w:right w:w="16" w:type="dxa"/>
            </w:tcMar>
            <w:vAlign w:val="center"/>
          </w:tcPr>
          <w:p>
            <w:pPr>
              <w:tabs>
                <w:tab w:val="center" w:pos="360"/>
              </w:tabs>
              <w:autoSpaceDE w:val="0"/>
              <w:autoSpaceDN w:val="0"/>
              <w:adjustRightInd w:val="0"/>
              <w:snapToGrid w:val="0"/>
              <w:ind w:left="0" w:leftChars="0" w:firstLine="0" w:firstLineChars="0"/>
              <w:jc w:val="center"/>
              <w:rPr>
                <w:rFonts w:hint="default" w:ascii="Times New Roman" w:hAnsi="Times New Roman" w:cs="Times New Roman"/>
                <w:color w:val="auto"/>
                <w:kern w:val="0"/>
                <w:sz w:val="24"/>
                <w:szCs w:val="24"/>
              </w:rPr>
            </w:pPr>
            <w:bookmarkStart w:id="3" w:name="_Hlk56690880"/>
            <w:r>
              <w:rPr>
                <w:rFonts w:hint="default" w:ascii="Times New Roman" w:hAnsi="Times New Roman" w:cs="Times New Roman"/>
                <w:color w:val="auto"/>
                <w:kern w:val="0"/>
                <w:sz w:val="24"/>
                <w:szCs w:val="24"/>
              </w:rPr>
              <w:t>其</w:t>
            </w:r>
          </w:p>
          <w:p>
            <w:pPr>
              <w:tabs>
                <w:tab w:val="center" w:pos="360"/>
              </w:tabs>
              <w:autoSpaceDE w:val="0"/>
              <w:autoSpaceDN w:val="0"/>
              <w:adjustRightInd w:val="0"/>
              <w:snapToGrid w:val="0"/>
              <w:ind w:left="0" w:leftChars="0" w:firstLine="0" w:firstLineChars="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他</w:t>
            </w:r>
          </w:p>
          <w:p>
            <w:pPr>
              <w:autoSpaceDE w:val="0"/>
              <w:autoSpaceDN w:val="0"/>
              <w:adjustRightInd w:val="0"/>
              <w:snapToGrid w:val="0"/>
              <w:ind w:left="0" w:leftChars="0" w:firstLine="0" w:firstLineChars="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符</w:t>
            </w:r>
          </w:p>
          <w:p>
            <w:pPr>
              <w:autoSpaceDE w:val="0"/>
              <w:autoSpaceDN w:val="0"/>
              <w:adjustRightInd w:val="0"/>
              <w:snapToGrid w:val="0"/>
              <w:ind w:left="0" w:leftChars="0" w:firstLine="0" w:firstLineChars="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合</w:t>
            </w:r>
          </w:p>
          <w:p>
            <w:pPr>
              <w:autoSpaceDE w:val="0"/>
              <w:autoSpaceDN w:val="0"/>
              <w:adjustRightInd w:val="0"/>
              <w:snapToGrid w:val="0"/>
              <w:ind w:left="0" w:leftChars="0" w:firstLine="0" w:firstLineChars="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性</w:t>
            </w:r>
          </w:p>
          <w:p>
            <w:pPr>
              <w:autoSpaceDE w:val="0"/>
              <w:autoSpaceDN w:val="0"/>
              <w:adjustRightInd w:val="0"/>
              <w:snapToGrid w:val="0"/>
              <w:ind w:left="0" w:leftChars="0" w:firstLine="0" w:firstLineChars="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分</w:t>
            </w:r>
          </w:p>
          <w:p>
            <w:pPr>
              <w:autoSpaceDE w:val="0"/>
              <w:autoSpaceDN w:val="0"/>
              <w:adjustRightInd w:val="0"/>
              <w:snapToGrid w:val="0"/>
              <w:ind w:left="0" w:leftChars="0" w:firstLine="0" w:firstLineChars="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析</w:t>
            </w:r>
            <w:bookmarkEnd w:id="3"/>
          </w:p>
        </w:tc>
        <w:tc>
          <w:tcPr>
            <w:tcW w:w="4777" w:type="pct"/>
            <w:gridSpan w:val="4"/>
            <w:noWrap w:val="0"/>
            <w:tcMar>
              <w:top w:w="16" w:type="dxa"/>
              <w:left w:w="16" w:type="dxa"/>
              <w:right w:w="16" w:type="dxa"/>
            </w:tcMar>
            <w:vAlign w:val="center"/>
          </w:tcPr>
          <w:p>
            <w:pPr>
              <w:pStyle w:val="4"/>
              <w:bidi w:val="0"/>
              <w:rPr>
                <w:rFonts w:hint="default"/>
                <w:color w:val="auto"/>
              </w:rPr>
            </w:pPr>
            <w:r>
              <w:rPr>
                <w:rFonts w:hint="eastAsia"/>
                <w:color w:val="auto"/>
                <w:lang w:val="en-US" w:eastAsia="zh-CN"/>
              </w:rPr>
              <w:t xml:space="preserve">1 </w:t>
            </w:r>
            <w:r>
              <w:rPr>
                <w:rFonts w:hint="default"/>
                <w:color w:val="auto"/>
              </w:rPr>
              <w:t>与国家产业政策相符性分析</w:t>
            </w:r>
          </w:p>
          <w:p>
            <w:pPr>
              <w:bidi w:val="0"/>
              <w:rPr>
                <w:rFonts w:hint="default" w:ascii="Times New Roman" w:hAnsi="Times New Roman" w:eastAsia="宋体" w:cs="Times New Roman"/>
                <w:color w:val="auto"/>
                <w:lang w:val="en-US" w:eastAsia="zh-CN"/>
              </w:rPr>
            </w:pPr>
            <w:r>
              <w:rPr>
                <w:rFonts w:hint="default" w:ascii="Times New Roman" w:hAnsi="Times New Roman" w:cs="Times New Roman"/>
                <w:bCs/>
                <w:color w:val="auto"/>
                <w:sz w:val="24"/>
                <w:highlight w:val="none"/>
                <w:lang w:bidi="zh-CN"/>
              </w:rPr>
              <w:t>项目属于《产业结构调整指导目录（20</w:t>
            </w:r>
            <w:r>
              <w:rPr>
                <w:rFonts w:hint="eastAsia" w:cs="Times New Roman"/>
                <w:bCs/>
                <w:color w:val="auto"/>
                <w:sz w:val="24"/>
                <w:highlight w:val="none"/>
                <w:lang w:val="en-US" w:bidi="zh-CN"/>
              </w:rPr>
              <w:t>24</w:t>
            </w:r>
            <w:r>
              <w:rPr>
                <w:rFonts w:hint="default" w:ascii="Times New Roman" w:hAnsi="Times New Roman" w:cs="Times New Roman"/>
                <w:bCs/>
                <w:color w:val="auto"/>
                <w:sz w:val="24"/>
                <w:highlight w:val="none"/>
                <w:lang w:bidi="zh-CN"/>
              </w:rPr>
              <w:t>年本）》鼓励类中</w:t>
            </w:r>
            <w:r>
              <w:rPr>
                <w:rFonts w:hint="eastAsia" w:cs="Times New Roman"/>
                <w:bCs/>
                <w:color w:val="auto"/>
                <w:sz w:val="24"/>
                <w:highlight w:val="none"/>
                <w:lang w:bidi="zh-CN"/>
              </w:rPr>
              <w:t>“</w:t>
            </w:r>
            <w:r>
              <w:rPr>
                <w:rFonts w:hint="default" w:ascii="Times New Roman" w:hAnsi="Times New Roman" w:cs="Times New Roman"/>
                <w:bCs/>
                <w:color w:val="auto"/>
                <w:sz w:val="24"/>
                <w:highlight w:val="none"/>
                <w:lang w:bidi="zh-CN"/>
              </w:rPr>
              <w:t>三十四、旅游业：</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、旅游</w:t>
            </w:r>
            <w:r>
              <w:rPr>
                <w:rFonts w:hint="eastAsia" w:ascii="Times New Roman" w:hAnsi="Times New Roman" w:eastAsia="宋体" w:cs="Times New Roman"/>
                <w:color w:val="auto"/>
                <w:lang w:val="en-US" w:eastAsia="zh-CN"/>
              </w:rPr>
              <w:t>新业态”</w:t>
            </w:r>
            <w:r>
              <w:rPr>
                <w:rFonts w:hint="default" w:ascii="Times New Roman" w:hAnsi="Times New Roman" w:eastAsia="宋体" w:cs="Times New Roman"/>
                <w:color w:val="auto"/>
                <w:lang w:val="en-US" w:eastAsia="zh-CN"/>
              </w:rPr>
              <w:t>，为鼓励类项目。旅游业是国家鼓励的产业，是战略性产业，</w:t>
            </w:r>
            <w:r>
              <w:rPr>
                <w:rFonts w:hint="eastAsia" w:ascii="Times New Roman" w:hAnsi="Times New Roman" w:eastAsia="宋体" w:cs="Times New Roman"/>
                <w:color w:val="auto"/>
                <w:lang w:val="en-US" w:eastAsia="zh-CN"/>
              </w:rPr>
              <w:t>本</w:t>
            </w:r>
            <w:r>
              <w:rPr>
                <w:rFonts w:hint="default" w:ascii="Times New Roman" w:hAnsi="Times New Roman" w:eastAsia="宋体" w:cs="Times New Roman"/>
                <w:color w:val="auto"/>
                <w:lang w:val="en-US" w:eastAsia="zh-CN"/>
              </w:rPr>
              <w:t>项目的建设对解决</w:t>
            </w:r>
            <w:r>
              <w:rPr>
                <w:rFonts w:hint="eastAsia" w:ascii="Times New Roman" w:hAnsi="Times New Roman" w:eastAsia="宋体" w:cs="Times New Roman"/>
                <w:color w:val="auto"/>
                <w:lang w:val="en-US" w:eastAsia="zh-CN"/>
              </w:rPr>
              <w:t>果子沟-赛里木湖</w:t>
            </w:r>
            <w:r>
              <w:rPr>
                <w:rFonts w:hint="default" w:ascii="Times New Roman" w:hAnsi="Times New Roman" w:eastAsia="宋体" w:cs="Times New Roman"/>
                <w:color w:val="auto"/>
                <w:lang w:val="en-US" w:eastAsia="zh-CN"/>
              </w:rPr>
              <w:t>景区的内部交通、实现景区的可持续发展、改善游览环境具有重要意义。</w:t>
            </w:r>
          </w:p>
          <w:p>
            <w:pPr>
              <w:bidi w:val="0"/>
              <w:rPr>
                <w:rFonts w:hint="default" w:ascii="Times New Roman" w:hAnsi="Times New Roman" w:cs="Times New Roman"/>
                <w:bCs/>
                <w:color w:val="auto"/>
                <w:sz w:val="24"/>
                <w:highlight w:val="none"/>
                <w:lang w:bidi="zh-CN"/>
              </w:rPr>
            </w:pPr>
            <w:r>
              <w:rPr>
                <w:rFonts w:hint="default" w:ascii="Times New Roman" w:hAnsi="Times New Roman" w:eastAsia="宋体" w:cs="Times New Roman"/>
                <w:color w:val="auto"/>
                <w:lang w:val="en-US" w:eastAsia="zh-CN"/>
              </w:rPr>
              <w:t>综上所述</w:t>
            </w:r>
            <w:r>
              <w:rPr>
                <w:rFonts w:hint="default" w:ascii="Times New Roman" w:hAnsi="Times New Roman" w:cs="Times New Roman"/>
                <w:bCs/>
                <w:color w:val="auto"/>
                <w:sz w:val="24"/>
                <w:highlight w:val="none"/>
                <w:lang w:bidi="zh-CN"/>
              </w:rPr>
              <w:t>，项目符合国家和地方产业政策。</w:t>
            </w:r>
          </w:p>
          <w:p>
            <w:pPr>
              <w:pStyle w:val="4"/>
              <w:bidi w:val="0"/>
              <w:rPr>
                <w:rFonts w:hint="default"/>
                <w:color w:val="auto"/>
              </w:rPr>
            </w:pPr>
            <w:r>
              <w:rPr>
                <w:rFonts w:hint="default"/>
                <w:color w:val="auto"/>
              </w:rPr>
              <w:t>2</w:t>
            </w:r>
            <w:r>
              <w:rPr>
                <w:rFonts w:hint="eastAsia"/>
                <w:color w:val="auto"/>
                <w:lang w:val="en-US" w:eastAsia="zh-CN"/>
              </w:rPr>
              <w:t xml:space="preserve"> </w:t>
            </w:r>
            <w:r>
              <w:rPr>
                <w:rFonts w:hint="default"/>
                <w:color w:val="auto"/>
              </w:rPr>
              <w:t>与</w:t>
            </w:r>
            <w:r>
              <w:rPr>
                <w:color w:val="auto"/>
              </w:rPr>
              <w:t>《</w:t>
            </w:r>
            <w:r>
              <w:rPr>
                <w:rFonts w:hint="eastAsia"/>
                <w:color w:val="auto"/>
              </w:rPr>
              <w:t>伊犁</w:t>
            </w:r>
            <w:r>
              <w:rPr>
                <w:color w:val="auto"/>
              </w:rPr>
              <w:t>河谷旅游业发展总体规划》</w:t>
            </w:r>
            <w:r>
              <w:rPr>
                <w:rFonts w:hint="eastAsia"/>
                <w:color w:val="auto"/>
              </w:rPr>
              <w:t>（修编）</w:t>
            </w:r>
            <w:r>
              <w:rPr>
                <w:color w:val="auto"/>
              </w:rPr>
              <w:t>（2013</w:t>
            </w:r>
            <w:r>
              <w:rPr>
                <w:rFonts w:hint="eastAsia"/>
                <w:color w:val="auto"/>
              </w:rPr>
              <w:t>-</w:t>
            </w:r>
            <w:r>
              <w:rPr>
                <w:color w:val="auto"/>
              </w:rPr>
              <w:t>2030）</w:t>
            </w:r>
            <w:r>
              <w:rPr>
                <w:rFonts w:hint="eastAsia"/>
                <w:color w:val="auto"/>
              </w:rPr>
              <w:t>协调性</w:t>
            </w:r>
            <w:r>
              <w:rPr>
                <w:color w:val="auto"/>
              </w:rPr>
              <w:t>分析</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伊犁河谷旅游业发展总体规划》（修编）（2013-2030）中县市旅游规划，霍城县重点建设三大品牌项目，包括惠远古城、果子沟（赛里木湖）、薰衣草。其中果子沟景区规划建设要求为：整合果子沟和赛里木湖为一体，依托赛里木湖与果子沟距离较近，空间组合优良的优势，克服限制性因素，以“新疆伊犁第一景”对其整体进行打造，统一包装；以赛里木湖作为核心吸引物，进行环境整治优化，在不影响湖区及水岸原生态环境的前提下，适当配置配套的接待设施；以果子沟诸沟为高端度假服务区开发建设，按照“一沟一品”的原则进行定位。另外，发挥果子沟作为伊犁河谷重要门户的地理与交通优势，把果子沟打造为一个门户品牌景区和服务基地，并与赛里木湖旅游区共同打造AAAAA级旅游景区。</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位于果赛景区内的养生度假区，根据《果子沟-赛里木湖景区总体规划》（2012-2030），果赛景区规划以“生态观光、养生度假、民俗体验、运动游乐、户外探险”五大功能为核心；设置多个不同类型和功能的景点和服务设施区，可以满足不同类型人群的不同需要。本项目建设游客服务中心、商业及配套、旅游服务设施等基础设施建设，符合果赛景区规划要求，提升了果赛景区旅游资源和服务设施性能，为果赛景区打造为门户品牌景区和服务基地奠定良好基础。</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本项目的建设满足《伊犁河谷旅游业发展总体规划》（修编）（2013－2030）相关规划要求。</w:t>
            </w:r>
          </w:p>
          <w:p>
            <w:pPr>
              <w:bidi w:val="0"/>
              <w:ind w:left="0" w:leftChars="0" w:firstLine="0" w:firstLineChars="0"/>
              <w:rPr>
                <w:b/>
                <w:bCs/>
                <w:color w:val="auto"/>
              </w:rPr>
            </w:pPr>
            <w:r>
              <w:rPr>
                <w:rFonts w:hint="eastAsia" w:ascii="Times New Roman" w:hAnsi="Times New Roman" w:eastAsia="宋体" w:cs="Times New Roman"/>
                <w:b/>
                <w:bCs/>
                <w:color w:val="auto"/>
                <w:lang w:val="en-US" w:eastAsia="zh-CN"/>
              </w:rPr>
              <w:t>3 与《新疆霍城县旅游发展规划》（</w:t>
            </w:r>
            <w:r>
              <w:rPr>
                <w:rFonts w:hint="eastAsia"/>
                <w:b/>
                <w:bCs/>
                <w:color w:val="auto"/>
              </w:rPr>
              <w:t>2015-2030）协调性分析</w:t>
            </w:r>
          </w:p>
          <w:p>
            <w:pPr>
              <w:ind w:firstLine="480"/>
              <w:rPr>
                <w:rFonts w:hint="eastAsia" w:ascii="Times New Roman" w:hAnsi="Times New Roman" w:eastAsia="宋体" w:cs="Times New Roman"/>
                <w:b w:val="0"/>
                <w:bCs w:val="0"/>
                <w:color w:val="auto"/>
                <w:lang w:bidi="en-US"/>
              </w:rPr>
            </w:pPr>
            <w:r>
              <w:rPr>
                <w:rFonts w:hint="eastAsia" w:cs="Times New Roman"/>
                <w:b w:val="0"/>
                <w:bCs w:val="0"/>
                <w:color w:val="auto"/>
                <w:lang w:bidi="en-US"/>
              </w:rPr>
              <w:t>根据《新疆霍城县旅游发展规划》（2015-2030），霍城县旅游发展确立旅游开发以历史文化、生态文化为龙头，休闲体验旅游为主体的战略定性，确立“伊犁国际旅游谷西部集散中心”的战略定位，塑造“丝路花都古韵霍城”的旅游战略形象，发展独具特色的旅游服务接待为基础，引领霍城县旅游业自景区旅游向旅游目的地转变；由传统观</w:t>
            </w:r>
            <w:r>
              <w:rPr>
                <w:rFonts w:hint="eastAsia" w:ascii="Times New Roman" w:hAnsi="Times New Roman" w:eastAsia="宋体" w:cs="Times New Roman"/>
                <w:b w:val="0"/>
                <w:bCs w:val="0"/>
                <w:color w:val="auto"/>
                <w:lang w:bidi="en-US"/>
              </w:rPr>
              <w:t>光型旅游向新型体验式旅游转变；由单一的旅游产品向复合型旅游产品转变，带动霍城县旅游产业全面发展。</w:t>
            </w:r>
          </w:p>
          <w:p>
            <w:pPr>
              <w:ind w:firstLine="480"/>
              <w:rPr>
                <w:rFonts w:cs="Times New Roman"/>
                <w:b w:val="0"/>
                <w:bCs w:val="0"/>
                <w:color w:val="auto"/>
                <w:lang w:bidi="en-US"/>
              </w:rPr>
            </w:pPr>
            <w:r>
              <w:rPr>
                <w:rFonts w:hint="eastAsia" w:ascii="Times New Roman" w:hAnsi="Times New Roman" w:eastAsia="宋体" w:cs="Times New Roman"/>
                <w:b w:val="0"/>
                <w:bCs w:val="0"/>
                <w:color w:val="auto"/>
                <w:lang w:bidi="en-US"/>
              </w:rPr>
              <w:t>霍城县八大旅游景区：惠远古城景区、果子沟景区、大西沟福寿山景区、图开沙漠景区、伊犁河谷湿地音乐公园、芳香小镇、怪榆沟景区、四爪陆龟自然保护区。</w:t>
            </w:r>
            <w:r>
              <w:rPr>
                <w:rFonts w:hint="eastAsia" w:cs="Times New Roman"/>
                <w:b w:val="0"/>
                <w:bCs w:val="0"/>
                <w:color w:val="auto"/>
                <w:lang w:bidi="en-US"/>
              </w:rPr>
              <w:t>其中果子沟景区规划情况如下：</w:t>
            </w:r>
          </w:p>
          <w:p>
            <w:pPr>
              <w:ind w:firstLine="480"/>
              <w:rPr>
                <w:rFonts w:cs="Times New Roman"/>
                <w:b w:val="0"/>
                <w:bCs w:val="0"/>
                <w:color w:val="auto"/>
                <w:lang w:bidi="en-US"/>
              </w:rPr>
            </w:pPr>
            <w:r>
              <w:rPr>
                <w:rFonts w:hint="eastAsia" w:cs="Times New Roman"/>
                <w:b w:val="0"/>
                <w:bCs w:val="0"/>
                <w:color w:val="auto"/>
                <w:lang w:bidi="en-US"/>
              </w:rPr>
              <w:t>（</w:t>
            </w:r>
            <w:r>
              <w:rPr>
                <w:rFonts w:cs="Times New Roman"/>
                <w:b w:val="0"/>
                <w:bCs w:val="0"/>
                <w:color w:val="auto"/>
                <w:lang w:bidi="en-US"/>
              </w:rPr>
              <w:t>1</w:t>
            </w:r>
            <w:r>
              <w:rPr>
                <w:rFonts w:hint="eastAsia" w:cs="Times New Roman"/>
                <w:b w:val="0"/>
                <w:bCs w:val="0"/>
                <w:color w:val="auto"/>
                <w:lang w:bidi="en-US"/>
              </w:rPr>
              <w:t>）规划范围</w:t>
            </w:r>
          </w:p>
          <w:p>
            <w:pPr>
              <w:ind w:firstLine="480"/>
              <w:rPr>
                <w:rFonts w:cs="Times New Roman"/>
                <w:b w:val="0"/>
                <w:bCs w:val="0"/>
                <w:color w:val="auto"/>
                <w:lang w:bidi="en-US"/>
              </w:rPr>
            </w:pPr>
            <w:r>
              <w:rPr>
                <w:rFonts w:hint="eastAsia" w:cs="Times New Roman"/>
                <w:b w:val="0"/>
                <w:bCs w:val="0"/>
                <w:color w:val="auto"/>
                <w:lang w:bidi="en-US"/>
              </w:rPr>
              <w:t>果子沟主沟，还包括直沟、东沟、大水沟、江巴斯沟、桦木沟、将军沟等六条支沟。</w:t>
            </w:r>
          </w:p>
          <w:p>
            <w:pPr>
              <w:ind w:firstLine="480"/>
              <w:rPr>
                <w:rFonts w:cs="Times New Roman"/>
                <w:b w:val="0"/>
                <w:bCs w:val="0"/>
                <w:color w:val="auto"/>
                <w:lang w:bidi="en-US"/>
              </w:rPr>
            </w:pPr>
            <w:r>
              <w:rPr>
                <w:rFonts w:hint="eastAsia" w:cs="Times New Roman"/>
                <w:b w:val="0"/>
                <w:bCs w:val="0"/>
                <w:color w:val="auto"/>
                <w:lang w:bidi="en-US"/>
              </w:rPr>
              <w:t>（</w:t>
            </w:r>
            <w:r>
              <w:rPr>
                <w:rFonts w:cs="Times New Roman"/>
                <w:b w:val="0"/>
                <w:bCs w:val="0"/>
                <w:color w:val="auto"/>
                <w:lang w:bidi="en-US"/>
              </w:rPr>
              <w:t>2</w:t>
            </w:r>
            <w:r>
              <w:rPr>
                <w:rFonts w:hint="eastAsia" w:cs="Times New Roman"/>
                <w:b w:val="0"/>
                <w:bCs w:val="0"/>
                <w:color w:val="auto"/>
                <w:lang w:bidi="en-US"/>
              </w:rPr>
              <w:t>）总体定位</w:t>
            </w:r>
          </w:p>
          <w:p>
            <w:pPr>
              <w:ind w:firstLine="480"/>
              <w:rPr>
                <w:rFonts w:cs="Times New Roman"/>
                <w:b w:val="0"/>
                <w:bCs w:val="0"/>
                <w:color w:val="auto"/>
                <w:lang w:bidi="en-US"/>
              </w:rPr>
            </w:pPr>
            <w:r>
              <w:rPr>
                <w:rFonts w:hint="eastAsia" w:cs="Times New Roman"/>
                <w:b w:val="0"/>
                <w:bCs w:val="0"/>
                <w:color w:val="auto"/>
                <w:lang w:bidi="en-US"/>
              </w:rPr>
              <w:t>形象定位：景物天山伊犁铁关</w:t>
            </w:r>
          </w:p>
          <w:p>
            <w:pPr>
              <w:ind w:firstLine="480"/>
              <w:rPr>
                <w:rFonts w:cs="Times New Roman"/>
                <w:b w:val="0"/>
                <w:bCs w:val="0"/>
                <w:color w:val="auto"/>
                <w:lang w:bidi="en-US"/>
              </w:rPr>
            </w:pPr>
            <w:r>
              <w:rPr>
                <w:rFonts w:hint="eastAsia" w:cs="Times New Roman"/>
                <w:b w:val="0"/>
                <w:bCs w:val="0"/>
                <w:color w:val="auto"/>
                <w:lang w:bidi="en-US"/>
              </w:rPr>
              <w:t>功能定位：伊犁第一景——展示旅游形象，度假休闲，探奇观光。</w:t>
            </w:r>
          </w:p>
          <w:p>
            <w:pPr>
              <w:ind w:firstLine="480"/>
              <w:rPr>
                <w:rFonts w:cs="Times New Roman"/>
                <w:b w:val="0"/>
                <w:bCs w:val="0"/>
                <w:color w:val="auto"/>
                <w:lang w:bidi="en-US"/>
              </w:rPr>
            </w:pPr>
            <w:r>
              <w:rPr>
                <w:rFonts w:hint="eastAsia" w:cs="Times New Roman"/>
                <w:b w:val="0"/>
                <w:bCs w:val="0"/>
                <w:color w:val="auto"/>
                <w:lang w:bidi="en-US"/>
              </w:rPr>
              <w:t>目标定位：以规划区域为核心支持，打造精品</w:t>
            </w:r>
            <w:r>
              <w:rPr>
                <w:rFonts w:cs="Times New Roman"/>
                <w:b w:val="0"/>
                <w:bCs w:val="0"/>
                <w:color w:val="auto"/>
                <w:lang w:bidi="en-US"/>
              </w:rPr>
              <w:t>AAAAA</w:t>
            </w:r>
            <w:r>
              <w:rPr>
                <w:rFonts w:hint="eastAsia" w:cs="Times New Roman"/>
                <w:b w:val="0"/>
                <w:bCs w:val="0"/>
                <w:color w:val="auto"/>
                <w:lang w:bidi="en-US"/>
              </w:rPr>
              <w:t>级旅游区、伊犁河谷首位旅游服务中心和时尚门户服务基地。</w:t>
            </w:r>
          </w:p>
          <w:p>
            <w:pPr>
              <w:ind w:firstLine="480"/>
              <w:rPr>
                <w:rFonts w:cs="Times New Roman"/>
                <w:b w:val="0"/>
                <w:bCs w:val="0"/>
                <w:color w:val="auto"/>
                <w:lang w:bidi="en-US"/>
              </w:rPr>
            </w:pPr>
            <w:r>
              <w:rPr>
                <w:rFonts w:hint="eastAsia" w:cs="Times New Roman"/>
                <w:b w:val="0"/>
                <w:bCs w:val="0"/>
                <w:color w:val="auto"/>
                <w:lang w:bidi="en-US"/>
              </w:rPr>
              <w:t>本</w:t>
            </w:r>
            <w:r>
              <w:rPr>
                <w:rFonts w:hint="eastAsia" w:cs="Times New Roman"/>
                <w:b w:val="0"/>
                <w:bCs w:val="0"/>
                <w:color w:val="auto"/>
                <w:lang w:val="en-US" w:eastAsia="zh-CN" w:bidi="en-US"/>
              </w:rPr>
              <w:t>项目位于</w:t>
            </w:r>
            <w:r>
              <w:rPr>
                <w:rFonts w:hint="eastAsia" w:cs="Times New Roman"/>
                <w:b w:val="0"/>
                <w:bCs w:val="0"/>
                <w:color w:val="auto"/>
                <w:lang w:bidi="en-US"/>
              </w:rPr>
              <w:t>《新疆霍城县旅游发展规划》（2015-2030）中</w:t>
            </w:r>
            <w:r>
              <w:rPr>
                <w:rFonts w:hint="eastAsia" w:cs="Times New Roman"/>
                <w:b w:val="0"/>
                <w:bCs w:val="0"/>
                <w:color w:val="auto"/>
                <w:lang w:val="en-US" w:eastAsia="zh-CN" w:bidi="en-US"/>
              </w:rPr>
              <w:t>规划的</w:t>
            </w:r>
            <w:r>
              <w:rPr>
                <w:rFonts w:hint="eastAsia" w:cs="Times New Roman"/>
                <w:b w:val="0"/>
                <w:bCs w:val="0"/>
                <w:color w:val="auto"/>
                <w:lang w:bidi="en-US"/>
              </w:rPr>
              <w:t>果子沟景区，本项目</w:t>
            </w:r>
            <w:r>
              <w:rPr>
                <w:rFonts w:hint="eastAsia" w:cs="Times New Roman"/>
                <w:b w:val="0"/>
                <w:bCs w:val="0"/>
                <w:color w:val="auto"/>
                <w:lang w:val="en-US" w:eastAsia="zh-CN" w:bidi="en-US"/>
              </w:rPr>
              <w:t>的</w:t>
            </w:r>
            <w:r>
              <w:rPr>
                <w:rFonts w:hint="eastAsia" w:cs="Times New Roman"/>
                <w:b w:val="0"/>
                <w:bCs w:val="0"/>
                <w:color w:val="auto"/>
                <w:lang w:bidi="en-US"/>
              </w:rPr>
              <w:t>建设</w:t>
            </w:r>
            <w:r>
              <w:rPr>
                <w:rFonts w:hint="eastAsia" w:cs="Times New Roman"/>
                <w:b w:val="0"/>
                <w:bCs w:val="0"/>
                <w:color w:val="auto"/>
                <w:lang w:val="en-US" w:eastAsia="zh-CN" w:bidi="en-US"/>
              </w:rPr>
              <w:t>有利于果赛景区打造</w:t>
            </w:r>
            <w:r>
              <w:rPr>
                <w:rFonts w:cs="Times New Roman"/>
                <w:b w:val="0"/>
                <w:bCs w:val="0"/>
                <w:color w:val="auto"/>
                <w:lang w:bidi="en-US"/>
              </w:rPr>
              <w:t>AAAAA</w:t>
            </w:r>
            <w:r>
              <w:rPr>
                <w:rFonts w:hint="eastAsia" w:cs="Times New Roman"/>
                <w:b w:val="0"/>
                <w:bCs w:val="0"/>
                <w:color w:val="auto"/>
                <w:lang w:bidi="en-US"/>
              </w:rPr>
              <w:t>级旅游区、伊犁河谷首位旅游服务中心和时尚门户服务基地。</w:t>
            </w:r>
            <w:r>
              <w:rPr>
                <w:rFonts w:hint="eastAsia" w:cs="Times New Roman"/>
                <w:b w:val="0"/>
                <w:bCs w:val="0"/>
                <w:color w:val="auto"/>
                <w:lang w:val="en-US" w:eastAsia="zh-CN" w:bidi="en-US"/>
              </w:rPr>
              <w:t>与</w:t>
            </w:r>
            <w:r>
              <w:rPr>
                <w:rFonts w:hint="eastAsia" w:cs="Times New Roman"/>
                <w:b w:val="0"/>
                <w:bCs w:val="0"/>
                <w:color w:val="auto"/>
                <w:lang w:bidi="en-US"/>
              </w:rPr>
              <w:t>《新疆霍城县旅游发展规划》（2015-2030）相</w:t>
            </w:r>
            <w:r>
              <w:rPr>
                <w:rFonts w:hint="eastAsia" w:cs="Times New Roman"/>
                <w:b w:val="0"/>
                <w:bCs w:val="0"/>
                <w:color w:val="auto"/>
                <w:lang w:val="en-US" w:eastAsia="zh-CN" w:bidi="en-US"/>
              </w:rPr>
              <w:t>协调</w:t>
            </w:r>
            <w:r>
              <w:rPr>
                <w:rFonts w:hint="eastAsia" w:cs="Times New Roman"/>
                <w:b w:val="0"/>
                <w:bCs w:val="0"/>
                <w:color w:val="auto"/>
                <w:lang w:bidi="en-US"/>
              </w:rPr>
              <w:t>。</w:t>
            </w:r>
          </w:p>
          <w:p>
            <w:pPr>
              <w:ind w:left="0" w:leftChars="0" w:firstLine="0" w:firstLineChars="0"/>
              <w:rPr>
                <w:rFonts w:hint="eastAsia" w:ascii="Times New Roman" w:hAnsi="Times New Roman" w:eastAsia="宋体" w:cs="Times New Roman"/>
                <w:b/>
                <w:bCs/>
                <w:color w:val="auto"/>
                <w:lang w:val="en-US" w:eastAsia="zh-CN" w:bidi="en-US"/>
              </w:rPr>
            </w:pPr>
            <w:r>
              <w:rPr>
                <w:rFonts w:hint="eastAsia" w:ascii="Times New Roman" w:hAnsi="Times New Roman" w:eastAsia="宋体" w:cs="Times New Roman"/>
                <w:b/>
                <w:bCs/>
                <w:color w:val="auto"/>
                <w:lang w:val="en-US" w:eastAsia="zh-CN" w:bidi="en-US"/>
              </w:rPr>
              <w:t>4 与《</w:t>
            </w:r>
            <w:r>
              <w:rPr>
                <w:rFonts w:hint="eastAsia" w:ascii="Times New Roman" w:hAnsi="Times New Roman" w:eastAsia="宋体" w:cs="Times New Roman"/>
                <w:b/>
                <w:bCs/>
                <w:color w:val="auto"/>
                <w:lang w:bidi="en-US"/>
              </w:rPr>
              <w:t>霍城县国土空间规划（2020-2035 年）</w:t>
            </w:r>
            <w:r>
              <w:rPr>
                <w:rFonts w:hint="eastAsia" w:ascii="Times New Roman" w:hAnsi="Times New Roman" w:eastAsia="宋体" w:cs="Times New Roman"/>
                <w:b/>
                <w:bCs/>
                <w:color w:val="auto"/>
                <w:lang w:val="en-US" w:eastAsia="zh-CN" w:bidi="en-US"/>
              </w:rPr>
              <w:t>》符合性分析</w:t>
            </w:r>
          </w:p>
          <w:p>
            <w:pPr>
              <w:ind w:firstLine="480"/>
              <w:rPr>
                <w:rFonts w:hint="eastAsia" w:ascii="Times New Roman" w:hAnsi="Times New Roman" w:eastAsia="宋体" w:cs="Times New Roman"/>
                <w:b w:val="0"/>
                <w:bCs w:val="0"/>
                <w:color w:val="auto"/>
                <w:lang w:eastAsia="zh-CN" w:bidi="en-US"/>
              </w:rPr>
            </w:pPr>
            <w:r>
              <w:rPr>
                <w:rFonts w:hint="eastAsia" w:ascii="Times New Roman" w:hAnsi="Times New Roman" w:eastAsia="宋体" w:cs="Times New Roman"/>
                <w:b w:val="0"/>
                <w:bCs w:val="0"/>
                <w:color w:val="auto"/>
                <w:lang w:val="en-US" w:eastAsia="zh-CN" w:bidi="en-US"/>
              </w:rPr>
              <w:t>根据《</w:t>
            </w:r>
            <w:r>
              <w:rPr>
                <w:rFonts w:hint="eastAsia" w:ascii="Times New Roman" w:hAnsi="Times New Roman" w:eastAsia="宋体" w:cs="Times New Roman"/>
                <w:b w:val="0"/>
                <w:bCs w:val="0"/>
                <w:color w:val="auto"/>
                <w:lang w:bidi="en-US"/>
              </w:rPr>
              <w:t>霍城县国土空间规划（2020-2035 年）</w:t>
            </w:r>
            <w:r>
              <w:rPr>
                <w:rFonts w:hint="eastAsia" w:ascii="Times New Roman" w:hAnsi="Times New Roman" w:eastAsia="宋体" w:cs="Times New Roman"/>
                <w:b w:val="0"/>
                <w:bCs w:val="0"/>
                <w:color w:val="auto"/>
                <w:lang w:val="en-US" w:eastAsia="zh-CN" w:bidi="en-US"/>
              </w:rPr>
              <w:t>》</w:t>
            </w:r>
            <w:r>
              <w:rPr>
                <w:rFonts w:hint="eastAsia" w:ascii="Times New Roman" w:hAnsi="Times New Roman" w:eastAsia="宋体" w:cs="Times New Roman"/>
                <w:b w:val="0"/>
                <w:bCs w:val="0"/>
                <w:color w:val="auto"/>
                <w:lang w:bidi="en-US"/>
              </w:rPr>
              <w:t>旅游发展总体布局</w:t>
            </w:r>
            <w:r>
              <w:rPr>
                <w:rFonts w:hint="eastAsia" w:ascii="Times New Roman" w:hAnsi="Times New Roman" w:eastAsia="宋体" w:cs="Times New Roman"/>
                <w:b w:val="0"/>
                <w:bCs w:val="0"/>
                <w:color w:val="auto"/>
                <w:lang w:eastAsia="zh-CN" w:bidi="en-US"/>
              </w:rPr>
              <w:t>：</w:t>
            </w:r>
            <w:r>
              <w:rPr>
                <w:rFonts w:hint="eastAsia" w:ascii="Times New Roman" w:hAnsi="Times New Roman" w:eastAsia="宋体" w:cs="Times New Roman"/>
                <w:b w:val="0"/>
                <w:bCs w:val="0"/>
                <w:color w:val="auto"/>
                <w:lang w:bidi="en-US"/>
              </w:rPr>
              <w:t>以霍城县城为核心，清水河和惠远古城节点，构建两大轴线，重点发展六大景区，形成多点突破的旅游发展空间格局， 即“一核两心两轴六片区”的空间格局</w:t>
            </w:r>
            <w:r>
              <w:rPr>
                <w:rFonts w:hint="eastAsia" w:ascii="Times New Roman" w:hAnsi="Times New Roman" w:eastAsia="宋体" w:cs="Times New Roman"/>
                <w:b w:val="0"/>
                <w:bCs w:val="0"/>
                <w:color w:val="auto"/>
                <w:lang w:eastAsia="zh-CN" w:bidi="en-US"/>
              </w:rPr>
              <w:t>。</w:t>
            </w:r>
          </w:p>
          <w:p>
            <w:pPr>
              <w:ind w:firstLine="480"/>
              <w:rPr>
                <w:rFonts w:hint="eastAsia" w:ascii="Times New Roman" w:hAnsi="Times New Roman" w:eastAsia="宋体" w:cs="Times New Roman"/>
                <w:b w:val="0"/>
                <w:bCs w:val="0"/>
                <w:color w:val="auto"/>
                <w:lang w:bidi="en-US"/>
              </w:rPr>
            </w:pPr>
            <w:r>
              <w:rPr>
                <w:rFonts w:hint="eastAsia" w:ascii="Times New Roman" w:hAnsi="Times New Roman" w:eastAsia="宋体" w:cs="Times New Roman"/>
                <w:b w:val="0"/>
                <w:bCs w:val="0"/>
                <w:color w:val="auto"/>
                <w:lang w:bidi="en-US"/>
              </w:rPr>
              <w:t>“一核”：霍城县综合文旅服务核。依托霍城县城，推动县域与旅游融合共生，造集文化旅游、餐饮美食、休闲娱乐、特色购物、旅游集散、旅游咨询服务于一体的休闲旅游中心区，成为霍城县的游客集散中心、旅游综合服务中心和文化体验与商务休闲旅游会客厅。</w:t>
            </w:r>
          </w:p>
          <w:p>
            <w:pPr>
              <w:ind w:firstLine="480"/>
              <w:rPr>
                <w:rFonts w:hint="eastAsia" w:ascii="Times New Roman" w:hAnsi="Times New Roman" w:eastAsia="宋体" w:cs="Times New Roman"/>
                <w:b w:val="0"/>
                <w:bCs w:val="0"/>
                <w:color w:val="auto"/>
                <w:lang w:bidi="en-US"/>
              </w:rPr>
            </w:pPr>
            <w:r>
              <w:rPr>
                <w:rFonts w:hint="eastAsia" w:ascii="Times New Roman" w:hAnsi="Times New Roman" w:eastAsia="宋体" w:cs="Times New Roman"/>
                <w:b w:val="0"/>
                <w:bCs w:val="0"/>
                <w:color w:val="auto"/>
                <w:lang w:bidi="en-US"/>
              </w:rPr>
              <w:t>“两心”：清水河和惠远古城可以作为两个节点型的旅游集散中心。其中，清水河镇是一个三岔路口，西去霍尔果斯口岸，东南去伊宁市，东北去乌鲁木齐，是一个交通枢纽；惠远古城坐落于国道218沿线，是通往伊宁的必经之路，此外，把惠远古城作为一个集散中心，也有利于该地逗留型旅游产品的开发。</w:t>
            </w:r>
          </w:p>
          <w:p>
            <w:pPr>
              <w:ind w:firstLine="480"/>
              <w:rPr>
                <w:rFonts w:hint="eastAsia" w:ascii="Times New Roman" w:hAnsi="Times New Roman" w:eastAsia="宋体" w:cs="Times New Roman"/>
                <w:b w:val="0"/>
                <w:bCs w:val="0"/>
                <w:color w:val="auto"/>
                <w:lang w:bidi="en-US"/>
              </w:rPr>
            </w:pPr>
            <w:r>
              <w:rPr>
                <w:rFonts w:hint="eastAsia" w:ascii="Times New Roman" w:hAnsi="Times New Roman" w:eastAsia="宋体" w:cs="Times New Roman"/>
                <w:b w:val="0"/>
                <w:bCs w:val="0"/>
                <w:color w:val="auto"/>
                <w:lang w:bidi="en-US"/>
              </w:rPr>
              <w:t>“两轴”：沿国道218、国道312的交通轴线，贯穿霍城，为该城旅游发展提供了最便利的交通基础条件。向东南西三个方向辐射所形成的旅游廊道，是串联霍城县精品景区线路的重要交通支撑。</w:t>
            </w:r>
          </w:p>
          <w:p>
            <w:pPr>
              <w:ind w:firstLine="480"/>
              <w:rPr>
                <w:rFonts w:hint="eastAsia" w:ascii="Times New Roman" w:hAnsi="Times New Roman" w:eastAsia="宋体" w:cs="Times New Roman"/>
                <w:b w:val="0"/>
                <w:bCs w:val="0"/>
                <w:color w:val="auto"/>
                <w:lang w:bidi="en-US"/>
              </w:rPr>
            </w:pPr>
            <w:r>
              <w:rPr>
                <w:rFonts w:hint="eastAsia" w:ascii="Times New Roman" w:hAnsi="Times New Roman" w:eastAsia="宋体" w:cs="Times New Roman"/>
                <w:b w:val="0"/>
                <w:bCs w:val="0"/>
                <w:color w:val="auto"/>
                <w:lang w:bidi="en-US"/>
              </w:rPr>
              <w:t>“六区”：古城文化体验区、绿洲沙海乐活区、芳香世界观光区、秘谷遗风悠游区、福寿康养度假区、奇绝果赛牧野区。</w:t>
            </w:r>
          </w:p>
          <w:p>
            <w:pPr>
              <w:ind w:firstLine="480"/>
              <w:rPr>
                <w:rFonts w:hint="eastAsia" w:ascii="Times New Roman" w:hAnsi="Times New Roman" w:eastAsia="宋体" w:cs="Times New Roman"/>
                <w:b w:val="0"/>
                <w:bCs w:val="0"/>
                <w:color w:val="auto"/>
                <w:lang w:bidi="en-US"/>
              </w:rPr>
            </w:pPr>
            <w:r>
              <w:rPr>
                <w:rFonts w:hint="eastAsia" w:ascii="Times New Roman" w:hAnsi="Times New Roman" w:eastAsia="宋体" w:cs="Times New Roman"/>
                <w:b w:val="0"/>
                <w:bCs w:val="0"/>
                <w:color w:val="auto"/>
                <w:lang w:val="en-US" w:eastAsia="zh-CN" w:bidi="en-US"/>
              </w:rPr>
              <w:t>其中</w:t>
            </w:r>
            <w:r>
              <w:rPr>
                <w:rFonts w:hint="eastAsia" w:ascii="Times New Roman" w:hAnsi="Times New Roman" w:eastAsia="宋体" w:cs="Times New Roman"/>
                <w:b w:val="0"/>
                <w:bCs w:val="0"/>
                <w:color w:val="auto"/>
                <w:lang w:bidi="en-US"/>
              </w:rPr>
              <w:t>奇绝果赛牧野区：果子沟风景秀丽，景观奇异，历来被视为新疆的名胜之地，素有伊犁“第一景”之美称。围绕果子沟自然地形地貌，森林地貌，整合哈萨克族风情乡村度假，将其开发成为集观光、科普、运动、休闲度假于一体的综合旅游目的地。</w:t>
            </w:r>
          </w:p>
          <w:p>
            <w:pPr>
              <w:ind w:firstLine="480"/>
              <w:rPr>
                <w:rFonts w:hint="default" w:ascii="Times New Roman" w:hAnsi="Times New Roman" w:eastAsia="宋体" w:cs="Times New Roman"/>
                <w:b w:val="0"/>
                <w:bCs w:val="0"/>
                <w:color w:val="auto"/>
                <w:lang w:val="en-US" w:bidi="en-US"/>
              </w:rPr>
            </w:pPr>
            <w:r>
              <w:rPr>
                <w:rFonts w:hint="eastAsia" w:ascii="Times New Roman" w:hAnsi="Times New Roman" w:eastAsia="宋体" w:cs="Times New Roman"/>
                <w:b w:val="0"/>
                <w:bCs w:val="0"/>
                <w:color w:val="auto"/>
                <w:lang w:val="en-US" w:eastAsia="zh-CN" w:bidi="en-US"/>
              </w:rPr>
              <w:t>本项目位于果赛景区内，符合</w:t>
            </w:r>
            <w:r>
              <w:rPr>
                <w:rFonts w:hint="eastAsia" w:ascii="Times New Roman" w:hAnsi="Times New Roman" w:eastAsia="宋体" w:cs="Times New Roman"/>
                <w:color w:val="auto"/>
                <w:lang w:val="en-US" w:eastAsia="zh-CN"/>
              </w:rPr>
              <w:t>《果子沟-赛里木湖景区总体规划》（2012-2030），项目的建设完善了景区内旅游基础设施建设，为游客提供高质量的旅游服务，符合</w:t>
            </w:r>
            <w:r>
              <w:rPr>
                <w:rFonts w:hint="eastAsia" w:ascii="Times New Roman" w:hAnsi="Times New Roman" w:eastAsia="宋体" w:cs="Times New Roman"/>
                <w:b w:val="0"/>
                <w:bCs w:val="0"/>
                <w:color w:val="auto"/>
                <w:lang w:val="en-US" w:eastAsia="zh-CN" w:bidi="en-US"/>
              </w:rPr>
              <w:t>《</w:t>
            </w:r>
            <w:r>
              <w:rPr>
                <w:rFonts w:hint="eastAsia" w:ascii="Times New Roman" w:hAnsi="Times New Roman" w:eastAsia="宋体" w:cs="Times New Roman"/>
                <w:b w:val="0"/>
                <w:bCs w:val="0"/>
                <w:color w:val="auto"/>
                <w:lang w:bidi="en-US"/>
              </w:rPr>
              <w:t>霍城县国土空间规划（2020-2035 年）</w:t>
            </w:r>
            <w:r>
              <w:rPr>
                <w:rFonts w:hint="eastAsia" w:ascii="Times New Roman" w:hAnsi="Times New Roman" w:eastAsia="宋体" w:cs="Times New Roman"/>
                <w:b w:val="0"/>
                <w:bCs w:val="0"/>
                <w:color w:val="auto"/>
                <w:lang w:val="en-US" w:eastAsia="zh-CN" w:bidi="en-US"/>
              </w:rPr>
              <w:t>》。</w:t>
            </w:r>
          </w:p>
          <w:p>
            <w:pPr>
              <w:ind w:left="0" w:leftChars="0" w:firstLine="0" w:firstLineChars="0"/>
              <w:rPr>
                <w:rFonts w:hint="default" w:ascii="Times New Roman" w:hAnsi="Times New Roman" w:eastAsia="宋体" w:cs="Times New Roman"/>
                <w:b/>
                <w:bCs/>
                <w:color w:val="auto"/>
                <w:lang w:val="en-US" w:eastAsia="zh-CN" w:bidi="en-US"/>
              </w:rPr>
            </w:pPr>
            <w:r>
              <w:rPr>
                <w:rFonts w:hint="eastAsia" w:ascii="Times New Roman" w:hAnsi="Times New Roman" w:eastAsia="宋体" w:cs="Times New Roman"/>
                <w:b/>
                <w:bCs/>
                <w:color w:val="auto"/>
                <w:lang w:val="en-US" w:eastAsia="zh-CN" w:bidi="en-US"/>
              </w:rPr>
              <w:t>5“三线一单”符合性分析</w:t>
            </w:r>
          </w:p>
          <w:p>
            <w:pPr>
              <w:ind w:firstLine="480"/>
              <w:rPr>
                <w:rFonts w:hint="eastAsia" w:ascii="Times New Roman" w:hAnsi="Times New Roman" w:eastAsia="宋体" w:cs="Times New Roman"/>
                <w:b w:val="0"/>
                <w:bCs w:val="0"/>
                <w:color w:val="auto"/>
                <w:lang w:val="en-US" w:eastAsia="zh-CN" w:bidi="en-US"/>
              </w:rPr>
            </w:pPr>
            <w:r>
              <w:rPr>
                <w:rFonts w:hint="eastAsia" w:ascii="Times New Roman" w:hAnsi="Times New Roman" w:eastAsia="宋体" w:cs="Times New Roman"/>
                <w:b w:val="0"/>
                <w:bCs w:val="0"/>
                <w:color w:val="auto"/>
                <w:lang w:val="en-US" w:eastAsia="zh-CN" w:bidi="en-US"/>
              </w:rPr>
              <w:t>根据环境保护部《关于以改善环境质量为核心加强环境影响评价管理的通知》（环环评〔2016〕150号），三线一单中的三线是指“生态保护红线、环境质量底线、资源利用上线”，一单为生态环境准入清单。</w:t>
            </w:r>
          </w:p>
          <w:p>
            <w:pPr>
              <w:ind w:left="0" w:leftChars="0" w:firstLine="0" w:firstLineChars="0"/>
              <w:rPr>
                <w:rFonts w:hint="default" w:ascii="Times New Roman" w:hAnsi="Times New Roman" w:eastAsia="宋体" w:cs="Times New Roman"/>
                <w:b/>
                <w:bCs/>
                <w:color w:val="auto"/>
                <w:lang w:val="en-US" w:eastAsia="zh-CN" w:bidi="en-US"/>
              </w:rPr>
            </w:pPr>
            <w:r>
              <w:rPr>
                <w:rFonts w:hint="eastAsia" w:ascii="Times New Roman" w:hAnsi="Times New Roman" w:eastAsia="宋体" w:cs="Times New Roman"/>
                <w:b/>
                <w:bCs/>
                <w:color w:val="auto"/>
                <w:lang w:val="en-US" w:eastAsia="zh-CN" w:bidi="en-US"/>
              </w:rPr>
              <w:t>5.1</w:t>
            </w:r>
            <w:r>
              <w:rPr>
                <w:rFonts w:hint="default" w:ascii="Times New Roman" w:hAnsi="Times New Roman" w:eastAsia="宋体" w:cs="Times New Roman"/>
                <w:b/>
                <w:bCs/>
                <w:color w:val="auto"/>
                <w:lang w:val="en-US" w:eastAsia="zh-CN" w:bidi="en-US"/>
              </w:rPr>
              <w:t>《新疆维吾尔自治区“三线一单”生态环境分区管控方案》符合性分析</w:t>
            </w:r>
          </w:p>
          <w:p>
            <w:pPr>
              <w:ind w:firstLine="480"/>
              <w:rPr>
                <w:rFonts w:hint="eastAsia" w:ascii="Times New Roman" w:hAnsi="Times New Roman" w:eastAsia="宋体" w:cs="Times New Roman"/>
                <w:color w:val="auto"/>
                <w:kern w:val="24"/>
                <w:sz w:val="24"/>
                <w:szCs w:val="24"/>
                <w:highlight w:val="none"/>
                <w:lang w:val="en-US" w:eastAsia="zh-CN"/>
              </w:rPr>
            </w:pPr>
            <w:r>
              <w:rPr>
                <w:rFonts w:hint="eastAsia" w:ascii="Times New Roman" w:hAnsi="Times New Roman" w:eastAsia="宋体" w:cs="Times New Roman"/>
                <w:b w:val="0"/>
                <w:bCs w:val="0"/>
                <w:color w:val="auto"/>
                <w:lang w:val="en-US" w:eastAsia="zh-CN" w:bidi="en-US"/>
              </w:rPr>
              <w:t>（1）</w:t>
            </w:r>
            <w:r>
              <w:rPr>
                <w:rFonts w:hint="eastAsia" w:ascii="Times New Roman" w:hAnsi="Times New Roman" w:eastAsia="宋体" w:cs="Times New Roman"/>
                <w:color w:val="auto"/>
                <w:kern w:val="24"/>
                <w:sz w:val="24"/>
                <w:szCs w:val="24"/>
                <w:highlight w:val="none"/>
                <w:lang w:val="en-US" w:eastAsia="zh-CN"/>
              </w:rPr>
              <w:t xml:space="preserve">与生态保护红线的相符性 </w:t>
            </w:r>
          </w:p>
          <w:p>
            <w:pPr>
              <w:ind w:firstLine="480"/>
              <w:rPr>
                <w:rFonts w:hint="eastAsia" w:ascii="Times New Roman" w:hAnsi="Times New Roman" w:eastAsia="宋体" w:cs="Times New Roman"/>
                <w:color w:val="auto"/>
                <w:kern w:val="24"/>
                <w:sz w:val="24"/>
                <w:szCs w:val="24"/>
                <w:highlight w:val="none"/>
                <w:lang w:val="en-US" w:eastAsia="zh-CN"/>
              </w:rPr>
            </w:pPr>
            <w:r>
              <w:rPr>
                <w:rFonts w:hint="eastAsia" w:ascii="Times New Roman" w:hAnsi="Times New Roman" w:eastAsia="宋体" w:cs="Times New Roman"/>
                <w:color w:val="auto"/>
                <w:kern w:val="24"/>
                <w:sz w:val="24"/>
                <w:szCs w:val="24"/>
                <w:highlight w:val="none"/>
                <w:lang w:val="en-US" w:eastAsia="zh-CN"/>
              </w:rPr>
              <w:t>文件要求：按照“生态功能不降低、面积不减少、性质不改变”的基本要求，对划定的生态保护红线实施严格管控，保障和维护国家生态安全的底线和生命线。</w:t>
            </w:r>
          </w:p>
          <w:p>
            <w:pPr>
              <w:ind w:firstLine="480"/>
              <w:rPr>
                <w:rFonts w:hint="default" w:ascii="Times New Roman" w:hAnsi="Times New Roman" w:eastAsia="宋体" w:cs="Times New Roman"/>
                <w:color w:val="auto"/>
                <w:kern w:val="24"/>
                <w:sz w:val="24"/>
                <w:szCs w:val="24"/>
                <w:highlight w:val="none"/>
                <w:lang w:val="en-US" w:eastAsia="zh-CN"/>
              </w:rPr>
            </w:pPr>
            <w:r>
              <w:rPr>
                <w:rFonts w:hint="eastAsia" w:ascii="Times New Roman" w:hAnsi="Times New Roman" w:eastAsia="宋体" w:cs="Times New Roman"/>
                <w:color w:val="auto"/>
                <w:kern w:val="24"/>
                <w:sz w:val="24"/>
                <w:szCs w:val="24"/>
                <w:highlight w:val="none"/>
                <w:lang w:val="en-US" w:eastAsia="zh-CN"/>
              </w:rPr>
              <w:t>根据《伊犁州直生态环境保护总体规划（2014-2030）》，伊犁州直生态红线系统包括特殊保护区红线、水源涵养区红线、生态脆弱区红线、生物多样性保护区红线、水生态脆弱保护区红线。</w:t>
            </w:r>
          </w:p>
          <w:p>
            <w:pPr>
              <w:ind w:firstLine="480"/>
              <w:rPr>
                <w:rFonts w:hint="default" w:ascii="Times New Roman" w:hAnsi="Times New Roman" w:eastAsia="宋体" w:cs="Times New Roman"/>
                <w:color w:val="auto"/>
                <w:kern w:val="24"/>
                <w:sz w:val="24"/>
                <w:szCs w:val="24"/>
                <w:highlight w:val="none"/>
                <w:lang w:val="en-US" w:eastAsia="zh-CN"/>
              </w:rPr>
            </w:pPr>
            <w:r>
              <w:rPr>
                <w:rFonts w:hint="default" w:ascii="Times New Roman" w:hAnsi="Times New Roman" w:eastAsia="宋体" w:cs="Times New Roman"/>
                <w:color w:val="auto"/>
                <w:kern w:val="24"/>
                <w:sz w:val="24"/>
                <w:szCs w:val="24"/>
                <w:highlight w:val="none"/>
                <w:lang w:val="en-US" w:eastAsia="zh-CN"/>
              </w:rPr>
              <w:t>根据《</w:t>
            </w:r>
            <w:r>
              <w:rPr>
                <w:rFonts w:hint="eastAsia" w:ascii="Times New Roman" w:hAnsi="Times New Roman" w:eastAsia="宋体" w:cs="Times New Roman"/>
                <w:color w:val="auto"/>
                <w:kern w:val="24"/>
                <w:sz w:val="24"/>
                <w:szCs w:val="24"/>
                <w:highlight w:val="none"/>
                <w:lang w:val="en-US" w:eastAsia="zh-CN"/>
              </w:rPr>
              <w:t>自然资源部 生态环境部 国家林业和草原局关于加强生态保护红线管理的通知（试行）（自然资发〔2022〕142号）、</w:t>
            </w:r>
            <w:r>
              <w:rPr>
                <w:rFonts w:hint="eastAsia" w:cs="Times New Roman"/>
                <w:color w:val="auto"/>
                <w:kern w:val="24"/>
                <w:sz w:val="24"/>
                <w:szCs w:val="24"/>
                <w:highlight w:val="none"/>
                <w:lang w:val="en-US" w:eastAsia="zh-CN"/>
              </w:rPr>
              <w:t>《</w:t>
            </w:r>
            <w:r>
              <w:rPr>
                <w:rFonts w:hint="default" w:ascii="Times New Roman" w:hAnsi="Times New Roman" w:eastAsia="宋体" w:cs="Times New Roman"/>
                <w:color w:val="auto"/>
                <w:kern w:val="24"/>
                <w:sz w:val="24"/>
                <w:szCs w:val="24"/>
                <w:highlight w:val="none"/>
                <w:lang w:val="en-US" w:eastAsia="zh-CN"/>
              </w:rPr>
              <w:t>关于印发</w:t>
            </w:r>
            <w:r>
              <w:rPr>
                <w:rFonts w:hint="eastAsia" w:cs="Times New Roman"/>
                <w:color w:val="auto"/>
                <w:kern w:val="24"/>
                <w:sz w:val="24"/>
                <w:szCs w:val="24"/>
                <w:highlight w:val="none"/>
                <w:lang w:val="en-US" w:eastAsia="zh-CN"/>
              </w:rPr>
              <w:t>&lt;</w:t>
            </w:r>
            <w:r>
              <w:rPr>
                <w:rFonts w:hint="default" w:ascii="Times New Roman" w:hAnsi="Times New Roman" w:eastAsia="宋体" w:cs="Times New Roman"/>
                <w:color w:val="auto"/>
                <w:kern w:val="24"/>
                <w:sz w:val="24"/>
                <w:szCs w:val="24"/>
                <w:highlight w:val="none"/>
                <w:lang w:val="en-US" w:eastAsia="zh-CN"/>
              </w:rPr>
              <w:t>生态保护红线生态环境监督办法（试行）</w:t>
            </w:r>
            <w:r>
              <w:rPr>
                <w:rFonts w:hint="eastAsia" w:cs="Times New Roman"/>
                <w:color w:val="auto"/>
                <w:kern w:val="24"/>
                <w:sz w:val="24"/>
                <w:szCs w:val="24"/>
                <w:highlight w:val="none"/>
                <w:lang w:val="en-US" w:eastAsia="zh-CN"/>
              </w:rPr>
              <w:t>&gt;</w:t>
            </w:r>
            <w:r>
              <w:rPr>
                <w:rFonts w:hint="default" w:ascii="Times New Roman" w:hAnsi="Times New Roman" w:eastAsia="宋体" w:cs="Times New Roman"/>
                <w:color w:val="auto"/>
                <w:kern w:val="24"/>
                <w:sz w:val="24"/>
                <w:szCs w:val="24"/>
                <w:highlight w:val="none"/>
                <w:lang w:val="en-US" w:eastAsia="zh-CN"/>
              </w:rPr>
              <w:t>的通知</w:t>
            </w:r>
            <w:r>
              <w:rPr>
                <w:rFonts w:hint="eastAsia" w:cs="Times New Roman"/>
                <w:color w:val="auto"/>
                <w:kern w:val="24"/>
                <w:sz w:val="24"/>
                <w:szCs w:val="24"/>
                <w:highlight w:val="none"/>
                <w:lang w:val="en-US" w:eastAsia="zh-CN"/>
              </w:rPr>
              <w:t>》（国环规生态</w:t>
            </w:r>
            <w:r>
              <w:rPr>
                <w:rFonts w:hint="eastAsia" w:ascii="Times New Roman" w:hAnsi="Times New Roman" w:eastAsia="宋体" w:cs="Times New Roman"/>
                <w:color w:val="auto"/>
                <w:kern w:val="24"/>
                <w:sz w:val="24"/>
                <w:szCs w:val="24"/>
                <w:highlight w:val="none"/>
                <w:lang w:val="en-US" w:eastAsia="zh-CN"/>
              </w:rPr>
              <w:t>〔2022〕2号）、以及</w:t>
            </w:r>
            <w:r>
              <w:rPr>
                <w:rFonts w:hint="eastAsia" w:cs="Times New Roman"/>
                <w:color w:val="auto"/>
                <w:kern w:val="24"/>
                <w:sz w:val="24"/>
                <w:szCs w:val="24"/>
                <w:highlight w:val="none"/>
                <w:lang w:val="en-US" w:eastAsia="zh-CN"/>
              </w:rPr>
              <w:t>新疆维吾尔</w:t>
            </w:r>
            <w:r>
              <w:rPr>
                <w:rFonts w:hint="eastAsia" w:ascii="Times New Roman" w:hAnsi="Times New Roman" w:eastAsia="宋体" w:cs="Times New Roman"/>
                <w:color w:val="auto"/>
                <w:kern w:val="24"/>
                <w:sz w:val="24"/>
                <w:szCs w:val="24"/>
                <w:highlight w:val="none"/>
                <w:lang w:val="en-US" w:eastAsia="zh-CN"/>
              </w:rPr>
              <w:t>自治区自然资源厅、生态环境厅、林业和草原局联合印发《关于加强自治区生态保护红线管理的通知（试行）》</w:t>
            </w:r>
            <w:r>
              <w:rPr>
                <w:rFonts w:hint="default" w:ascii="Times New Roman" w:hAnsi="Times New Roman" w:eastAsia="宋体" w:cs="Times New Roman"/>
                <w:color w:val="auto"/>
                <w:kern w:val="24"/>
                <w:sz w:val="24"/>
                <w:szCs w:val="24"/>
                <w:highlight w:val="none"/>
                <w:lang w:val="en-US" w:eastAsia="zh-CN"/>
              </w:rPr>
              <w:t>，生态保护红线内，自然保护地核心保护区原则上禁止人为活动，自然保护地核心保护区外禁止开发性、生产性建设活动，在符合法律法规的前提下，仅允许对生态功能不造成破坏的有限人为活动。法律法规另有规定的，从其规定。</w:t>
            </w:r>
          </w:p>
          <w:p>
            <w:pPr>
              <w:ind w:firstLine="480"/>
              <w:rPr>
                <w:rFonts w:hint="default" w:ascii="Times New Roman" w:hAnsi="Times New Roman" w:eastAsia="宋体" w:cs="Times New Roman"/>
                <w:color w:val="auto"/>
                <w:kern w:val="24"/>
                <w:sz w:val="24"/>
                <w:szCs w:val="24"/>
                <w:highlight w:val="none"/>
                <w:lang w:val="en-US" w:eastAsia="zh-CN"/>
              </w:rPr>
            </w:pPr>
            <w:r>
              <w:rPr>
                <w:rFonts w:hint="eastAsia" w:cs="Times New Roman"/>
                <w:color w:val="auto"/>
                <w:kern w:val="24"/>
                <w:sz w:val="24"/>
                <w:szCs w:val="24"/>
                <w:highlight w:val="none"/>
                <w:lang w:val="en-US" w:eastAsia="zh-CN"/>
              </w:rPr>
              <w:t>其中生态保护红线内自然保护地核心保护区外允许开展的有限人为活动有：不破坏生态功能的适度参观旅游、科普宣教及符合相关法定规划的配套性服务设施和相关的必要公共设施建设及维护。主要包括：供水、供电、供气、通信、交通（含索道、步道、栈道等）、防洪等基础设施建设及维护；污水处理、垃圾储运、公共卫生、标识标志牌等公共服务设施建设及维护；游客服务中心、生态停车场、索道、缆车、观景台、休憩休息设施、科普宣传、文化宣教、安全防护、应急避难、医疗救护、电子监控等必要旅游配套设施建设及维护。</w:t>
            </w:r>
          </w:p>
          <w:p>
            <w:pPr>
              <w:bidi w:val="0"/>
              <w:rPr>
                <w:rFonts w:hint="eastAsia"/>
                <w:color w:val="auto"/>
                <w:lang w:val="en-US" w:eastAsia="zh-CN"/>
              </w:rPr>
            </w:pPr>
            <w:r>
              <w:rPr>
                <w:rFonts w:hint="eastAsia" w:ascii="Times New Roman" w:hAnsi="Times New Roman" w:eastAsia="宋体" w:cs="Times New Roman"/>
                <w:b w:val="0"/>
                <w:bCs w:val="0"/>
                <w:color w:val="auto"/>
                <w:kern w:val="24"/>
                <w:sz w:val="24"/>
                <w:szCs w:val="24"/>
                <w:highlight w:val="none"/>
                <w:lang w:val="en-US" w:eastAsia="zh-CN"/>
              </w:rPr>
              <w:t>符合性分析：</w:t>
            </w:r>
            <w:r>
              <w:rPr>
                <w:rFonts w:hint="eastAsia"/>
                <w:color w:val="auto"/>
                <w:lang w:val="en-US" w:eastAsia="zh-CN"/>
              </w:rPr>
              <w:t>本项目位于果赛景区内，符合《果子沟-赛里木湖景区总体规划（2012-2030）》要求，属于“不破坏生态功能的适度参观旅游和相关的必要公共设施建设（</w:t>
            </w:r>
            <w:r>
              <w:rPr>
                <w:rFonts w:hint="eastAsia" w:cs="Times New Roman"/>
                <w:color w:val="auto"/>
                <w:kern w:val="24"/>
                <w:sz w:val="24"/>
                <w:szCs w:val="24"/>
                <w:highlight w:val="none"/>
                <w:lang w:val="en-US" w:eastAsia="zh-CN"/>
              </w:rPr>
              <w:t>游客服务中心、生态停车场、索道、缆车、观景台、休憩休息设施、科普宣传、文化宣教、电子监控等必要旅游配套设施建设及维护</w:t>
            </w:r>
            <w:r>
              <w:rPr>
                <w:rFonts w:hint="eastAsia"/>
                <w:color w:val="auto"/>
                <w:lang w:val="en-US" w:eastAsia="zh-CN"/>
              </w:rPr>
              <w:t>）”，本</w:t>
            </w:r>
            <w:r>
              <w:rPr>
                <w:rFonts w:hint="eastAsia"/>
                <w:color w:val="auto"/>
                <w:highlight w:val="none"/>
                <w:lang w:val="en-US" w:eastAsia="zh-CN"/>
              </w:rPr>
              <w:t>项目占地范围临近生态保护红线</w:t>
            </w:r>
            <w:r>
              <w:rPr>
                <w:rFonts w:hint="eastAsia"/>
                <w:color w:val="auto"/>
                <w:lang w:val="en-US" w:eastAsia="zh-CN"/>
              </w:rPr>
              <w:t>（天山水源涵养与生物多样性维护生态保护红线区），不占用，其中距离</w:t>
            </w:r>
            <w:r>
              <w:rPr>
                <w:rFonts w:hint="eastAsia"/>
                <w:color w:val="auto"/>
                <w:highlight w:val="none"/>
                <w:lang w:val="en-US" w:eastAsia="zh-CN"/>
              </w:rPr>
              <w:t>生态保护红线最近的金顶地块，其用地红线距生态保护红线相距5m</w:t>
            </w:r>
            <w:r>
              <w:rPr>
                <w:rFonts w:hint="eastAsia"/>
                <w:color w:val="auto"/>
                <w:lang w:val="en-US" w:eastAsia="zh-CN"/>
              </w:rPr>
              <w:t>。</w:t>
            </w: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rPr>
                <w:rFonts w:hint="eastAsia"/>
                <w:lang w:val="en-US" w:eastAsia="zh-CN"/>
              </w:rPr>
            </w:pPr>
          </w:p>
          <w:p>
            <w:pPr>
              <w:pStyle w:val="2"/>
              <w:rPr>
                <w:rFonts w:hint="eastAsia"/>
                <w:lang w:val="en-US" w:eastAsia="zh-CN"/>
              </w:rPr>
            </w:pPr>
          </w:p>
          <w:p>
            <w:pPr>
              <w:bidi w:val="0"/>
              <w:ind w:left="0" w:leftChars="0" w:right="0" w:rightChars="0" w:firstLine="0" w:firstLineChars="0"/>
              <w:jc w:val="center"/>
              <w:rPr>
                <w:rFonts w:hint="eastAsia"/>
                <w:color w:val="auto"/>
                <w:lang w:val="en-US" w:eastAsia="zh-CN"/>
              </w:rPr>
            </w:pPr>
            <w:r>
              <w:rPr>
                <w:rFonts w:hint="eastAsia"/>
                <w:color w:val="auto"/>
                <w:lang w:val="en-US" w:eastAsia="zh-CN"/>
              </w:rPr>
              <w:drawing>
                <wp:inline distT="0" distB="0" distL="114300" distR="114300">
                  <wp:extent cx="5115560" cy="7235190"/>
                  <wp:effectExtent l="0" t="0" r="8890" b="3810"/>
                  <wp:docPr id="2" name="图片 2" descr="红线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红线m"/>
                          <pic:cNvPicPr>
                            <a:picLocks noChangeAspect="1"/>
                          </pic:cNvPicPr>
                        </pic:nvPicPr>
                        <pic:blipFill>
                          <a:blip r:embed="rId10"/>
                          <a:stretch>
                            <a:fillRect/>
                          </a:stretch>
                        </pic:blipFill>
                        <pic:spPr>
                          <a:xfrm>
                            <a:off x="0" y="0"/>
                            <a:ext cx="5115560" cy="7235190"/>
                          </a:xfrm>
                          <a:prstGeom prst="rect">
                            <a:avLst/>
                          </a:prstGeom>
                        </pic:spPr>
                      </pic:pic>
                    </a:graphicData>
                  </a:graphic>
                </wp:inline>
              </w:drawing>
            </w:r>
          </w:p>
          <w:p>
            <w:pPr>
              <w:bidi w:val="0"/>
              <w:spacing w:line="240" w:lineRule="auto"/>
              <w:ind w:left="0" w:leftChars="0" w:right="0" w:rightChars="0" w:firstLine="0" w:firstLineChars="0"/>
              <w:jc w:val="center"/>
              <w:rPr>
                <w:rFonts w:hint="default"/>
                <w:b/>
                <w:bCs/>
                <w:color w:val="auto"/>
                <w:lang w:val="en-US" w:eastAsia="zh-CN"/>
              </w:rPr>
            </w:pPr>
            <w:r>
              <w:rPr>
                <w:rFonts w:hint="eastAsia"/>
                <w:b/>
                <w:bCs/>
                <w:color w:val="auto"/>
                <w:lang w:val="en-US" w:eastAsia="zh-CN"/>
              </w:rPr>
              <w:t>图5.1-1  本项目与生态保护红线关系图</w:t>
            </w:r>
          </w:p>
          <w:p>
            <w:pPr>
              <w:bidi w:val="0"/>
              <w:rPr>
                <w:rFonts w:hint="eastAsia"/>
                <w:color w:val="auto"/>
                <w:lang w:val="en-US" w:eastAsia="zh-CN"/>
              </w:rPr>
            </w:pPr>
            <w:r>
              <w:rPr>
                <w:rFonts w:hint="eastAsia"/>
                <w:color w:val="auto"/>
                <w:lang w:val="en-US" w:eastAsia="zh-CN"/>
              </w:rPr>
              <w:t>（2）环境质量底线</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b w:val="0"/>
                <w:bCs w:val="0"/>
                <w:color w:val="auto"/>
                <w:kern w:val="24"/>
                <w:sz w:val="24"/>
                <w:szCs w:val="24"/>
                <w:highlight w:val="none"/>
                <w:lang w:val="en-US" w:eastAsia="zh-CN"/>
              </w:rPr>
              <w:t>文件要求：</w:t>
            </w:r>
            <w:r>
              <w:rPr>
                <w:rFonts w:hint="eastAsia" w:ascii="Times New Roman" w:hAnsi="Times New Roman" w:eastAsia="宋体" w:cs="Times New Roman"/>
                <w:color w:val="auto"/>
                <w:kern w:val="24"/>
                <w:sz w:val="24"/>
                <w:szCs w:val="24"/>
                <w:highlight w:val="none"/>
                <w:lang w:val="en-US" w:eastAsia="zh-CN"/>
              </w:rPr>
              <w:t>全区水环境质量持续改善，受污染地表水体得到优先治理，饮用水安全保障水平持续提升，地下水超采</w:t>
            </w:r>
            <w:r>
              <w:rPr>
                <w:rFonts w:hint="eastAsia" w:ascii="Times New Roman" w:hAnsi="Times New Roman" w:eastAsia="宋体" w:cs="Times New Roman"/>
                <w:color w:val="auto"/>
                <w:lang w:val="en-US" w:eastAsia="zh-CN"/>
              </w:rPr>
              <w:t>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符合性分析：</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highlight w:val="none"/>
                <w:lang w:val="en-US" w:eastAsia="zh-CN"/>
              </w:rPr>
              <w:t>①环境空气：项目选址区域为环境空气功能区二类区，执行二级标准。根据环境空气质量现状的监测数据，项目选址区域环境空气中</w:t>
            </w:r>
            <w:r>
              <w:rPr>
                <w:rFonts w:hint="eastAsia" w:cs="Times New Roman"/>
                <w:color w:val="auto"/>
                <w:highlight w:val="none"/>
                <w:lang w:val="en-US" w:eastAsia="zh-CN"/>
              </w:rPr>
              <w:t>SO</w:t>
            </w:r>
            <w:r>
              <w:rPr>
                <w:rFonts w:hint="eastAsia" w:cs="Times New Roman"/>
                <w:color w:val="auto"/>
                <w:highlight w:val="none"/>
                <w:vertAlign w:val="subscript"/>
                <w:lang w:val="en-US" w:eastAsia="zh-CN"/>
              </w:rPr>
              <w:t>2</w:t>
            </w:r>
            <w:r>
              <w:rPr>
                <w:rFonts w:hint="eastAsia" w:cs="Times New Roman"/>
                <w:color w:val="auto"/>
                <w:highlight w:val="none"/>
                <w:lang w:val="en-US" w:eastAsia="zh-CN"/>
              </w:rPr>
              <w:t>、NO</w:t>
            </w:r>
            <w:r>
              <w:rPr>
                <w:rFonts w:hint="eastAsia" w:cs="Times New Roman"/>
                <w:color w:val="auto"/>
                <w:highlight w:val="none"/>
                <w:vertAlign w:val="subscript"/>
                <w:lang w:val="en-US" w:eastAsia="zh-CN"/>
              </w:rPr>
              <w:t>2</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PM</w:t>
            </w:r>
            <w:r>
              <w:rPr>
                <w:rFonts w:hint="default" w:ascii="Times New Roman" w:hAnsi="Times New Roman" w:eastAsia="宋体" w:cs="Times New Roman"/>
                <w:color w:val="auto"/>
                <w:highlight w:val="none"/>
                <w:vertAlign w:val="subscript"/>
                <w:lang w:val="en-US" w:eastAsia="zh-CN"/>
              </w:rPr>
              <w:t>2.5</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PM</w:t>
            </w:r>
            <w:r>
              <w:rPr>
                <w:rFonts w:hint="default" w:ascii="Times New Roman" w:hAnsi="Times New Roman" w:eastAsia="宋体" w:cs="Times New Roman"/>
                <w:color w:val="auto"/>
                <w:highlight w:val="none"/>
                <w:vertAlign w:val="subscript"/>
                <w:lang w:val="en-US" w:eastAsia="zh-CN"/>
              </w:rPr>
              <w:t>10</w:t>
            </w:r>
            <w:r>
              <w:rPr>
                <w:rFonts w:hint="eastAsia" w:ascii="Times New Roman" w:hAnsi="Times New Roman" w:eastAsia="宋体" w:cs="Times New Roman"/>
                <w:color w:val="auto"/>
                <w:highlight w:val="none"/>
                <w:lang w:val="en-US" w:eastAsia="zh-CN"/>
              </w:rPr>
              <w:t>年平均</w:t>
            </w:r>
            <w:r>
              <w:rPr>
                <w:rFonts w:hint="eastAsia" w:cs="Times New Roman"/>
                <w:color w:val="auto"/>
                <w:highlight w:val="none"/>
                <w:lang w:val="en-US" w:eastAsia="zh-CN"/>
              </w:rPr>
              <w:t>，CO的95百分位24小时平均、O</w:t>
            </w:r>
            <w:r>
              <w:rPr>
                <w:rFonts w:hint="eastAsia" w:cs="Times New Roman"/>
                <w:color w:val="auto"/>
                <w:highlight w:val="none"/>
                <w:vertAlign w:val="subscript"/>
                <w:lang w:val="en-US" w:eastAsia="zh-CN"/>
              </w:rPr>
              <w:t>3</w:t>
            </w:r>
            <w:r>
              <w:rPr>
                <w:rFonts w:hint="eastAsia" w:cs="Times New Roman"/>
                <w:color w:val="auto"/>
                <w:highlight w:val="none"/>
                <w:lang w:val="en-US" w:eastAsia="zh-CN"/>
              </w:rPr>
              <w:t>的90百分位8小时平均</w:t>
            </w:r>
            <w:r>
              <w:rPr>
                <w:rFonts w:hint="eastAsia" w:ascii="Times New Roman" w:hAnsi="Times New Roman" w:eastAsia="宋体" w:cs="Times New Roman"/>
                <w:color w:val="auto"/>
                <w:highlight w:val="none"/>
                <w:lang w:val="en-US" w:eastAsia="zh-CN"/>
              </w:rPr>
              <w:t>浓度</w:t>
            </w:r>
            <w:r>
              <w:rPr>
                <w:rFonts w:hint="eastAsia" w:cs="Times New Roman"/>
                <w:color w:val="auto"/>
                <w:highlight w:val="none"/>
                <w:lang w:val="en-US" w:eastAsia="zh-CN"/>
              </w:rPr>
              <w:t>值</w:t>
            </w:r>
            <w:r>
              <w:rPr>
                <w:rFonts w:hint="eastAsia" w:ascii="Times New Roman" w:hAnsi="Times New Roman" w:eastAsia="宋体" w:cs="Times New Roman"/>
                <w:color w:val="auto"/>
                <w:highlight w:val="none"/>
                <w:lang w:val="en-US" w:eastAsia="zh-CN"/>
              </w:rPr>
              <w:t>均</w:t>
            </w:r>
            <w:r>
              <w:rPr>
                <w:rFonts w:hint="eastAsia" w:cs="Times New Roman"/>
                <w:color w:val="auto"/>
                <w:highlight w:val="none"/>
                <w:lang w:val="en-US" w:eastAsia="zh-CN"/>
              </w:rPr>
              <w:t>满足</w:t>
            </w:r>
            <w:r>
              <w:rPr>
                <w:rFonts w:hint="eastAsia" w:ascii="Times New Roman" w:hAnsi="Times New Roman" w:eastAsia="宋体" w:cs="Times New Roman"/>
                <w:color w:val="auto"/>
                <w:highlight w:val="none"/>
                <w:lang w:val="en-US" w:eastAsia="zh-CN"/>
              </w:rPr>
              <w:t>《环境空气质量标准》（</w:t>
            </w:r>
            <w:r>
              <w:rPr>
                <w:rFonts w:hint="default" w:ascii="Times New Roman" w:hAnsi="Times New Roman" w:eastAsia="宋体" w:cs="Times New Roman"/>
                <w:color w:val="auto"/>
                <w:highlight w:val="none"/>
                <w:lang w:val="en-US" w:eastAsia="zh-CN"/>
              </w:rPr>
              <w:t>GB3095-2012</w:t>
            </w:r>
            <w:r>
              <w:rPr>
                <w:rFonts w:hint="eastAsia" w:ascii="Times New Roman" w:hAnsi="Times New Roman" w:eastAsia="宋体" w:cs="Times New Roman"/>
                <w:color w:val="auto"/>
                <w:highlight w:val="none"/>
                <w:lang w:val="en-US" w:eastAsia="zh-CN"/>
              </w:rPr>
              <w:t>）及其修改单中的二级标准要求，区域为达标区域。</w:t>
            </w:r>
            <w:r>
              <w:rPr>
                <w:rFonts w:hint="eastAsia" w:ascii="Times New Roman" w:hAnsi="Times New Roman" w:eastAsia="宋体" w:cs="Times New Roman"/>
                <w:color w:val="auto"/>
                <w:lang w:val="en-US" w:eastAsia="zh-CN"/>
              </w:rPr>
              <w:t>施工期</w:t>
            </w:r>
            <w:r>
              <w:rPr>
                <w:rFonts w:hint="eastAsia" w:cs="Times New Roman"/>
                <w:color w:val="auto"/>
                <w:lang w:val="en-US" w:eastAsia="zh-CN"/>
              </w:rPr>
              <w:t>废气污染物主要为施工扬尘，运营期主要为</w:t>
            </w:r>
            <w:r>
              <w:rPr>
                <w:rFonts w:hint="eastAsia"/>
                <w:color w:val="auto"/>
                <w:lang w:val="en-US" w:eastAsia="zh-CN"/>
              </w:rPr>
              <w:t>污水处理设施恶臭及餐饮油烟，</w:t>
            </w:r>
            <w:r>
              <w:rPr>
                <w:rFonts w:hint="eastAsia" w:cs="Times New Roman"/>
                <w:color w:val="auto"/>
                <w:lang w:val="en-US" w:eastAsia="zh-CN"/>
              </w:rPr>
              <w:t>环评要求</w:t>
            </w:r>
            <w:r>
              <w:rPr>
                <w:rFonts w:hint="eastAsia" w:ascii="Times New Roman" w:hAnsi="Times New Roman" w:eastAsia="宋体" w:cs="Times New Roman"/>
                <w:color w:val="auto"/>
                <w:lang w:val="en-US" w:eastAsia="zh-CN"/>
              </w:rPr>
              <w:t>施工期严格做到周边围挡、物料堆放覆盖、土方开挖湿法作业、路面硬化、出入车辆清洗、渣土车辆密闭运输</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六个百分之百</w:t>
            </w:r>
            <w:r>
              <w:rPr>
                <w:rFonts w:hint="default" w:ascii="Times New Roman" w:hAnsi="Times New Roman" w:eastAsia="宋体" w:cs="Times New Roman"/>
                <w:color w:val="auto"/>
                <w:lang w:val="en-US" w:eastAsia="zh-CN"/>
              </w:rPr>
              <w:t>”</w:t>
            </w:r>
            <w:r>
              <w:rPr>
                <w:rFonts w:hint="eastAsia"/>
                <w:color w:val="auto"/>
                <w:lang w:val="en-US" w:eastAsia="zh-CN"/>
              </w:rPr>
              <w:t>将扬尘和影响降到最低，运营期间生活垃圾做到对日产日清，污水处理设施密闭设计，上方进行植被恢复，餐饮油烟采用油烟净化设备处理，</w:t>
            </w:r>
            <w:r>
              <w:rPr>
                <w:rFonts w:hint="eastAsia" w:cs="Times New Roman"/>
                <w:color w:val="auto"/>
                <w:lang w:val="en-US" w:eastAsia="zh-CN"/>
              </w:rPr>
              <w:t>建设项目在</w:t>
            </w:r>
            <w:r>
              <w:rPr>
                <w:rFonts w:hint="eastAsia" w:ascii="Times New Roman" w:hAnsi="Times New Roman" w:eastAsia="宋体" w:cs="Times New Roman"/>
                <w:color w:val="auto"/>
                <w:lang w:val="en-US" w:eastAsia="zh-CN"/>
              </w:rPr>
              <w:t xml:space="preserve">严格执行环评中所提出废气治理措施后，满足相应排放标准，排放量较少，不会降低区域环境空气质量，大气环境影响可接受。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②水环境</w:t>
            </w:r>
            <w:r>
              <w:rPr>
                <w:rFonts w:hint="eastAsia" w:cs="Times New Roman"/>
                <w:color w:val="auto"/>
                <w:lang w:val="en-US" w:eastAsia="zh-CN"/>
              </w:rPr>
              <w:t>：本项目所在区域</w:t>
            </w:r>
            <w:r>
              <w:rPr>
                <w:rFonts w:hint="eastAsia" w:eastAsia="宋体" w:cs="Times New Roman"/>
                <w:color w:val="auto"/>
              </w:rPr>
              <w:t>地表水为果子沟水系，</w:t>
            </w:r>
            <w:r>
              <w:rPr>
                <w:rFonts w:eastAsia="宋体" w:cs="Times New Roman"/>
                <w:color w:val="auto"/>
              </w:rPr>
              <w:t>由于果子沟水系其水量不大，向南在果子沟牧场分別与大东沟、三道河子、切特萨尔布拉克沟相汇，最终流向伊犁河流域。《新疆水环境功能区划》并未对其</w:t>
            </w:r>
            <w:r>
              <w:rPr>
                <w:rFonts w:hint="eastAsia" w:eastAsia="宋体" w:cs="Times New Roman"/>
                <w:color w:val="auto"/>
              </w:rPr>
              <w:t>设定类别</w:t>
            </w:r>
            <w:r>
              <w:rPr>
                <w:rFonts w:eastAsia="宋体" w:cs="Times New Roman"/>
                <w:color w:val="auto"/>
              </w:rPr>
              <w:t>，由于果子沟水系下游流经果子沟牧场，参照果子沟水系西面与其基本平行的</w:t>
            </w:r>
            <w:r>
              <w:rPr>
                <w:rFonts w:hint="eastAsia" w:eastAsia="宋体" w:cs="Times New Roman"/>
                <w:color w:val="auto"/>
                <w:lang w:val="en-US" w:eastAsia="zh-CN"/>
              </w:rPr>
              <w:t>萨尔布拉克河</w:t>
            </w:r>
            <w:r>
              <w:rPr>
                <w:rFonts w:eastAsia="宋体" w:cs="Times New Roman"/>
                <w:color w:val="auto"/>
              </w:rPr>
              <w:t>地表水规划主导功能，属于饮用水源，其水质目标为</w:t>
            </w:r>
            <w:r>
              <w:rPr>
                <w:rFonts w:hint="default" w:ascii="Times New Roman" w:hAnsi="Times New Roman" w:eastAsia="宋体" w:cs="Times New Roman"/>
                <w:color w:val="auto"/>
                <w:kern w:val="2"/>
                <w:sz w:val="24"/>
                <w:szCs w:val="20"/>
                <w:highlight w:val="none"/>
                <w:lang w:val="en-US" w:eastAsia="zh-CN" w:bidi="ar-SA"/>
              </w:rPr>
              <w:t>《地表水环境质量标准》（GB3838—2002）</w:t>
            </w:r>
            <w:r>
              <w:rPr>
                <w:rFonts w:hint="default" w:ascii="Times New Roman" w:hAnsi="Times New Roman" w:eastAsia="宋体" w:cs="Times New Roman"/>
                <w:color w:val="auto"/>
              </w:rPr>
              <w:t>Ⅱ</w:t>
            </w:r>
            <w:r>
              <w:rPr>
                <w:rFonts w:eastAsia="宋体" w:cs="Times New Roman"/>
                <w:color w:val="auto"/>
              </w:rPr>
              <w:t>类</w:t>
            </w:r>
            <w:r>
              <w:rPr>
                <w:rFonts w:hint="eastAsia" w:ascii="Times New Roman" w:hAnsi="Times New Roman" w:eastAsia="宋体" w:cs="Times New Roman"/>
                <w:color w:val="auto"/>
                <w:lang w:val="en-US" w:eastAsia="zh-CN"/>
              </w:rPr>
              <w:t>。地下水环境质量执行《地下水质量标准》（</w:t>
            </w:r>
            <w:r>
              <w:rPr>
                <w:rFonts w:hint="default" w:ascii="Times New Roman" w:hAnsi="Times New Roman" w:eastAsia="宋体" w:cs="Times New Roman"/>
                <w:color w:val="auto"/>
                <w:lang w:val="en-US" w:eastAsia="zh-CN"/>
              </w:rPr>
              <w:t>GB/T14848—2017</w:t>
            </w:r>
            <w:r>
              <w:rPr>
                <w:rFonts w:hint="eastAsia" w:ascii="Times New Roman" w:hAnsi="Times New Roman" w:eastAsia="宋体" w:cs="Times New Roman"/>
                <w:color w:val="auto"/>
                <w:lang w:val="en-US" w:eastAsia="zh-CN"/>
              </w:rPr>
              <w:t>）中</w:t>
            </w:r>
            <w:r>
              <w:rPr>
                <w:rFonts w:hint="default" w:ascii="Times New Roman" w:hAnsi="Times New Roman" w:eastAsia="宋体" w:cs="Times New Roman"/>
                <w:color w:val="auto"/>
                <w:lang w:val="en-US" w:eastAsia="zh-CN"/>
              </w:rPr>
              <w:t>Ⅲ</w:t>
            </w:r>
            <w:r>
              <w:rPr>
                <w:rFonts w:hint="eastAsia" w:ascii="Times New Roman" w:hAnsi="Times New Roman" w:eastAsia="宋体" w:cs="Times New Roman"/>
                <w:color w:val="auto"/>
                <w:lang w:val="en-US" w:eastAsia="zh-CN"/>
              </w:rPr>
              <w:t>类标准。本项目施工废水经沉淀池处理后用于施工道路洒水降尘</w:t>
            </w:r>
            <w:r>
              <w:rPr>
                <w:rFonts w:hint="default" w:ascii="Times New Roman" w:hAnsi="Times New Roman" w:eastAsia="宋体" w:cs="Times New Roman"/>
                <w:color w:val="auto"/>
                <w:lang w:val="en-US" w:eastAsia="zh-CN"/>
              </w:rPr>
              <w:t>，</w:t>
            </w:r>
            <w:r>
              <w:rPr>
                <w:rFonts w:hint="eastAsia" w:cs="Times New Roman"/>
                <w:color w:val="auto"/>
                <w:lang w:val="en-US" w:eastAsia="zh-CN"/>
              </w:rPr>
              <w:t>运营期餐饮废水、游客生活污水经隔油池和地埋式一体化污水处理设施处理后，拉运至当地生活污水处理厂处理，</w:t>
            </w:r>
            <w:r>
              <w:rPr>
                <w:rFonts w:hint="eastAsia"/>
                <w:color w:val="auto"/>
                <w:lang w:val="en-US" w:eastAsia="zh-CN"/>
              </w:rPr>
              <w:t>待</w:t>
            </w:r>
            <w:r>
              <w:rPr>
                <w:rFonts w:cs="Times New Roman"/>
                <w:kern w:val="0"/>
                <w:szCs w:val="24"/>
              </w:rPr>
              <w:t>果</w:t>
            </w:r>
            <w:r>
              <w:rPr>
                <w:rFonts w:hint="eastAsia" w:cs="Times New Roman"/>
                <w:kern w:val="0"/>
                <w:szCs w:val="24"/>
                <w:lang w:val="en-US" w:eastAsia="zh-CN"/>
              </w:rPr>
              <w:t>赛</w:t>
            </w:r>
            <w:r>
              <w:rPr>
                <w:rFonts w:cs="Times New Roman"/>
                <w:kern w:val="0"/>
                <w:szCs w:val="24"/>
              </w:rPr>
              <w:t>景区</w:t>
            </w:r>
            <w:r>
              <w:rPr>
                <w:rFonts w:hint="eastAsia" w:cs="Times New Roman"/>
                <w:kern w:val="0"/>
                <w:szCs w:val="24"/>
                <w:lang w:val="en-US" w:eastAsia="zh-CN"/>
              </w:rPr>
              <w:t>污水处理厂建成后运至景区污水处理厂处理，</w:t>
            </w:r>
            <w:r>
              <w:rPr>
                <w:rFonts w:hint="eastAsia" w:ascii="Times New Roman" w:hAnsi="Times New Roman" w:eastAsia="宋体" w:cs="Times New Roman"/>
                <w:color w:val="auto"/>
                <w:lang w:val="en-US" w:eastAsia="zh-CN"/>
              </w:rPr>
              <w:t>严禁排入地表水体，</w:t>
            </w:r>
            <w:r>
              <w:rPr>
                <w:rFonts w:hint="default" w:ascii="Times New Roman" w:hAnsi="Times New Roman" w:eastAsia="宋体" w:cs="Times New Roman"/>
                <w:color w:val="auto"/>
                <w:lang w:val="en-US" w:eastAsia="zh-CN"/>
              </w:rPr>
              <w:t>不会对地表水产生</w:t>
            </w:r>
            <w:r>
              <w:rPr>
                <w:rFonts w:hint="eastAsia" w:ascii="Times New Roman" w:hAnsi="Times New Roman" w:eastAsia="宋体" w:cs="Times New Roman"/>
                <w:color w:val="auto"/>
                <w:lang w:val="en-US" w:eastAsia="zh-CN"/>
              </w:rPr>
              <w:t>不良</w:t>
            </w:r>
            <w:r>
              <w:rPr>
                <w:rFonts w:hint="default" w:ascii="Times New Roman" w:hAnsi="Times New Roman" w:eastAsia="宋体" w:cs="Times New Roman"/>
                <w:color w:val="auto"/>
                <w:lang w:val="en-US" w:eastAsia="zh-CN"/>
              </w:rPr>
              <w:t>影响</w:t>
            </w:r>
            <w:r>
              <w:rPr>
                <w:rFonts w:hint="eastAsia" w:ascii="Times New Roman" w:hAnsi="Times New Roman" w:eastAsia="宋体" w:cs="Times New Roman"/>
                <w:color w:val="auto"/>
                <w:lang w:val="en-US" w:eastAsia="zh-CN"/>
              </w:rPr>
              <w:t xml:space="preserve">，不会突破水环境质量底线。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③土壤环境：本项目占地属于建设用地和未利用地，项目区土壤环境质量执行《土壤环境质量 建设用地土壤污染风险管控标准（试行）》（</w:t>
            </w:r>
            <w:r>
              <w:rPr>
                <w:rFonts w:hint="default" w:ascii="Times New Roman" w:hAnsi="Times New Roman" w:eastAsia="宋体" w:cs="Times New Roman"/>
                <w:color w:val="auto"/>
                <w:lang w:val="en-US" w:eastAsia="zh-CN"/>
              </w:rPr>
              <w:t>GB36600-2018</w:t>
            </w:r>
            <w:r>
              <w:rPr>
                <w:rFonts w:hint="eastAsia" w:ascii="Times New Roman" w:hAnsi="Times New Roman" w:eastAsia="宋体" w:cs="Times New Roman"/>
                <w:color w:val="auto"/>
                <w:lang w:val="en-US" w:eastAsia="zh-CN"/>
              </w:rPr>
              <w:t>）第二类用地筛选值和《土壤环境质量 农用地土壤污染风险管控标准（试行）》 （GB15618-2018）风险筛选值。本项目施工结束后对临时扰动占地进行植被等生态恢复，施工机械不在施工场地维修，严禁未处理施工废水泄漏污染土壤，</w:t>
            </w:r>
            <w:r>
              <w:rPr>
                <w:rFonts w:hint="eastAsia" w:cs="Times New Roman"/>
                <w:color w:val="auto"/>
                <w:lang w:val="en-US" w:eastAsia="zh-CN"/>
              </w:rPr>
              <w:t>运营期对污水处理设施所在区域进行重点防渗，</w:t>
            </w:r>
            <w:r>
              <w:rPr>
                <w:rFonts w:hint="eastAsia"/>
                <w:color w:val="auto"/>
                <w:lang w:val="en-US" w:eastAsia="zh-CN"/>
              </w:rPr>
              <w:t>生活垃圾集中收集交由景区环卫部门统一清运至霍尔果斯经济开发区清水河配套园区垃圾填埋场安全处置。污泥经脱水处理满足生活垃圾填埋场入场要求后，先在固废暂存点暂时存放，定期用专用封闭车运至垃圾填埋场安全处置。索道检修产生的废机油属危险废物，收集后交由有危险废物处理资质的单位处理，因此，</w:t>
            </w:r>
            <w:r>
              <w:rPr>
                <w:rFonts w:hint="eastAsia" w:ascii="Times New Roman" w:hAnsi="Times New Roman" w:eastAsia="宋体" w:cs="Times New Roman"/>
                <w:color w:val="auto"/>
                <w:lang w:val="en-US" w:eastAsia="zh-CN"/>
              </w:rPr>
              <w:t xml:space="preserve">本项目建设对项目区及周边土壤环境质量影响较小。 </w:t>
            </w:r>
          </w:p>
          <w:p>
            <w:pPr>
              <w:bidi w:val="0"/>
              <w:rPr>
                <w:rFonts w:hint="eastAsia" w:ascii="Times New Roman" w:hAnsi="Times New Roman" w:eastAsia="宋体" w:cs="Times New Roman"/>
                <w:color w:val="auto"/>
                <w:kern w:val="24"/>
                <w:sz w:val="24"/>
                <w:szCs w:val="24"/>
                <w:highlight w:val="none"/>
                <w:lang w:val="en-US" w:eastAsia="zh-CN"/>
              </w:rPr>
            </w:pPr>
            <w:r>
              <w:rPr>
                <w:rFonts w:hint="eastAsia" w:ascii="Times New Roman" w:hAnsi="Times New Roman" w:eastAsia="宋体" w:cs="Times New Roman"/>
                <w:color w:val="auto"/>
                <w:lang w:val="en-US" w:eastAsia="zh-CN"/>
              </w:rPr>
              <w:t>综上，本项目施工建设及运行管理</w:t>
            </w:r>
            <w:r>
              <w:rPr>
                <w:rFonts w:hint="eastAsia" w:ascii="Times New Roman" w:hAnsi="Times New Roman" w:eastAsia="宋体" w:cs="Times New Roman"/>
                <w:color w:val="auto"/>
                <w:kern w:val="24"/>
                <w:sz w:val="24"/>
                <w:szCs w:val="24"/>
                <w:highlight w:val="none"/>
                <w:lang w:val="en-US" w:eastAsia="zh-CN"/>
              </w:rPr>
              <w:t>期间</w:t>
            </w:r>
            <w:r>
              <w:rPr>
                <w:rFonts w:hint="default" w:ascii="Times New Roman" w:hAnsi="Times New Roman" w:cs="Times New Roman"/>
                <w:color w:val="auto"/>
                <w:sz w:val="24"/>
                <w:szCs w:val="22"/>
                <w:highlight w:val="none"/>
              </w:rPr>
              <w:t>环境质量可以保持现有水平</w:t>
            </w:r>
            <w:r>
              <w:rPr>
                <w:rFonts w:hint="eastAsia" w:ascii="Times New Roman" w:hAnsi="Times New Roman" w:cs="Times New Roman"/>
                <w:color w:val="auto"/>
                <w:sz w:val="24"/>
                <w:szCs w:val="22"/>
                <w:highlight w:val="none"/>
                <w:lang w:eastAsia="zh-CN"/>
              </w:rPr>
              <w:t>，</w:t>
            </w:r>
            <w:r>
              <w:rPr>
                <w:rFonts w:hint="eastAsia" w:ascii="Times New Roman" w:hAnsi="Times New Roman" w:eastAsia="宋体" w:cs="Times New Roman"/>
                <w:color w:val="auto"/>
                <w:kern w:val="24"/>
                <w:sz w:val="24"/>
                <w:szCs w:val="24"/>
                <w:highlight w:val="none"/>
                <w:lang w:val="en-US" w:eastAsia="zh-CN"/>
              </w:rPr>
              <w:t>不会突破环境质量底线。</w:t>
            </w:r>
          </w:p>
          <w:p>
            <w:pPr>
              <w:numPr>
                <w:ilvl w:val="0"/>
                <w:numId w:val="1"/>
              </w:numPr>
              <w:bidi w:val="0"/>
              <w:rPr>
                <w:rFonts w:hint="eastAsia"/>
                <w:color w:val="auto"/>
                <w:lang w:val="en-US" w:eastAsia="zh-CN"/>
              </w:rPr>
            </w:pPr>
            <w:r>
              <w:rPr>
                <w:rFonts w:hint="eastAsia"/>
                <w:color w:val="auto"/>
                <w:lang w:val="en-US" w:eastAsia="zh-CN"/>
              </w:rPr>
              <w:t>资源利用上线</w:t>
            </w:r>
          </w:p>
          <w:p>
            <w:pPr>
              <w:numPr>
                <w:ilvl w:val="0"/>
                <w:numId w:val="0"/>
              </w:numPr>
              <w:bidi w:val="0"/>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文件要求：强化节约集约利用，持续提升资源能源利用效率，水资源、土地资源、能源消耗等达到国家、自治区下达的总量和强度控制目标。加快区域低碳发展，积极推动低碳试点建设，发挥低碳试点示范引领作用。</w:t>
            </w:r>
          </w:p>
          <w:p>
            <w:pPr>
              <w:numPr>
                <w:ilvl w:val="0"/>
                <w:numId w:val="0"/>
              </w:numPr>
              <w:bidi w:val="0"/>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符合性分析：本项目运营过程中消耗一定量的电源、水资源等资源消耗，本项目供电利用果赛景区的供电系统；项目周边水资源充足依托果赛景区供水管网系统不会对周边水资源负荷产生明显影响。建设单位应按照水资源“三条红线”要求，严格控制用水量；总体而言，项目建设运行资源消耗相对区域资源利用总量较少，符合资源利用上线要求。</w:t>
            </w:r>
          </w:p>
          <w:p>
            <w:pPr>
              <w:numPr>
                <w:ilvl w:val="0"/>
                <w:numId w:val="0"/>
              </w:numPr>
              <w:bidi w:val="0"/>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（4）与生态环境管控单元及生态环境准入清单的符合性</w:t>
            </w:r>
          </w:p>
          <w:p>
            <w:pPr>
              <w:numPr>
                <w:ilvl w:val="0"/>
                <w:numId w:val="0"/>
              </w:numPr>
              <w:bidi w:val="0"/>
              <w:ind w:firstLine="480" w:firstLineChars="200"/>
              <w:rPr>
                <w:rFonts w:hint="eastAsia" w:ascii="Times New Roman" w:hAnsi="Times New Roman" w:eastAsia="宋体" w:cs="Times New Roman"/>
                <w:color w:val="auto"/>
                <w:kern w:val="24"/>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文件要求：自治区划定环境</w:t>
            </w:r>
            <w:r>
              <w:rPr>
                <w:rFonts w:hint="eastAsia" w:ascii="Times New Roman" w:hAnsi="Times New Roman" w:eastAsia="宋体" w:cs="Times New Roman"/>
                <w:color w:val="auto"/>
                <w:kern w:val="24"/>
                <w:sz w:val="24"/>
                <w:szCs w:val="24"/>
                <w:highlight w:val="none"/>
                <w:lang w:val="en-US" w:eastAsia="zh-CN"/>
              </w:rPr>
              <w:t xml:space="preserve">管控单元，分为优先保护单元、重点管控单元和一般管控单元三类，实施分类管控。优先保护单元主要包括生态保护红线区和生态保护红线区以外的饮用水水源保护区、水源涵养区、防风固沙区、土地沙化防控区、水土流失防控区等一般生态空间管控区。生态保护红线区执行生态保护红线管理办法的有关要求；一般生态空间管控区应以生态环境保护优先为原则，开发建设活动应严格执行相关法律、法规要求，严守生态环境质量底线，确保生态功能不降低。重点管控单元主要包括城镇建成区、工业园区和开发强度大、污染物排放强度高的工业聚集区等。重点管控单元要着力优化空间布局，不断提升资源利用效率，有针对性地加强污染物排放管控和环境风险管控，解决生态环境质量不达标、生态环境风险高等问题。一般管控单元主要包括优先保护单元和重点管控单元之外的其它区域。一般管控单元主要落实生态环境保护基本要求，推动区域环境质量持续改善。 </w:t>
            </w:r>
          </w:p>
          <w:p>
            <w:pPr>
              <w:bidi w:val="0"/>
              <w:rPr>
                <w:rFonts w:hint="eastAsia" w:ascii="Times New Roman" w:hAnsi="Times New Roman" w:eastAsia="宋体" w:cs="Times New Roman"/>
                <w:color w:val="auto"/>
                <w:kern w:val="24"/>
                <w:sz w:val="24"/>
                <w:szCs w:val="24"/>
                <w:highlight w:val="none"/>
                <w:lang w:val="en-US" w:eastAsia="zh-CN"/>
              </w:rPr>
            </w:pPr>
            <w:r>
              <w:rPr>
                <w:rFonts w:hint="default" w:ascii="Times New Roman" w:hAnsi="Times New Roman" w:eastAsia="宋体" w:cs="Times New Roman"/>
                <w:color w:val="auto"/>
                <w:kern w:val="24"/>
                <w:sz w:val="24"/>
                <w:szCs w:val="24"/>
                <w:highlight w:val="none"/>
                <w:lang w:val="en-US" w:eastAsia="zh-CN"/>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pPr>
              <w:bidi w:val="0"/>
              <w:rPr>
                <w:rFonts w:hint="eastAsia"/>
                <w:color w:val="auto"/>
                <w:lang w:val="en-US" w:eastAsia="zh-CN"/>
              </w:rPr>
            </w:pPr>
            <w:r>
              <w:rPr>
                <w:rFonts w:hint="eastAsia" w:ascii="Times New Roman" w:hAnsi="Times New Roman" w:eastAsia="宋体" w:cs="Times New Roman"/>
                <w:color w:val="auto"/>
                <w:kern w:val="24"/>
                <w:sz w:val="24"/>
                <w:szCs w:val="24"/>
                <w:highlight w:val="none"/>
                <w:lang w:val="en-US" w:eastAsia="zh-CN"/>
              </w:rPr>
              <w:t>符合性分析：本</w:t>
            </w:r>
            <w:r>
              <w:rPr>
                <w:rFonts w:hint="eastAsia"/>
                <w:color w:val="auto"/>
                <w:lang w:val="en-US" w:eastAsia="zh-CN"/>
              </w:rPr>
              <w:t>项目为</w:t>
            </w:r>
            <w:r>
              <w:rPr>
                <w:rFonts w:hint="default" w:ascii="Times New Roman" w:hAnsi="Times New Roman" w:cs="Times New Roman"/>
                <w:color w:val="auto"/>
                <w:sz w:val="24"/>
                <w:szCs w:val="24"/>
              </w:rPr>
              <w:t>旅游开发</w:t>
            </w:r>
            <w:r>
              <w:rPr>
                <w:rFonts w:hint="eastAsia"/>
                <w:color w:val="auto"/>
                <w:lang w:val="en-US" w:eastAsia="zh-CN"/>
              </w:rPr>
              <w:t>类项目，</w:t>
            </w:r>
            <w:r>
              <w:rPr>
                <w:rFonts w:hint="eastAsia" w:ascii="Times New Roman" w:hAnsi="Times New Roman" w:eastAsia="宋体" w:cs="Times New Roman"/>
                <w:color w:val="auto"/>
                <w:kern w:val="24"/>
                <w:sz w:val="24"/>
                <w:szCs w:val="24"/>
                <w:highlight w:val="none"/>
                <w:lang w:val="en-US" w:eastAsia="zh-CN"/>
              </w:rPr>
              <w:t>项目未被列入《市场准入负面清单（2022 年版）》、《新疆维吾尔自治区28个国家重点生态功能区县（市）产业准入负面清单（试行）》、《新疆维吾尔自治区17个新增纳入国家重点生态功能区县（市）产业准入负面清单（试行）》限制目录</w:t>
            </w:r>
            <w:r>
              <w:rPr>
                <w:rFonts w:hint="eastAsia"/>
                <w:color w:val="auto"/>
                <w:lang w:val="en-US" w:eastAsia="zh-CN"/>
              </w:rPr>
              <w:t>。项目建设符合霍城县产业规划并符合国家及地方产业政策要求，同时满足项目入驻前须另行办理相关环保手续的要求，不在环境准入负面清单内，</w:t>
            </w:r>
            <w:r>
              <w:rPr>
                <w:rFonts w:hint="eastAsia" w:ascii="Times New Roman" w:hAnsi="Times New Roman" w:eastAsia="宋体" w:cs="Times New Roman"/>
                <w:color w:val="auto"/>
                <w:kern w:val="24"/>
                <w:sz w:val="24"/>
                <w:szCs w:val="24"/>
                <w:highlight w:val="none"/>
                <w:lang w:val="en-US" w:eastAsia="zh-CN"/>
              </w:rPr>
              <w:t>符合生态环境管控单元及生态环境准入清单要求。</w:t>
            </w:r>
          </w:p>
          <w:p>
            <w:pPr>
              <w:bidi w:val="0"/>
              <w:rPr>
                <w:rFonts w:hint="default"/>
                <w:color w:val="auto"/>
                <w:lang w:val="en-US" w:eastAsia="zh-CN"/>
              </w:rPr>
            </w:pPr>
            <w:r>
              <w:rPr>
                <w:rFonts w:hint="default" w:ascii="Times New Roman" w:hAnsi="Times New Roman" w:eastAsia="宋体" w:cs="Times New Roman"/>
                <w:color w:val="auto"/>
                <w:kern w:val="24"/>
                <w:sz w:val="24"/>
                <w:szCs w:val="24"/>
                <w:highlight w:val="none"/>
                <w:lang w:val="en-US" w:eastAsia="zh-CN"/>
              </w:rPr>
              <w:t>综上所述，本项目建设符合生态保护红线要求；符合环境质量底线要求；符合资源利用上线要求；同时本项目为国家产业政策</w:t>
            </w:r>
            <w:r>
              <w:rPr>
                <w:rFonts w:hint="eastAsia" w:ascii="Times New Roman" w:hAnsi="Times New Roman" w:eastAsia="宋体" w:cs="Times New Roman"/>
                <w:color w:val="auto"/>
                <w:kern w:val="24"/>
                <w:sz w:val="24"/>
                <w:szCs w:val="24"/>
                <w:highlight w:val="none"/>
                <w:lang w:val="en-US" w:eastAsia="zh-CN"/>
              </w:rPr>
              <w:t>鼓励类</w:t>
            </w:r>
            <w:r>
              <w:rPr>
                <w:rFonts w:hint="default" w:ascii="Times New Roman" w:hAnsi="Times New Roman" w:eastAsia="宋体" w:cs="Times New Roman"/>
                <w:color w:val="auto"/>
                <w:kern w:val="24"/>
                <w:sz w:val="24"/>
                <w:szCs w:val="24"/>
                <w:highlight w:val="none"/>
                <w:lang w:val="en-US" w:eastAsia="zh-CN"/>
              </w:rPr>
              <w:t>建设项目，符合环境准入要求。因此项目符合</w:t>
            </w:r>
            <w:r>
              <w:rPr>
                <w:rFonts w:hint="eastAsia" w:ascii="Times New Roman" w:hAnsi="Times New Roman" w:eastAsia="宋体" w:cs="Times New Roman"/>
                <w:color w:val="auto"/>
                <w:kern w:val="24"/>
                <w:sz w:val="24"/>
                <w:szCs w:val="24"/>
                <w:highlight w:val="none"/>
                <w:lang w:val="en-US" w:eastAsia="zh-CN"/>
              </w:rPr>
              <w:t>《新疆维吾尔自治区“三线一单”生态环境分区管控方案》</w:t>
            </w:r>
            <w:r>
              <w:rPr>
                <w:rFonts w:hint="default" w:ascii="Times New Roman" w:hAnsi="Times New Roman" w:eastAsia="宋体" w:cs="Times New Roman"/>
                <w:color w:val="auto"/>
                <w:kern w:val="24"/>
                <w:sz w:val="24"/>
                <w:szCs w:val="24"/>
                <w:highlight w:val="none"/>
                <w:lang w:val="en-US" w:eastAsia="zh-CN"/>
              </w:rPr>
              <w:t>管理要求</w:t>
            </w:r>
            <w:r>
              <w:rPr>
                <w:rFonts w:hint="default"/>
                <w:color w:val="auto"/>
                <w:lang w:val="en-US" w:eastAsia="zh-CN"/>
              </w:rPr>
              <w:t>。</w:t>
            </w:r>
          </w:p>
          <w:p>
            <w:pPr>
              <w:pStyle w:val="4"/>
              <w:bidi w:val="0"/>
              <w:rPr>
                <w:rFonts w:hint="default"/>
                <w:color w:val="auto"/>
                <w:lang w:val="en-US" w:eastAsia="zh-CN"/>
              </w:rPr>
            </w:pPr>
            <w:r>
              <w:rPr>
                <w:rFonts w:hint="eastAsia"/>
                <w:color w:val="auto"/>
                <w:lang w:val="en-US" w:eastAsia="zh-CN"/>
              </w:rPr>
              <w:t>5.2</w:t>
            </w:r>
            <w:r>
              <w:rPr>
                <w:rFonts w:hint="default"/>
                <w:color w:val="auto"/>
                <w:lang w:val="en-US" w:eastAsia="zh-CN"/>
              </w:rPr>
              <w:t>《伊犁州直区域空间生态评价暨</w:t>
            </w:r>
            <w:r>
              <w:rPr>
                <w:rFonts w:hint="eastAsia"/>
                <w:color w:val="auto"/>
                <w:lang w:val="en-US" w:eastAsia="zh-CN"/>
              </w:rPr>
              <w:t>“</w:t>
            </w:r>
            <w:r>
              <w:rPr>
                <w:rFonts w:hint="default"/>
                <w:color w:val="auto"/>
                <w:lang w:val="en-US" w:eastAsia="zh-CN"/>
              </w:rPr>
              <w:t>三线一单</w:t>
            </w:r>
            <w:r>
              <w:rPr>
                <w:rFonts w:hint="eastAsia"/>
                <w:color w:val="auto"/>
                <w:lang w:val="en-US" w:eastAsia="zh-CN"/>
              </w:rPr>
              <w:t>”</w:t>
            </w:r>
            <w:r>
              <w:rPr>
                <w:rFonts w:hint="default"/>
                <w:color w:val="auto"/>
                <w:lang w:val="en-US" w:eastAsia="zh-CN"/>
              </w:rPr>
              <w:t>生态环境准入清单》</w:t>
            </w:r>
            <w:r>
              <w:rPr>
                <w:rFonts w:hint="eastAsia"/>
                <w:color w:val="auto"/>
                <w:lang w:val="en-US" w:eastAsia="zh-CN"/>
              </w:rPr>
              <w:t>符合性</w:t>
            </w:r>
          </w:p>
          <w:p>
            <w:pPr>
              <w:spacing w:line="520" w:lineRule="exact"/>
              <w:ind w:firstLine="480" w:firstLineChars="200"/>
              <w:rPr>
                <w:rFonts w:hint="eastAsia" w:ascii="Times New Roman" w:hAnsi="Times New Roman" w:eastAsia="宋体" w:cs="Times New Roman"/>
                <w:color w:val="auto"/>
                <w:kern w:val="24"/>
                <w:sz w:val="24"/>
                <w:szCs w:val="24"/>
                <w:highlight w:val="none"/>
                <w:lang w:val="en-US" w:eastAsia="zh-CN"/>
              </w:rPr>
            </w:pPr>
            <w:r>
              <w:rPr>
                <w:rFonts w:hint="eastAsia" w:ascii="Times New Roman" w:hAnsi="Times New Roman" w:eastAsia="宋体" w:cs="Times New Roman"/>
                <w:color w:val="auto"/>
                <w:kern w:val="24"/>
                <w:sz w:val="24"/>
                <w:szCs w:val="24"/>
                <w:highlight w:val="none"/>
                <w:lang w:val="en-US" w:eastAsia="zh-CN"/>
              </w:rPr>
              <w:t>对照</w:t>
            </w:r>
            <w:r>
              <w:rPr>
                <w:rFonts w:hint="default" w:ascii="Times New Roman" w:hAnsi="Times New Roman" w:eastAsia="宋体" w:cs="Times New Roman"/>
                <w:color w:val="auto"/>
                <w:kern w:val="24"/>
                <w:sz w:val="24"/>
                <w:szCs w:val="24"/>
                <w:highlight w:val="none"/>
                <w:lang w:val="en-US" w:eastAsia="zh-CN"/>
              </w:rPr>
              <w:t>《伊犁州直区域空间生态评价暨</w:t>
            </w:r>
            <w:r>
              <w:rPr>
                <w:rFonts w:hint="eastAsia" w:cs="Times New Roman"/>
                <w:color w:val="auto"/>
                <w:kern w:val="24"/>
                <w:sz w:val="24"/>
                <w:szCs w:val="24"/>
                <w:highlight w:val="none"/>
                <w:lang w:val="en-US" w:eastAsia="zh-CN"/>
              </w:rPr>
              <w:t>“</w:t>
            </w:r>
            <w:r>
              <w:rPr>
                <w:rFonts w:hint="default" w:ascii="Times New Roman" w:hAnsi="Times New Roman" w:eastAsia="宋体" w:cs="Times New Roman"/>
                <w:color w:val="auto"/>
                <w:kern w:val="24"/>
                <w:sz w:val="24"/>
                <w:szCs w:val="24"/>
                <w:highlight w:val="none"/>
                <w:lang w:val="en-US" w:eastAsia="zh-CN"/>
              </w:rPr>
              <w:t>三线一单</w:t>
            </w:r>
            <w:r>
              <w:rPr>
                <w:rFonts w:hint="eastAsia" w:cs="Times New Roman"/>
                <w:color w:val="auto"/>
                <w:kern w:val="24"/>
                <w:sz w:val="24"/>
                <w:szCs w:val="24"/>
                <w:highlight w:val="none"/>
                <w:lang w:val="en-US" w:eastAsia="zh-CN"/>
              </w:rPr>
              <w:t>”</w:t>
            </w:r>
            <w:r>
              <w:rPr>
                <w:rFonts w:hint="default" w:ascii="Times New Roman" w:hAnsi="Times New Roman" w:eastAsia="宋体" w:cs="Times New Roman"/>
                <w:color w:val="auto"/>
                <w:kern w:val="24"/>
                <w:sz w:val="24"/>
                <w:szCs w:val="24"/>
                <w:highlight w:val="none"/>
                <w:lang w:val="en-US" w:eastAsia="zh-CN"/>
              </w:rPr>
              <w:t>生态环境准入清单》</w:t>
            </w:r>
            <w:r>
              <w:rPr>
                <w:rFonts w:hint="eastAsia" w:ascii="Times New Roman" w:hAnsi="Times New Roman" w:eastAsia="宋体" w:cs="Times New Roman"/>
                <w:color w:val="auto"/>
                <w:kern w:val="24"/>
                <w:sz w:val="24"/>
                <w:szCs w:val="24"/>
                <w:highlight w:val="none"/>
                <w:lang w:val="en-US" w:eastAsia="zh-CN"/>
              </w:rPr>
              <w:t>（伊州政办发〔2021〕28号），根据伊犁州直各县市特征研判及准入清单，本项目位于</w:t>
            </w:r>
            <w:r>
              <w:rPr>
                <w:rFonts w:hint="eastAsia" w:cs="Times New Roman"/>
                <w:color w:val="auto"/>
                <w:sz w:val="24"/>
                <w:szCs w:val="24"/>
                <w:lang w:val="en-US" w:eastAsia="zh-CN"/>
              </w:rPr>
              <w:t>霍城县</w:t>
            </w:r>
            <w:r>
              <w:rPr>
                <w:rFonts w:hint="eastAsia" w:ascii="Times New Roman" w:hAnsi="Times New Roman" w:eastAsia="宋体" w:cs="Times New Roman"/>
                <w:color w:val="auto"/>
                <w:kern w:val="24"/>
                <w:sz w:val="24"/>
                <w:szCs w:val="24"/>
                <w:highlight w:val="none"/>
                <w:lang w:val="en-US" w:eastAsia="zh-CN"/>
              </w:rPr>
              <w:t>，涉及</w:t>
            </w:r>
            <w:r>
              <w:rPr>
                <w:rFonts w:hint="eastAsia" w:cs="Times New Roman"/>
                <w:color w:val="auto"/>
                <w:kern w:val="24"/>
                <w:sz w:val="24"/>
                <w:szCs w:val="24"/>
                <w:highlight w:val="none"/>
                <w:lang w:val="en-US" w:eastAsia="zh-CN"/>
              </w:rPr>
              <w:t>霍城县优先保护单元02</w:t>
            </w:r>
            <w:r>
              <w:rPr>
                <w:rFonts w:hint="eastAsia" w:ascii="Times New Roman" w:hAnsi="Times New Roman" w:eastAsia="宋体" w:cs="Times New Roman"/>
                <w:color w:val="auto"/>
                <w:kern w:val="24"/>
                <w:sz w:val="24"/>
                <w:szCs w:val="24"/>
                <w:highlight w:val="none"/>
                <w:lang w:val="en-US" w:eastAsia="zh-CN"/>
              </w:rPr>
              <w:t>（单元编码：ZH65402310002）。其管控要求如下：</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eastAsia"/>
                <w:color w:val="auto"/>
                <w:sz w:val="24"/>
                <w:szCs w:val="24"/>
                <w:lang w:val="en-US" w:eastAsia="zh-CN"/>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color w:val="auto"/>
                <w:szCs w:val="24"/>
                <w:highlight w:val="none"/>
                <w:lang w:val="en-US" w:eastAsia="zh-CN"/>
              </w:rPr>
            </w:pPr>
            <w:r>
              <w:rPr>
                <w:rFonts w:hint="eastAsia"/>
                <w:color w:val="auto"/>
                <w:sz w:val="24"/>
                <w:szCs w:val="24"/>
                <w:lang w:val="en-US" w:eastAsia="zh-CN"/>
              </w:rPr>
              <w:t>表2-2  符合性分析</w:t>
            </w:r>
          </w:p>
          <w:tbl>
            <w:tblPr>
              <w:tblStyle w:val="1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16"/>
              <w:gridCol w:w="2077"/>
              <w:gridCol w:w="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03"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管控维度</w:t>
                  </w:r>
                </w:p>
              </w:tc>
              <w:tc>
                <w:tcPr>
                  <w:tcW w:w="2557"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管控要求</w:t>
                  </w:r>
                </w:p>
              </w:tc>
              <w:tc>
                <w:tcPr>
                  <w:tcW w:w="1230"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本项目</w:t>
                  </w:r>
                </w:p>
              </w:tc>
              <w:tc>
                <w:tcPr>
                  <w:tcW w:w="508"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3" w:type="pct"/>
                  <w:tcBorders>
                    <w:tl2br w:val="nil"/>
                    <w:tr2bl w:val="nil"/>
                  </w:tcBorders>
                  <w:noWrap w:val="0"/>
                  <w:vAlign w:val="center"/>
                </w:tcPr>
                <w:p>
                  <w:pPr>
                    <w:pStyle w:val="17"/>
                    <w:bidi w:val="0"/>
                    <w:rPr>
                      <w:rFonts w:hint="default"/>
                      <w:color w:val="auto"/>
                      <w:lang w:val="en-US" w:eastAsia="zh-CN"/>
                    </w:rPr>
                  </w:pPr>
                  <w:r>
                    <w:rPr>
                      <w:rFonts w:hint="default"/>
                      <w:color w:val="auto"/>
                      <w:lang w:val="en-US" w:eastAsia="zh-CN"/>
                    </w:rPr>
                    <w:t>空间布局约束</w:t>
                  </w:r>
                </w:p>
              </w:tc>
              <w:tc>
                <w:tcPr>
                  <w:tcW w:w="2557" w:type="pct"/>
                  <w:tcBorders>
                    <w:tl2br w:val="nil"/>
                    <w:tr2bl w:val="nil"/>
                  </w:tcBorders>
                  <w:noWrap w:val="0"/>
                  <w:vAlign w:val="center"/>
                </w:tcPr>
                <w:p>
                  <w:pPr>
                    <w:pStyle w:val="17"/>
                    <w:bidi w:val="0"/>
                    <w:jc w:val="left"/>
                    <w:rPr>
                      <w:rFonts w:hint="default"/>
                      <w:color w:val="auto"/>
                      <w:lang w:val="en-US" w:eastAsia="zh-CN"/>
                    </w:rPr>
                  </w:pPr>
                  <w:r>
                    <w:rPr>
                      <w:rFonts w:hint="default"/>
                      <w:color w:val="auto"/>
                      <w:lang w:val="en-US" w:eastAsia="zh-CN"/>
                    </w:rPr>
                    <w:t>1.生态保护红线内，自然保护地核心保护区原则上禁止人为活动，其他区域严格禁止开发性、生产性建设活动。法律法规另有规定的，从其规定。</w:t>
                  </w:r>
                </w:p>
                <w:p>
                  <w:pPr>
                    <w:pStyle w:val="17"/>
                    <w:bidi w:val="0"/>
                    <w:jc w:val="left"/>
                    <w:rPr>
                      <w:rFonts w:hint="default"/>
                      <w:color w:val="auto"/>
                      <w:lang w:val="en-US" w:eastAsia="zh-CN"/>
                    </w:rPr>
                  </w:pPr>
                  <w:r>
                    <w:rPr>
                      <w:rFonts w:hint="default"/>
                      <w:color w:val="auto"/>
                      <w:lang w:val="en-US" w:eastAsia="zh-CN"/>
                    </w:rPr>
                    <w:t>2.生态保护红线内、自然保护地核心保护区外，在符合现行法律法规的前提下，除国家重大项目外，仅允许对生态功能不造成破坏的有限人为活动，严禁开展与其主导功能定位不相符合的开发利用活动。（一）原住居民基本生产生活活动。（二）自然资源、生态环境调查监测和执法。（三）经依法批准的古生物化石调查发掘和保护活动、非破坏性科学研究观测及必需的设施建设、标本采集。（四）经依法批准的考古调查发掘和文物保护活动。（五）不破坏生态功能的适度参观旅游和相关必要的公共设施建设。（六）必须且无法避让，符合县级以上国土空间规划的线性基础设施建设、防洪和供水设施建设与运行维护；已有合法水利、交通运输设施运行和维护等。（七）地质调查与矿产资源勘查开采。（八）依据县级以上国土空间规划，经批准开展的重要生态修复工程。（九）确实难以避让的军事设施建设及重大军事演训活动。</w:t>
                  </w:r>
                </w:p>
                <w:p>
                  <w:pPr>
                    <w:pStyle w:val="17"/>
                    <w:bidi w:val="0"/>
                    <w:jc w:val="left"/>
                    <w:rPr>
                      <w:rFonts w:hint="default"/>
                      <w:color w:val="auto"/>
                      <w:lang w:val="en-US" w:eastAsia="zh-CN"/>
                    </w:rPr>
                  </w:pPr>
                  <w:r>
                    <w:rPr>
                      <w:rFonts w:hint="default"/>
                      <w:color w:val="auto"/>
                      <w:lang w:val="en-US" w:eastAsia="zh-CN"/>
                    </w:rPr>
                    <w:t>霍城县大西沟森林自然公园、新疆果子沟国家森林自然公园执行以下管控要求：</w:t>
                  </w:r>
                </w:p>
                <w:p>
                  <w:pPr>
                    <w:pStyle w:val="17"/>
                    <w:bidi w:val="0"/>
                    <w:jc w:val="left"/>
                    <w:rPr>
                      <w:rFonts w:hint="default"/>
                      <w:color w:val="auto"/>
                      <w:lang w:val="en-US" w:eastAsia="zh-CN"/>
                    </w:rPr>
                  </w:pPr>
                  <w:r>
                    <w:rPr>
                      <w:rFonts w:hint="default"/>
                      <w:color w:val="auto"/>
                      <w:lang w:val="en-US" w:eastAsia="zh-CN"/>
                    </w:rPr>
                    <w:t>3.在珍贵景物、重要景点和核心景区，除必要的保护和附属设施外，不得建设宾馆、招待所、疗养院和其他工程设施。</w:t>
                  </w:r>
                </w:p>
                <w:p>
                  <w:pPr>
                    <w:pStyle w:val="17"/>
                    <w:bidi w:val="0"/>
                    <w:jc w:val="left"/>
                    <w:rPr>
                      <w:rFonts w:hint="default"/>
                      <w:color w:val="auto"/>
                      <w:lang w:val="en-US" w:eastAsia="zh-CN"/>
                    </w:rPr>
                  </w:pPr>
                  <w:r>
                    <w:rPr>
                      <w:rFonts w:hint="default"/>
                      <w:color w:val="auto"/>
                      <w:lang w:val="en-US" w:eastAsia="zh-CN"/>
                    </w:rPr>
                    <w:t>4.除必要的保护设施和附属设施外，禁止从事与资源保护无关的任何生产建设活动。</w:t>
                  </w:r>
                </w:p>
                <w:p>
                  <w:pPr>
                    <w:pStyle w:val="17"/>
                    <w:bidi w:val="0"/>
                    <w:jc w:val="left"/>
                    <w:rPr>
                      <w:rFonts w:hint="default"/>
                      <w:color w:val="auto"/>
                      <w:lang w:val="en-US" w:eastAsia="zh-CN"/>
                    </w:rPr>
                  </w:pPr>
                  <w:r>
                    <w:rPr>
                      <w:rFonts w:hint="default"/>
                      <w:color w:val="auto"/>
                      <w:lang w:val="en-US" w:eastAsia="zh-CN"/>
                    </w:rPr>
                    <w:t>5.在森林公园内以及可能对森林公园造成影响的周边地区，禁止进行毁林开荒、采石、取土、开矿、放牧以及非抚育和更新性采伐等活动。</w:t>
                  </w:r>
                </w:p>
                <w:p>
                  <w:pPr>
                    <w:pStyle w:val="17"/>
                    <w:bidi w:val="0"/>
                    <w:jc w:val="left"/>
                    <w:rPr>
                      <w:rFonts w:hint="default"/>
                      <w:color w:val="auto"/>
                      <w:lang w:val="en-US" w:eastAsia="zh-CN"/>
                    </w:rPr>
                  </w:pPr>
                  <w:r>
                    <w:rPr>
                      <w:rFonts w:hint="default"/>
                      <w:color w:val="auto"/>
                      <w:lang w:val="en-US" w:eastAsia="zh-CN"/>
                    </w:rPr>
                    <w:t>6.采伐森林公园的林木，必须遵守有关林业法规、经营方案和技术规程的规定。</w:t>
                  </w:r>
                </w:p>
                <w:p>
                  <w:pPr>
                    <w:pStyle w:val="17"/>
                    <w:bidi w:val="0"/>
                    <w:jc w:val="left"/>
                    <w:rPr>
                      <w:rFonts w:hint="default"/>
                      <w:color w:val="auto"/>
                      <w:lang w:val="en-US" w:eastAsia="zh-CN"/>
                    </w:rPr>
                  </w:pPr>
                  <w:r>
                    <w:rPr>
                      <w:rFonts w:hint="default"/>
                      <w:color w:val="auto"/>
                      <w:lang w:val="en-US" w:eastAsia="zh-CN"/>
                    </w:rPr>
                    <w:t>7.占用、征收、征用或者转让森林公园经营范围内的林地，必须征得森林公园经营管理机构同意，并按《中华人民共和国森林法》及其实施细则等有关规定，办理占用、征收、征用或者转让手续，按法定审批权限报人民政府批准。依前款规定占用、征用或者转让国有林地的，必须经省级林业主管部门审核同意。</w:t>
                  </w:r>
                </w:p>
                <w:p>
                  <w:pPr>
                    <w:pStyle w:val="17"/>
                    <w:bidi w:val="0"/>
                    <w:jc w:val="left"/>
                    <w:rPr>
                      <w:rFonts w:hint="default"/>
                      <w:color w:val="auto"/>
                      <w:lang w:val="en-US" w:eastAsia="zh-CN"/>
                    </w:rPr>
                  </w:pPr>
                  <w:r>
                    <w:rPr>
                      <w:rFonts w:hint="default"/>
                      <w:color w:val="auto"/>
                      <w:lang w:val="en-US" w:eastAsia="zh-CN"/>
                    </w:rPr>
                    <w:t>8.因提高森林风景资源质量或者开展森林生态旅游的需要，可以对国家级森林公园内的林木进行抚育和更新性质的采伐。</w:t>
                  </w:r>
                </w:p>
                <w:p>
                  <w:pPr>
                    <w:pStyle w:val="17"/>
                    <w:bidi w:val="0"/>
                    <w:jc w:val="left"/>
                    <w:rPr>
                      <w:rFonts w:hint="default"/>
                      <w:color w:val="auto"/>
                      <w:lang w:val="en-US" w:eastAsia="zh-CN"/>
                    </w:rPr>
                  </w:pPr>
                  <w:r>
                    <w:rPr>
                      <w:rFonts w:hint="default"/>
                      <w:color w:val="auto"/>
                      <w:lang w:val="en-US" w:eastAsia="zh-CN"/>
                    </w:rPr>
                    <w:t>9.严格控制建设项目使用国家级森林公园林地，但是因保护森林及其他风景资源、建设森林防火设施和林业生态文化示范基地、保障游客安全等直接为林业生产服务的工程设施除外。</w:t>
                  </w:r>
                </w:p>
                <w:p>
                  <w:pPr>
                    <w:pStyle w:val="17"/>
                    <w:bidi w:val="0"/>
                    <w:jc w:val="left"/>
                    <w:rPr>
                      <w:rFonts w:hint="default"/>
                      <w:color w:val="auto"/>
                      <w:lang w:val="en-US" w:eastAsia="zh-CN"/>
                    </w:rPr>
                  </w:pPr>
                  <w:r>
                    <w:rPr>
                      <w:rFonts w:hint="default"/>
                      <w:color w:val="auto"/>
                      <w:lang w:val="en-US" w:eastAsia="zh-CN"/>
                    </w:rPr>
                    <w:t>新疆果子沟国家森林自然公园执行以下管控要求：</w:t>
                  </w:r>
                </w:p>
                <w:p>
                  <w:pPr>
                    <w:pStyle w:val="17"/>
                    <w:bidi w:val="0"/>
                    <w:jc w:val="left"/>
                    <w:rPr>
                      <w:rFonts w:hint="default"/>
                      <w:color w:val="auto"/>
                      <w:lang w:val="en-US" w:eastAsia="zh-CN"/>
                    </w:rPr>
                  </w:pPr>
                  <w:r>
                    <w:rPr>
                      <w:rFonts w:hint="default"/>
                      <w:color w:val="auto"/>
                      <w:lang w:val="en-US" w:eastAsia="zh-CN"/>
                    </w:rPr>
                    <w:t>10.在国家级森林公园内禁止从事下列活动：（一）擅自采折、采挖花草、树木、药材等植物；（二）非法猎捕、杀害野生动物；（三）刻划、污损树木、岩石和文物古迹及葬坟；（四）损毁或者擅自移动园内设施；（五）未经处理直接排放生活污水和超标准的废水、废气，乱倒垃圾、废渣、废物及其他污染物；（六）在非指定的吸烟区吸烟和在非指定区域野外用火、焚烧香蜡纸烛、燃放烟花爆竹；（七）擅自摆摊设点、兜售物品；（八）擅自围、填、堵、截自然水系；（九）法律、法规、规章禁止的其他活动。</w:t>
                  </w:r>
                </w:p>
                <w:p>
                  <w:pPr>
                    <w:pStyle w:val="17"/>
                    <w:bidi w:val="0"/>
                    <w:jc w:val="left"/>
                    <w:rPr>
                      <w:rFonts w:hint="default"/>
                      <w:color w:val="auto"/>
                      <w:lang w:val="en-US" w:eastAsia="zh-CN"/>
                    </w:rPr>
                  </w:pPr>
                  <w:r>
                    <w:rPr>
                      <w:rFonts w:hint="default"/>
                      <w:color w:val="auto"/>
                      <w:lang w:val="en-US" w:eastAsia="zh-CN"/>
                    </w:rPr>
                    <w:t>11.国家级森林公园内的建设项目应当符合总体规划的要求，其选址、规模、风格和色彩等应当与周边景观与环境相协调，相应的废水、废物处理和防火设施应当同时设计、同时施工、同时使用。在国家级森林公园内进行建设活动的，应当采取措施保护景观和环境；施工结束后，应当及时整理场地，美化绿化环境。</w:t>
                  </w:r>
                </w:p>
                <w:p>
                  <w:pPr>
                    <w:pStyle w:val="17"/>
                    <w:bidi w:val="0"/>
                    <w:jc w:val="left"/>
                    <w:rPr>
                      <w:rFonts w:hint="default"/>
                      <w:color w:val="auto"/>
                      <w:lang w:val="en-US" w:eastAsia="zh-CN"/>
                    </w:rPr>
                  </w:pPr>
                  <w:r>
                    <w:rPr>
                      <w:rFonts w:hint="default"/>
                      <w:color w:val="auto"/>
                      <w:lang w:val="en-US" w:eastAsia="zh-CN"/>
                    </w:rPr>
                    <w:t>12.在国家级森林公园内开展影视拍摄或者大型文艺演出等活动的，国家级森林公园经营管理机构应当根据承办单位的活动计划对森林公园景观与生态的影响进行评估，并报省、自治区、直辖市人民政府林业主管部门备案。国家级森林公园经营管理机构应当监督承办单位按照备案的活动计划开展影视拍摄或者大型文艺演出等活动；对所搭建的临时设施，承办单位应当在国家级森林公园经营管理机构规定的期限内拆除，并恢复原状。</w:t>
                  </w:r>
                </w:p>
                <w:p>
                  <w:pPr>
                    <w:pStyle w:val="17"/>
                    <w:bidi w:val="0"/>
                    <w:jc w:val="left"/>
                    <w:rPr>
                      <w:rFonts w:hint="default"/>
                      <w:color w:val="auto"/>
                      <w:lang w:val="en-US" w:eastAsia="zh-CN"/>
                    </w:rPr>
                  </w:pPr>
                  <w:r>
                    <w:rPr>
                      <w:rFonts w:hint="default"/>
                      <w:color w:val="auto"/>
                      <w:lang w:val="en-US" w:eastAsia="zh-CN"/>
                    </w:rPr>
                    <w:t>新疆霍城四爪陆龟国家级自然保护区执行以下管控要求：</w:t>
                  </w:r>
                </w:p>
                <w:p>
                  <w:pPr>
                    <w:pStyle w:val="17"/>
                    <w:bidi w:val="0"/>
                    <w:jc w:val="left"/>
                    <w:rPr>
                      <w:rFonts w:hint="default"/>
                      <w:color w:val="auto"/>
                      <w:lang w:val="en-US" w:eastAsia="zh-CN"/>
                    </w:rPr>
                  </w:pPr>
                  <w:r>
                    <w:rPr>
                      <w:rFonts w:hint="default"/>
                      <w:color w:val="auto"/>
                      <w:lang w:val="en-US" w:eastAsia="zh-CN"/>
                    </w:rPr>
                    <w:t>13.禁止在自然保护区范围内进行的砍伐、放牧、狩猎、捕捞、采药、开垦、烧荒、开矿、采石、挖沙等活动；禁止任何人进入自然保护区的核心区。</w:t>
                  </w:r>
                </w:p>
                <w:p>
                  <w:pPr>
                    <w:pStyle w:val="17"/>
                    <w:bidi w:val="0"/>
                    <w:jc w:val="left"/>
                    <w:rPr>
                      <w:rFonts w:hint="default"/>
                      <w:color w:val="auto"/>
                      <w:lang w:val="en-US" w:eastAsia="zh-CN"/>
                    </w:rPr>
                  </w:pPr>
                  <w:r>
                    <w:rPr>
                      <w:rFonts w:hint="default"/>
                      <w:color w:val="auto"/>
                      <w:lang w:val="en-US" w:eastAsia="zh-CN"/>
                    </w:rPr>
                    <w:t>14.禁止在自然保护区的缓冲区开展旅游和生产经营活动；严禁开设与自然保护区保护方向不一致的参观、旅游项目。</w:t>
                  </w:r>
                </w:p>
                <w:p>
                  <w:pPr>
                    <w:pStyle w:val="17"/>
                    <w:bidi w:val="0"/>
                    <w:jc w:val="left"/>
                    <w:rPr>
                      <w:rFonts w:hint="default"/>
                      <w:color w:val="auto"/>
                      <w:lang w:val="en-US" w:eastAsia="zh-CN"/>
                    </w:rPr>
                  </w:pPr>
                  <w:r>
                    <w:rPr>
                      <w:rFonts w:hint="default"/>
                      <w:color w:val="auto"/>
                      <w:lang w:val="en-US" w:eastAsia="zh-CN"/>
                    </w:rPr>
                    <w:t>15.自然保护区的核心区和缓冲区内，不得建设任何生产设施。</w:t>
                  </w:r>
                </w:p>
                <w:p>
                  <w:pPr>
                    <w:pStyle w:val="17"/>
                    <w:bidi w:val="0"/>
                    <w:jc w:val="left"/>
                    <w:rPr>
                      <w:rFonts w:hint="default"/>
                      <w:color w:val="auto"/>
                      <w:lang w:val="en-US" w:eastAsia="zh-CN"/>
                    </w:rPr>
                  </w:pPr>
                  <w:r>
                    <w:rPr>
                      <w:rFonts w:hint="default"/>
                      <w:color w:val="auto"/>
                      <w:lang w:val="en-US" w:eastAsia="zh-CN"/>
                    </w:rPr>
                    <w:t>16.禁止在自然保护区的核心区和缓冲区内建设畜禽养殖场、养殖小区。</w:t>
                  </w:r>
                </w:p>
                <w:p>
                  <w:pPr>
                    <w:pStyle w:val="17"/>
                    <w:bidi w:val="0"/>
                    <w:jc w:val="left"/>
                    <w:rPr>
                      <w:rFonts w:hint="default"/>
                      <w:color w:val="auto"/>
                      <w:lang w:val="en-US" w:eastAsia="zh-CN"/>
                    </w:rPr>
                  </w:pPr>
                  <w:r>
                    <w:rPr>
                      <w:rFonts w:hint="default"/>
                      <w:color w:val="auto"/>
                      <w:lang w:val="en-US" w:eastAsia="zh-CN"/>
                    </w:rPr>
                    <w:t>17.不得在自然保护区的区域内建设污染环境的工业生产设施。</w:t>
                  </w:r>
                </w:p>
                <w:p>
                  <w:pPr>
                    <w:pStyle w:val="17"/>
                    <w:bidi w:val="0"/>
                    <w:jc w:val="left"/>
                    <w:rPr>
                      <w:rFonts w:hint="default"/>
                      <w:color w:val="auto"/>
                      <w:lang w:val="en-US" w:eastAsia="zh-CN"/>
                    </w:rPr>
                  </w:pPr>
                  <w:r>
                    <w:rPr>
                      <w:rFonts w:hint="default"/>
                      <w:color w:val="auto"/>
                      <w:lang w:val="en-US" w:eastAsia="zh-CN"/>
                    </w:rPr>
                    <w:t>18.在自然保护区的实验区内，不得建设污染环境、破坏资源或者景观的生产设施；建设其他项目，其污染物排放不得超过国家和地方规定的污染物排放标准。</w:t>
                  </w:r>
                </w:p>
                <w:p>
                  <w:pPr>
                    <w:pStyle w:val="17"/>
                    <w:bidi w:val="0"/>
                    <w:jc w:val="left"/>
                    <w:rPr>
                      <w:rFonts w:hint="default"/>
                      <w:color w:val="auto"/>
                      <w:lang w:val="en-US" w:eastAsia="zh-CN"/>
                    </w:rPr>
                  </w:pPr>
                  <w:r>
                    <w:rPr>
                      <w:rFonts w:hint="default"/>
                      <w:color w:val="auto"/>
                      <w:lang w:val="en-US" w:eastAsia="zh-CN"/>
                    </w:rPr>
                    <w:t>19.在自然保护区的外围保护地带建设的项目，不得损害自然保护区内的环境质量。</w:t>
                  </w:r>
                </w:p>
                <w:p>
                  <w:pPr>
                    <w:pStyle w:val="17"/>
                    <w:bidi w:val="0"/>
                    <w:jc w:val="left"/>
                    <w:rPr>
                      <w:rFonts w:hint="default"/>
                      <w:color w:val="auto"/>
                      <w:lang w:val="en-US" w:eastAsia="zh-CN"/>
                    </w:rPr>
                  </w:pPr>
                  <w:r>
                    <w:rPr>
                      <w:rFonts w:hint="default"/>
                      <w:color w:val="auto"/>
                      <w:lang w:val="en-US" w:eastAsia="zh-CN"/>
                    </w:rPr>
                    <w:t>20.其他要求具体参照《中华人民共和国自然保护区条例（2017年修订）》。</w:t>
                  </w:r>
                </w:p>
                <w:p>
                  <w:pPr>
                    <w:pStyle w:val="17"/>
                    <w:bidi w:val="0"/>
                    <w:jc w:val="left"/>
                    <w:rPr>
                      <w:rFonts w:hint="default"/>
                      <w:color w:val="auto"/>
                      <w:lang w:val="en-US" w:eastAsia="zh-CN"/>
                    </w:rPr>
                  </w:pPr>
                  <w:r>
                    <w:rPr>
                      <w:rFonts w:hint="default"/>
                      <w:color w:val="auto"/>
                      <w:lang w:val="en-US" w:eastAsia="zh-CN"/>
                    </w:rPr>
                    <w:t>21.禁止在国家级自然保护区修筑以下设施：(一)光伏发电、风力发电、火力发电等项目的设施。(二)高尔夫球场开发、房地产开发、会所建设等项目的设施。(三)社会资金进行商业性探矿勘查，以及不属于国家紧缺矿种资源的基础地质调查和矿产公益性远景调查的设施。(四)污染环境、破坏自然资源或者自然景观的设施。(五)国家禁止修筑的其他设施。</w:t>
                  </w:r>
                </w:p>
                <w:p>
                  <w:pPr>
                    <w:pStyle w:val="17"/>
                    <w:bidi w:val="0"/>
                    <w:jc w:val="left"/>
                    <w:rPr>
                      <w:rFonts w:hint="default"/>
                      <w:color w:val="auto"/>
                      <w:lang w:val="en-US" w:eastAsia="zh-CN"/>
                    </w:rPr>
                  </w:pPr>
                  <w:r>
                    <w:rPr>
                      <w:rFonts w:hint="default"/>
                      <w:color w:val="auto"/>
                      <w:lang w:val="en-US" w:eastAsia="zh-CN"/>
                    </w:rPr>
                    <w:t>22.严格限制在国家级自然保护区修筑设施。必须修筑设施的，应当严格控制建设区域、面积和方式，并采取有效措施保护生态环境，确保不对主要保护对象产生重大影响，确保不改变自然生态系统基本特征和结构完整性，最大限度减少对国家级自然保护区的不利影响。</w:t>
                  </w:r>
                </w:p>
                <w:p>
                  <w:pPr>
                    <w:pStyle w:val="17"/>
                    <w:bidi w:val="0"/>
                    <w:jc w:val="left"/>
                    <w:rPr>
                      <w:rFonts w:hint="default"/>
                      <w:color w:val="auto"/>
                      <w:lang w:val="en-US" w:eastAsia="zh-CN"/>
                    </w:rPr>
                  </w:pPr>
                  <w:r>
                    <w:rPr>
                      <w:rFonts w:hint="default"/>
                      <w:color w:val="auto"/>
                      <w:lang w:val="en-US" w:eastAsia="zh-CN"/>
                    </w:rPr>
                    <w:t>对边界涉及到的赛里木湖国家湿地自然公园执行以下管控要求：</w:t>
                  </w:r>
                </w:p>
                <w:p>
                  <w:pPr>
                    <w:pStyle w:val="17"/>
                    <w:bidi w:val="0"/>
                    <w:jc w:val="left"/>
                    <w:rPr>
                      <w:rFonts w:hint="default"/>
                      <w:color w:val="auto"/>
                      <w:lang w:val="en-US" w:eastAsia="zh-CN"/>
                    </w:rPr>
                  </w:pPr>
                  <w:r>
                    <w:rPr>
                      <w:rFonts w:hint="default"/>
                      <w:color w:val="auto"/>
                      <w:lang w:val="en-US" w:eastAsia="zh-CN"/>
                    </w:rPr>
                    <w:t>23.除法律法规有特别规定的以外，在湿地内禁止从事下列活动：（一）开（围）垦、填埋或者排干湿地；（二）永久性截断湿地水源；（三）挖沙、采矿；（四）倾倒有毒有害物质、废弃物、垃圾；禁止（五）破坏野生动物栖息地和迁徙通道、鱼类洄游通道，滥采滥捕野生动植物；（六）引进外来物种；（七）擅自放牧、捕捞、取土、取水、排污、放生；（八）其他破坏湿地及其生态功能的活动。</w:t>
                  </w:r>
                </w:p>
                <w:p>
                  <w:pPr>
                    <w:pStyle w:val="17"/>
                    <w:bidi w:val="0"/>
                    <w:jc w:val="left"/>
                    <w:rPr>
                      <w:rFonts w:hint="default"/>
                      <w:color w:val="auto"/>
                      <w:lang w:val="en-US" w:eastAsia="zh-CN"/>
                    </w:rPr>
                  </w:pPr>
                  <w:r>
                    <w:rPr>
                      <w:rFonts w:hint="default"/>
                      <w:color w:val="auto"/>
                      <w:lang w:val="en-US" w:eastAsia="zh-CN"/>
                    </w:rPr>
                    <w:t>24.国家湿地公园实行分区管理。保育区除开展保护、监测、科学研究等必须的保护管理活动外，不得进行任何与湿地生态系统保护和管理无关的其他活动。恢复重建区应当开展培育和恢复湿地的相关活动。合理利用区应当开展以生态展示、科普教育为主的宣教活动，可开展不损害湿地生态系统功能的生态体验及管理服务等活动。</w:t>
                  </w:r>
                </w:p>
                <w:p>
                  <w:pPr>
                    <w:pStyle w:val="17"/>
                    <w:bidi w:val="0"/>
                    <w:jc w:val="left"/>
                    <w:rPr>
                      <w:rFonts w:hint="default"/>
                      <w:color w:val="auto"/>
                      <w:lang w:val="en-US" w:eastAsia="zh-CN"/>
                    </w:rPr>
                  </w:pPr>
                  <w:r>
                    <w:rPr>
                      <w:rFonts w:hint="default"/>
                      <w:color w:val="auto"/>
                      <w:lang w:val="en-US" w:eastAsia="zh-CN"/>
                    </w:rPr>
                    <w:t>25.除国家另有规定外，国家湿地公园内禁止从事房地产、度假村、髙尔夫球场等任何不符合主体功能定位的项目建设和开发活动。</w:t>
                  </w:r>
                </w:p>
                <w:p>
                  <w:pPr>
                    <w:pStyle w:val="17"/>
                    <w:bidi w:val="0"/>
                    <w:jc w:val="left"/>
                    <w:rPr>
                      <w:rFonts w:hint="default"/>
                      <w:color w:val="auto"/>
                      <w:lang w:val="en-US" w:eastAsia="zh-CN"/>
                    </w:rPr>
                  </w:pPr>
                  <w:r>
                    <w:rPr>
                      <w:rFonts w:hint="default"/>
                      <w:color w:val="auto"/>
                      <w:lang w:val="en-US" w:eastAsia="zh-CN"/>
                    </w:rPr>
                    <w:t>26.禁止擅自征收、占用国家湿地公园的土地。确需征收、占用的，用地单位应当征求省级林业主管部门的意见后，方可依法办理相关手续。由省级林业主管部门报国家林业局备案。</w:t>
                  </w:r>
                </w:p>
                <w:p>
                  <w:pPr>
                    <w:pStyle w:val="17"/>
                    <w:bidi w:val="0"/>
                    <w:jc w:val="left"/>
                    <w:rPr>
                      <w:rFonts w:hint="default"/>
                      <w:color w:val="auto"/>
                      <w:lang w:val="en-US" w:eastAsia="zh-CN"/>
                    </w:rPr>
                  </w:pPr>
                  <w:r>
                    <w:rPr>
                      <w:rFonts w:hint="default"/>
                      <w:color w:val="auto"/>
                      <w:lang w:val="en-US" w:eastAsia="zh-CN"/>
                    </w:rPr>
                    <w:t>饮用水水源地执行以下管控要求：</w:t>
                  </w:r>
                </w:p>
                <w:p>
                  <w:pPr>
                    <w:pStyle w:val="17"/>
                    <w:bidi w:val="0"/>
                    <w:jc w:val="left"/>
                    <w:rPr>
                      <w:rFonts w:hint="default"/>
                      <w:color w:val="auto"/>
                      <w:lang w:val="en-US" w:eastAsia="zh-CN"/>
                    </w:rPr>
                  </w:pPr>
                  <w:r>
                    <w:rPr>
                      <w:rFonts w:hint="default"/>
                      <w:color w:val="auto"/>
                      <w:lang w:val="en-US" w:eastAsia="zh-CN"/>
                    </w:rPr>
                    <w:t>27.一级保护区内，禁止以下活动：（一）与供水设施和保护水源无关的建设项目；保护区划定前已有的建设项目拆除或关闭，并视情进行生态修复。（二）建设工业、生活排污口。保护区划定前已有的工业排污口拆除或关闭，生活排污口关闭或迁出。（三）畜禽养殖、网箱养殖、旅游、游泳、垂钓或者其他可能污染水源的活动；保护区划定前已有的畜禽养殖、网箱养殖和旅游设施拆除或关闭。（四）新增农业种植和经济林。保护区划定前已有的农业种植和经济林，严格控制化肥、农药等非点源污染，并逐步退出。</w:t>
                  </w:r>
                </w:p>
                <w:p>
                  <w:pPr>
                    <w:pStyle w:val="17"/>
                    <w:bidi w:val="0"/>
                    <w:jc w:val="left"/>
                    <w:rPr>
                      <w:rFonts w:hint="default"/>
                      <w:color w:val="auto"/>
                      <w:lang w:val="en-US" w:eastAsia="zh-CN"/>
                    </w:rPr>
                  </w:pPr>
                  <w:r>
                    <w:rPr>
                      <w:rFonts w:hint="default"/>
                      <w:color w:val="auto"/>
                      <w:lang w:val="en-US" w:eastAsia="zh-CN"/>
                    </w:rPr>
                    <w:t>28.二级保护区内，禁止以下活动：（一）新建、改建、扩建排放污染物的建设项目。保护区划定前已建成排放污染物的建设项目拆除或关闭，并视情进行生态修复。（二）建设工业和生活排污口。（三）建设易溶性、有毒有害废弃物暂存或转运站；建设化工原料、危险化学品、矿物油类及有毒有害矿产品的堆放场所。（四）建设规模化畜禽养殖场（小区），保护区划定前已有的规模化畜禽养殖场（小区）全部关闭。</w:t>
                  </w:r>
                </w:p>
                <w:p>
                  <w:pPr>
                    <w:pStyle w:val="17"/>
                    <w:bidi w:val="0"/>
                    <w:jc w:val="left"/>
                    <w:rPr>
                      <w:rFonts w:hint="default"/>
                      <w:color w:val="auto"/>
                      <w:lang w:val="en-US" w:eastAsia="zh-CN"/>
                    </w:rPr>
                  </w:pPr>
                  <w:r>
                    <w:rPr>
                      <w:rFonts w:hint="default"/>
                      <w:color w:val="auto"/>
                      <w:lang w:val="en-US" w:eastAsia="zh-CN"/>
                    </w:rPr>
                    <w:t>29.准保护区内，禁止以下活动：（一）新建、扩建制药、化工、造纸、制革、印染、染料、炼焦、炼硫、炼砷、炼油、电镀、农药等对水体污染严重的建设项目；保护区划定前已有的上述建设项目不得增加排污量并逐步搬出。（二）建设易溶性、有毒有害废弃物暂存和转运站，并严格控制采矿、采砂等活动。（三）毁林开荒行为，水源涵养林建设满足GB/T26903要求。湖泊水面等绿色生态空间面积不减少。</w:t>
                  </w:r>
                </w:p>
              </w:tc>
              <w:tc>
                <w:tcPr>
                  <w:tcW w:w="1230"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1.本</w:t>
                  </w:r>
                  <w:r>
                    <w:rPr>
                      <w:rFonts w:hint="eastAsia"/>
                      <w:color w:val="auto"/>
                      <w:highlight w:val="none"/>
                      <w:lang w:val="en-US" w:eastAsia="zh-CN"/>
                    </w:rPr>
                    <w:t>项目占地范围临近生态保护红线</w:t>
                  </w:r>
                  <w:r>
                    <w:rPr>
                      <w:rFonts w:hint="eastAsia"/>
                      <w:color w:val="auto"/>
                      <w:lang w:val="en-US" w:eastAsia="zh-CN"/>
                    </w:rPr>
                    <w:t>（天山水源涵养与生物多样性维护生态保护红线区），不占用。项目属于</w:t>
                  </w:r>
                  <w:r>
                    <w:rPr>
                      <w:rFonts w:hint="default"/>
                      <w:color w:val="auto"/>
                      <w:lang w:val="en-US" w:eastAsia="zh-CN"/>
                    </w:rPr>
                    <w:t>不破坏生态功能的适度参观旅游和相关必要</w:t>
                  </w:r>
                  <w:r>
                    <w:rPr>
                      <w:rFonts w:hint="default" w:ascii="Times New Roman" w:hAnsi="Times New Roman" w:eastAsia="宋体" w:cs="Times New Roman"/>
                      <w:color w:val="auto"/>
                      <w:lang w:val="en-US" w:eastAsia="zh-CN"/>
                    </w:rPr>
                    <w:t>的公共设施建设</w:t>
                  </w:r>
                  <w:r>
                    <w:rPr>
                      <w:rFonts w:hint="eastAsia" w:ascii="Times New Roman" w:hAnsi="Times New Roman" w:eastAsia="宋体" w:cs="Times New Roman"/>
                      <w:color w:val="auto"/>
                      <w:lang w:val="en-US" w:eastAsia="zh-CN"/>
                    </w:rPr>
                    <w:t>。</w:t>
                  </w:r>
                </w:p>
                <w:p>
                  <w:pPr>
                    <w:pStyle w:val="17"/>
                    <w:bidi w:val="0"/>
                    <w:rPr>
                      <w:rFonts w:hint="eastAsia"/>
                      <w:color w:val="auto"/>
                      <w:lang w:val="en-US" w:eastAsia="zh-CN"/>
                    </w:rPr>
                  </w:pPr>
                </w:p>
                <w:p>
                  <w:pPr>
                    <w:pStyle w:val="17"/>
                    <w:bidi w:val="0"/>
                    <w:rPr>
                      <w:rFonts w:hint="eastAsia" w:ascii="Times New Roman" w:hAnsi="Times New Roman" w:eastAsia="宋体" w:cs="Times New Roman"/>
                      <w:lang w:val="en-US" w:eastAsia="zh-CN" w:bidi="en-US"/>
                    </w:rPr>
                  </w:pPr>
                  <w:r>
                    <w:rPr>
                      <w:rFonts w:hint="eastAsia" w:cs="Times New Roman"/>
                      <w:highlight w:val="none"/>
                      <w:lang w:val="en-US" w:eastAsia="zh-CN" w:bidi="en-US"/>
                    </w:rPr>
                    <w:t>2.</w:t>
                  </w:r>
                  <w:r>
                    <w:rPr>
                      <w:rFonts w:hint="eastAsia" w:cs="Times New Roman"/>
                      <w:highlight w:val="none"/>
                      <w:lang w:bidi="en-US"/>
                    </w:rPr>
                    <w:t>根据2018年5月8日新疆生态保护红线领导小组编制的《新疆生态保护红线方案说明》，霍城县果子沟属国家级森林公园，划定范围约107.7km</w:t>
                  </w:r>
                  <w:r>
                    <w:rPr>
                      <w:rFonts w:hint="eastAsia" w:cs="Times New Roman"/>
                      <w:highlight w:val="none"/>
                      <w:vertAlign w:val="superscript"/>
                      <w:lang w:bidi="en-US"/>
                    </w:rPr>
                    <w:t>2</w:t>
                  </w:r>
                  <w:r>
                    <w:rPr>
                      <w:rFonts w:hint="eastAsia" w:cs="Times New Roman"/>
                      <w:highlight w:val="none"/>
                      <w:lang w:bidi="en-US"/>
                    </w:rPr>
                    <w:t>，但未划定边界范围，无相关规划资料</w:t>
                  </w:r>
                  <w:r>
                    <w:rPr>
                      <w:rFonts w:hint="eastAsia" w:cs="Times New Roman"/>
                      <w:highlight w:val="none"/>
                      <w:lang w:eastAsia="zh-CN" w:bidi="en-US"/>
                    </w:rPr>
                    <w:t>，</w:t>
                  </w:r>
                  <w:r>
                    <w:rPr>
                      <w:rFonts w:hint="eastAsia" w:cs="Times New Roman"/>
                      <w:lang w:bidi="en-US"/>
                    </w:rPr>
                    <w:t>无法确定本</w:t>
                  </w:r>
                  <w:r>
                    <w:rPr>
                      <w:rFonts w:hint="eastAsia" w:cs="Times New Roman"/>
                      <w:lang w:val="en-US" w:eastAsia="zh-CN" w:bidi="en-US"/>
                    </w:rPr>
                    <w:t>项目建设</w:t>
                  </w:r>
                  <w:r>
                    <w:rPr>
                      <w:rFonts w:hint="eastAsia" w:cs="Times New Roman"/>
                      <w:lang w:bidi="en-US"/>
                    </w:rPr>
                    <w:t>范围是否与森林公园划定范围重合，</w:t>
                  </w:r>
                  <w:r>
                    <w:rPr>
                      <w:rFonts w:hint="eastAsia" w:cs="Times New Roman"/>
                      <w:lang w:val="en-US" w:eastAsia="zh-CN" w:bidi="en-US"/>
                    </w:rPr>
                    <w:t>因此本</w:t>
                  </w:r>
                  <w:r>
                    <w:rPr>
                      <w:rFonts w:hint="eastAsia" w:cs="Times New Roman"/>
                      <w:lang w:bidi="en-US"/>
                    </w:rPr>
                    <w:t>项目应严格执行《国家级森林公园管理办法》的相关规定。占用林地部分必须经省林业主管部门审核同意方可使用，项目建设时不得采伐林木，涉及森林公园核心</w:t>
                  </w:r>
                  <w:r>
                    <w:rPr>
                      <w:rFonts w:hint="eastAsia" w:ascii="Times New Roman" w:hAnsi="Times New Roman" w:eastAsia="宋体" w:cs="Times New Roman"/>
                      <w:lang w:bidi="en-US"/>
                    </w:rPr>
                    <w:t>区的不得建设与保护森林无关的设施</w:t>
                  </w:r>
                  <w:r>
                    <w:rPr>
                      <w:rFonts w:hint="eastAsia" w:ascii="Times New Roman" w:hAnsi="Times New Roman" w:eastAsia="宋体" w:cs="Times New Roman"/>
                      <w:lang w:eastAsia="zh-CN" w:bidi="en-US"/>
                    </w:rPr>
                    <w:t>，</w:t>
                  </w:r>
                  <w:r>
                    <w:rPr>
                      <w:rFonts w:hint="eastAsia" w:ascii="Times New Roman" w:hAnsi="Times New Roman" w:eastAsia="宋体" w:cs="Times New Roman"/>
                      <w:lang w:val="en-US" w:eastAsia="zh-CN" w:bidi="en-US"/>
                    </w:rPr>
                    <w:t>本项目</w:t>
                  </w:r>
                  <w:r>
                    <w:rPr>
                      <w:rFonts w:hint="default" w:ascii="Times New Roman" w:hAnsi="Times New Roman" w:eastAsia="宋体" w:cs="Times New Roman"/>
                      <w:lang w:val="en-US" w:eastAsia="zh-CN" w:bidi="en-US"/>
                    </w:rPr>
                    <w:t>符合</w:t>
                  </w:r>
                  <w:r>
                    <w:rPr>
                      <w:rFonts w:hint="eastAsia" w:ascii="Times New Roman" w:hAnsi="Times New Roman" w:eastAsia="宋体" w:cs="Times New Roman"/>
                      <w:lang w:val="en-US" w:eastAsia="zh-CN" w:bidi="en-US"/>
                    </w:rPr>
                    <w:t>果赛景区</w:t>
                  </w:r>
                  <w:r>
                    <w:rPr>
                      <w:rFonts w:hint="default" w:ascii="Times New Roman" w:hAnsi="Times New Roman" w:eastAsia="宋体" w:cs="Times New Roman"/>
                      <w:lang w:val="en-US" w:eastAsia="zh-CN" w:bidi="en-US"/>
                    </w:rPr>
                    <w:t>总体规划的要求，其选址、规模、风格和色彩等应当与周边景观与环境相协调</w:t>
                  </w:r>
                  <w:r>
                    <w:rPr>
                      <w:rFonts w:hint="eastAsia" w:ascii="Times New Roman" w:hAnsi="Times New Roman" w:eastAsia="宋体" w:cs="Times New Roman"/>
                      <w:lang w:bidi="en-US"/>
                    </w:rPr>
                    <w:t>。</w:t>
                  </w:r>
                </w:p>
                <w:p>
                  <w:pPr>
                    <w:pStyle w:val="17"/>
                    <w:bidi w:val="0"/>
                    <w:rPr>
                      <w:rFonts w:hint="eastAsia" w:ascii="Times New Roman" w:hAnsi="Times New Roman" w:eastAsia="宋体" w:cs="Times New Roman"/>
                      <w:lang w:val="en-US" w:eastAsia="zh-CN" w:bidi="en-US"/>
                    </w:rPr>
                  </w:pPr>
                </w:p>
                <w:p>
                  <w:pPr>
                    <w:pStyle w:val="17"/>
                    <w:bidi w:val="0"/>
                    <w:rPr>
                      <w:rFonts w:hint="default" w:ascii="Times New Roman" w:hAnsi="Times New Roman" w:eastAsia="宋体" w:cs="Times New Roman"/>
                      <w:lang w:val="en-US" w:eastAsia="zh-CN" w:bidi="en-US"/>
                    </w:rPr>
                  </w:pPr>
                  <w:r>
                    <w:rPr>
                      <w:rFonts w:hint="eastAsia" w:ascii="Times New Roman" w:hAnsi="Times New Roman" w:eastAsia="宋体" w:cs="Times New Roman"/>
                      <w:lang w:val="en-US" w:eastAsia="zh-CN" w:bidi="en-US"/>
                    </w:rPr>
                    <w:t>3.不涉及自然保护区、饮用水源地、湿地公园、风景名胜区。</w:t>
                  </w:r>
                </w:p>
                <w:p>
                  <w:pPr>
                    <w:pStyle w:val="17"/>
                    <w:bidi w:val="0"/>
                    <w:rPr>
                      <w:rFonts w:hint="default"/>
                      <w:color w:val="auto"/>
                      <w:lang w:val="en-US" w:eastAsia="zh-CN"/>
                    </w:rPr>
                  </w:pPr>
                  <w:r>
                    <w:rPr>
                      <w:rFonts w:hint="eastAsia"/>
                      <w:color w:val="auto"/>
                      <w:lang w:val="en-US" w:eastAsia="zh-CN"/>
                    </w:rPr>
                    <w:t>本项目符合相关约束要求</w:t>
                  </w:r>
                  <w:r>
                    <w:rPr>
                      <w:rFonts w:hint="eastAsia"/>
                      <w:color w:val="auto"/>
                    </w:rPr>
                    <w:t>。</w:t>
                  </w:r>
                </w:p>
              </w:tc>
              <w:tc>
                <w:tcPr>
                  <w:tcW w:w="508"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3" w:type="pct"/>
                  <w:tcBorders>
                    <w:tl2br w:val="nil"/>
                    <w:tr2bl w:val="nil"/>
                  </w:tcBorders>
                  <w:noWrap w:val="0"/>
                  <w:vAlign w:val="center"/>
                </w:tcPr>
                <w:p>
                  <w:pPr>
                    <w:pStyle w:val="17"/>
                    <w:bidi w:val="0"/>
                    <w:rPr>
                      <w:rFonts w:hint="default"/>
                      <w:color w:val="auto"/>
                      <w:lang w:val="en-US" w:eastAsia="zh-CN"/>
                    </w:rPr>
                  </w:pPr>
                  <w:r>
                    <w:rPr>
                      <w:rFonts w:hint="default"/>
                      <w:color w:val="auto"/>
                      <w:lang w:val="en-US" w:eastAsia="zh-CN"/>
                    </w:rPr>
                    <w:t>污染物排放管控</w:t>
                  </w:r>
                </w:p>
              </w:tc>
              <w:tc>
                <w:tcPr>
                  <w:tcW w:w="2557" w:type="pct"/>
                  <w:tcBorders>
                    <w:tl2br w:val="nil"/>
                    <w:tr2bl w:val="nil"/>
                  </w:tcBorders>
                  <w:noWrap w:val="0"/>
                  <w:vAlign w:val="center"/>
                </w:tcPr>
                <w:p>
                  <w:pPr>
                    <w:pStyle w:val="17"/>
                    <w:bidi w:val="0"/>
                    <w:jc w:val="left"/>
                    <w:rPr>
                      <w:rFonts w:hint="default"/>
                      <w:color w:val="auto"/>
                      <w:lang w:val="en-US" w:eastAsia="zh-CN"/>
                    </w:rPr>
                  </w:pPr>
                  <w:r>
                    <w:rPr>
                      <w:rFonts w:hint="default"/>
                      <w:color w:val="auto"/>
                      <w:lang w:val="en-US" w:eastAsia="zh-CN"/>
                    </w:rPr>
                    <w:t>饮用水水源地执行以下管控要求：</w:t>
                  </w:r>
                </w:p>
                <w:p>
                  <w:pPr>
                    <w:pStyle w:val="17"/>
                    <w:bidi w:val="0"/>
                    <w:jc w:val="left"/>
                    <w:rPr>
                      <w:rFonts w:hint="default"/>
                      <w:color w:val="auto"/>
                      <w:lang w:val="en-US" w:eastAsia="zh-CN"/>
                    </w:rPr>
                  </w:pPr>
                  <w:r>
                    <w:rPr>
                      <w:rFonts w:hint="default"/>
                      <w:color w:val="auto"/>
                      <w:lang w:val="en-US" w:eastAsia="zh-CN"/>
                    </w:rPr>
                    <w:t>1.二级保护区内，实行科学种植和非点源污染防治。分散式畜禽养殖废物全部资源化利用。水域实施生态养殖，逐步减少网箱养殖总量。农村生活垃圾全部集中收集并进行无害化处置。居住人口大于或等于1000人的区域，农村生活污水实行管网统一收集、集中处理；不足1000人的，采用因地制宜的技术和工艺处理处置。</w:t>
                  </w:r>
                </w:p>
                <w:p>
                  <w:pPr>
                    <w:pStyle w:val="17"/>
                    <w:bidi w:val="0"/>
                    <w:jc w:val="left"/>
                    <w:rPr>
                      <w:rFonts w:hint="default"/>
                      <w:color w:val="auto"/>
                      <w:lang w:val="en-US" w:eastAsia="zh-CN"/>
                    </w:rPr>
                  </w:pPr>
                  <w:r>
                    <w:rPr>
                      <w:rFonts w:hint="default"/>
                      <w:color w:val="auto"/>
                      <w:lang w:val="en-US" w:eastAsia="zh-CN"/>
                    </w:rPr>
                    <w:t>2.不能满足水质要求的地表水饮用水水源，准保护区或汇水区域采取水污染物容量总量控制措施，限期达标。</w:t>
                  </w:r>
                </w:p>
              </w:tc>
              <w:tc>
                <w:tcPr>
                  <w:tcW w:w="1230"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无与本项目相关的要求。</w:t>
                  </w:r>
                </w:p>
              </w:tc>
              <w:tc>
                <w:tcPr>
                  <w:tcW w:w="508" w:type="pct"/>
                  <w:tcBorders>
                    <w:tl2br w:val="nil"/>
                    <w:tr2bl w:val="nil"/>
                  </w:tcBorders>
                  <w:noWrap w:val="0"/>
                  <w:vAlign w:val="center"/>
                </w:tcPr>
                <w:p>
                  <w:pPr>
                    <w:pStyle w:val="17"/>
                    <w:bidi w:val="0"/>
                    <w:rPr>
                      <w:rFonts w:hint="eastAsia"/>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703" w:type="pct"/>
                  <w:tcBorders>
                    <w:tl2br w:val="nil"/>
                    <w:tr2bl w:val="nil"/>
                  </w:tcBorders>
                  <w:noWrap w:val="0"/>
                  <w:vAlign w:val="center"/>
                </w:tcPr>
                <w:p>
                  <w:pPr>
                    <w:pStyle w:val="17"/>
                    <w:bidi w:val="0"/>
                    <w:rPr>
                      <w:rFonts w:hint="default"/>
                      <w:color w:val="auto"/>
                      <w:lang w:val="en-US" w:eastAsia="zh-CN"/>
                    </w:rPr>
                  </w:pPr>
                  <w:r>
                    <w:rPr>
                      <w:rFonts w:hint="default"/>
                      <w:color w:val="auto"/>
                      <w:lang w:val="en-US" w:eastAsia="zh-CN"/>
                    </w:rPr>
                    <w:t>环境风险防控</w:t>
                  </w:r>
                </w:p>
              </w:tc>
              <w:tc>
                <w:tcPr>
                  <w:tcW w:w="2557" w:type="pct"/>
                  <w:tcBorders>
                    <w:tl2br w:val="nil"/>
                    <w:tr2bl w:val="nil"/>
                  </w:tcBorders>
                  <w:noWrap w:val="0"/>
                  <w:vAlign w:val="center"/>
                </w:tcPr>
                <w:p>
                  <w:pPr>
                    <w:pStyle w:val="17"/>
                    <w:bidi w:val="0"/>
                    <w:jc w:val="left"/>
                    <w:rPr>
                      <w:rFonts w:hint="default"/>
                      <w:color w:val="auto"/>
                      <w:lang w:val="en-US" w:eastAsia="zh-CN"/>
                    </w:rPr>
                  </w:pPr>
                  <w:r>
                    <w:rPr>
                      <w:rFonts w:hint="default"/>
                      <w:color w:val="auto"/>
                      <w:lang w:val="en-US" w:eastAsia="zh-CN"/>
                    </w:rPr>
                    <w:t>饮用水水源地执行以下管控要求：</w:t>
                  </w:r>
                </w:p>
                <w:p>
                  <w:pPr>
                    <w:pStyle w:val="17"/>
                    <w:bidi w:val="0"/>
                    <w:jc w:val="left"/>
                    <w:rPr>
                      <w:rFonts w:hint="default"/>
                      <w:color w:val="auto"/>
                      <w:lang w:val="en-US" w:eastAsia="zh-CN"/>
                    </w:rPr>
                  </w:pPr>
                  <w:r>
                    <w:rPr>
                      <w:rFonts w:hint="default"/>
                      <w:color w:val="auto"/>
                      <w:lang w:val="en-US" w:eastAsia="zh-CN"/>
                    </w:rPr>
                    <w:t>1.（健全保护区内危险化学品运输管理制度）二级保护区内有道路、桥梁穿越的，危险化学品运输采取限制运载重量和物资种类、限定行驶线路等管理措施，并完善应急处置设施。（二级）保护区内运输危险化学品车辆及其他穿越保护区的流动源，利用全球定位系统等设备实时监控。</w:t>
                  </w:r>
                </w:p>
                <w:p>
                  <w:pPr>
                    <w:pStyle w:val="17"/>
                    <w:bidi w:val="0"/>
                    <w:jc w:val="left"/>
                    <w:rPr>
                      <w:rFonts w:hint="default"/>
                      <w:color w:val="auto"/>
                      <w:lang w:val="en-US" w:eastAsia="zh-CN"/>
                    </w:rPr>
                  </w:pPr>
                  <w:r>
                    <w:rPr>
                      <w:rFonts w:hint="default"/>
                      <w:color w:val="auto"/>
                      <w:lang w:val="en-US" w:eastAsia="zh-CN"/>
                    </w:rPr>
                    <w:t>2.（推进风险防控体系建设，落实环境风险防控措施）配备拦截、吸附等基本应急处置物资。落实饮用水源一级保护区周边人类活动频繁区域隔离墙、隔离网、视频监控等防范设施建设；二级保护区内乡级及以下道路和景观步行道应做好与饮用水水体的隔离防护，避免人类活动对水质的影响。</w:t>
                  </w:r>
                </w:p>
                <w:p>
                  <w:pPr>
                    <w:pStyle w:val="17"/>
                    <w:bidi w:val="0"/>
                    <w:jc w:val="left"/>
                    <w:rPr>
                      <w:rFonts w:hint="default"/>
                      <w:color w:val="auto"/>
                      <w:lang w:val="en-US" w:eastAsia="zh-CN"/>
                    </w:rPr>
                  </w:pPr>
                  <w:r>
                    <w:rPr>
                      <w:rFonts w:hint="default"/>
                      <w:color w:val="auto"/>
                      <w:lang w:val="en-US" w:eastAsia="zh-CN"/>
                    </w:rPr>
                    <w:t>3.定期调查评估集中式地下水型饮用水水源补给区等区域环境状况，严格控制地下水富集区污染物排放。</w:t>
                  </w:r>
                </w:p>
              </w:tc>
              <w:tc>
                <w:tcPr>
                  <w:tcW w:w="1230"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本项目设备检修产生的废机油在危废暂存间暂存，并定期委托有资质的单位处置，</w:t>
                  </w:r>
                  <w:r>
                    <w:rPr>
                      <w:rFonts w:hint="eastAsia"/>
                      <w:color w:val="auto"/>
                    </w:rPr>
                    <w:t>符合环境风险防控要求。</w:t>
                  </w:r>
                </w:p>
              </w:tc>
              <w:tc>
                <w:tcPr>
                  <w:tcW w:w="508"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25" w:hRule="atLeast"/>
              </w:trPr>
              <w:tc>
                <w:tcPr>
                  <w:tcW w:w="703" w:type="pct"/>
                  <w:tcBorders>
                    <w:tl2br w:val="nil"/>
                    <w:tr2bl w:val="nil"/>
                  </w:tcBorders>
                  <w:noWrap w:val="0"/>
                  <w:vAlign w:val="center"/>
                </w:tcPr>
                <w:p>
                  <w:pPr>
                    <w:pStyle w:val="17"/>
                    <w:bidi w:val="0"/>
                    <w:rPr>
                      <w:rFonts w:hint="default"/>
                      <w:color w:val="auto"/>
                      <w:lang w:val="en-US" w:eastAsia="zh-CN"/>
                    </w:rPr>
                  </w:pPr>
                  <w:r>
                    <w:rPr>
                      <w:rFonts w:hint="default"/>
                      <w:color w:val="auto"/>
                      <w:lang w:val="en-US" w:eastAsia="zh-CN"/>
                    </w:rPr>
                    <w:t>资源利用效率</w:t>
                  </w:r>
                </w:p>
              </w:tc>
              <w:tc>
                <w:tcPr>
                  <w:tcW w:w="2557" w:type="pct"/>
                  <w:tcBorders>
                    <w:tl2br w:val="nil"/>
                    <w:tr2bl w:val="nil"/>
                  </w:tcBorders>
                  <w:noWrap w:val="0"/>
                  <w:vAlign w:val="center"/>
                </w:tcPr>
                <w:p>
                  <w:pPr>
                    <w:pStyle w:val="17"/>
                    <w:bidi w:val="0"/>
                    <w:jc w:val="center"/>
                    <w:rPr>
                      <w:rFonts w:hint="default"/>
                      <w:color w:val="auto"/>
                      <w:lang w:val="en-US" w:eastAsia="zh-CN"/>
                    </w:rPr>
                  </w:pPr>
                  <w:r>
                    <w:rPr>
                      <w:rFonts w:hint="eastAsia"/>
                      <w:color w:val="auto"/>
                      <w:lang w:val="en-US" w:eastAsia="zh-CN"/>
                    </w:rPr>
                    <w:t>/</w:t>
                  </w:r>
                </w:p>
              </w:tc>
              <w:tc>
                <w:tcPr>
                  <w:tcW w:w="1230"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w:t>
                  </w:r>
                </w:p>
              </w:tc>
              <w:tc>
                <w:tcPr>
                  <w:tcW w:w="508" w:type="pct"/>
                  <w:tcBorders>
                    <w:tl2br w:val="nil"/>
                    <w:tr2bl w:val="nil"/>
                  </w:tcBorders>
                  <w:noWrap w:val="0"/>
                  <w:vAlign w:val="center"/>
                </w:tcPr>
                <w:p>
                  <w:pPr>
                    <w:pStyle w:val="17"/>
                    <w:bidi w:val="0"/>
                    <w:rPr>
                      <w:rFonts w:hint="default"/>
                      <w:color w:val="auto"/>
                      <w:lang w:val="en-US" w:eastAsia="zh-CN"/>
                    </w:rPr>
                  </w:pPr>
                  <w:r>
                    <w:rPr>
                      <w:rFonts w:hint="eastAsia"/>
                      <w:color w:val="auto"/>
                      <w:lang w:val="en-US" w:eastAsia="zh-CN"/>
                    </w:rPr>
                    <w:t>符合</w:t>
                  </w:r>
                </w:p>
              </w:tc>
            </w:tr>
          </w:tbl>
          <w:p>
            <w:pPr>
              <w:spacing w:line="520" w:lineRule="exact"/>
              <w:ind w:firstLine="480" w:firstLineChars="200"/>
              <w:rPr>
                <w:rFonts w:hint="default" w:ascii="Times New Roman" w:hAnsi="Times New Roman" w:eastAsia="宋体" w:cs="Times New Roman"/>
                <w:color w:val="auto"/>
                <w:kern w:val="24"/>
                <w:sz w:val="24"/>
                <w:szCs w:val="24"/>
                <w:highlight w:val="none"/>
                <w:lang w:val="en-US" w:eastAsia="zh-CN"/>
              </w:rPr>
            </w:pPr>
            <w:r>
              <w:rPr>
                <w:rFonts w:hint="default" w:ascii="Times New Roman" w:hAnsi="Times New Roman" w:eastAsia="宋体" w:cs="Times New Roman"/>
                <w:color w:val="auto"/>
                <w:kern w:val="24"/>
                <w:sz w:val="24"/>
                <w:szCs w:val="24"/>
                <w:highlight w:val="none"/>
                <w:lang w:val="en-US" w:eastAsia="zh-CN"/>
              </w:rPr>
              <w:t>综上所述，本项目建设符合《伊犁州直区域空间生态评价暨</w:t>
            </w:r>
            <w:r>
              <w:rPr>
                <w:rFonts w:hint="eastAsia" w:cs="Times New Roman"/>
                <w:color w:val="auto"/>
                <w:kern w:val="24"/>
                <w:sz w:val="24"/>
                <w:szCs w:val="24"/>
                <w:highlight w:val="none"/>
                <w:lang w:val="en-US" w:eastAsia="zh-CN"/>
              </w:rPr>
              <w:t>“</w:t>
            </w:r>
            <w:r>
              <w:rPr>
                <w:rFonts w:hint="default" w:ascii="Times New Roman" w:hAnsi="Times New Roman" w:eastAsia="宋体" w:cs="Times New Roman"/>
                <w:color w:val="auto"/>
                <w:kern w:val="24"/>
                <w:sz w:val="24"/>
                <w:szCs w:val="24"/>
                <w:highlight w:val="none"/>
                <w:lang w:val="en-US" w:eastAsia="zh-CN"/>
              </w:rPr>
              <w:t>三线一单</w:t>
            </w:r>
            <w:r>
              <w:rPr>
                <w:rFonts w:hint="eastAsia" w:cs="Times New Roman"/>
                <w:color w:val="auto"/>
                <w:kern w:val="24"/>
                <w:sz w:val="24"/>
                <w:szCs w:val="24"/>
                <w:highlight w:val="none"/>
                <w:lang w:val="en-US" w:eastAsia="zh-CN"/>
              </w:rPr>
              <w:t>”</w:t>
            </w:r>
            <w:r>
              <w:rPr>
                <w:rFonts w:hint="default" w:ascii="Times New Roman" w:hAnsi="Times New Roman" w:eastAsia="宋体" w:cs="Times New Roman"/>
                <w:color w:val="auto"/>
                <w:kern w:val="24"/>
                <w:sz w:val="24"/>
                <w:szCs w:val="24"/>
                <w:highlight w:val="none"/>
                <w:lang w:val="en-US" w:eastAsia="zh-CN"/>
              </w:rPr>
              <w:t>生态环境准入清单》管理要求。</w:t>
            </w:r>
          </w:p>
          <w:p>
            <w:pPr>
              <w:pStyle w:val="4"/>
              <w:bidi w:val="0"/>
              <w:rPr>
                <w:rFonts w:hint="eastAsia"/>
                <w:color w:val="auto"/>
                <w:lang w:val="en-US" w:eastAsia="zh-CN"/>
              </w:rPr>
            </w:pPr>
            <w:r>
              <w:rPr>
                <w:rFonts w:hint="eastAsia"/>
                <w:color w:val="auto"/>
                <w:lang w:val="en-US" w:eastAsia="zh-CN"/>
              </w:rPr>
              <w:t>6与</w:t>
            </w:r>
            <w:r>
              <w:rPr>
                <w:rFonts w:hint="default"/>
                <w:color w:val="auto"/>
                <w:lang w:val="en-US" w:eastAsia="zh-CN"/>
              </w:rPr>
              <w:t>《伊犁</w:t>
            </w:r>
            <w:r>
              <w:rPr>
                <w:rFonts w:hint="eastAsia"/>
                <w:color w:val="auto"/>
                <w:lang w:val="en-US" w:eastAsia="zh-CN"/>
              </w:rPr>
              <w:t>河流域生态保护环境保护条例</w:t>
            </w:r>
            <w:r>
              <w:rPr>
                <w:rFonts w:hint="default"/>
                <w:color w:val="auto"/>
                <w:lang w:val="en-US" w:eastAsia="zh-CN"/>
              </w:rPr>
              <w:t>》</w:t>
            </w:r>
            <w:r>
              <w:rPr>
                <w:rFonts w:hint="eastAsia"/>
                <w:color w:val="auto"/>
                <w:lang w:val="en-US" w:eastAsia="zh-CN"/>
              </w:rPr>
              <w:t>符合性分析</w:t>
            </w:r>
          </w:p>
          <w:p>
            <w:pPr>
              <w:rPr>
                <w:rFonts w:hint="eastAsia" w:ascii="Times New Roman" w:hAnsi="Times New Roman" w:eastAsia="宋体" w:cs="Times New Roman"/>
                <w:color w:val="auto"/>
                <w:lang w:val="en-US" w:eastAsia="zh-CN"/>
              </w:rPr>
            </w:pPr>
            <w:r>
              <w:rPr>
                <w:rFonts w:hint="eastAsia"/>
                <w:color w:val="auto"/>
                <w:lang w:val="en-US" w:eastAsia="zh-CN"/>
              </w:rPr>
              <w:t>根据条例要求：第四</w:t>
            </w:r>
            <w:r>
              <w:rPr>
                <w:rFonts w:hint="eastAsia" w:ascii="Times New Roman" w:hAnsi="Times New Roman" w:eastAsia="宋体" w:cs="Times New Roman"/>
                <w:color w:val="auto"/>
                <w:lang w:val="en-US" w:eastAsia="zh-CN"/>
              </w:rPr>
              <w:t>条、伊犁河流域生态环境保护，应当坚持统一规划，合理布局，预防为主，防治结合的原则。在流域内进行开发和建设，坚持先规划后开发、先评价后建设、谁开发谁保护、谁受益谁补偿、谁污染谁治理、谁破坏谁恢复的制度；第十四条、在生态功能区内新建、扩建、改建项目，必须遵守建设项目环境保护管理的法律、法规，编制建设项目环境影响报告书（表），按照规定程序报经环境保护行政主管部门批准；第十六条、任何单位和个人向伊犁河流域水体排放污水、废水，应当符合国家规定的标准；第二十六条、禁止在自然保护区核心区和缓冲区建设任何生产设施和从事任何生产经营活动。禁止在自然保护区实验区擅自建设污染环境、破坏资源、景观以及破坏野生动植物物种栖息地、繁殖场所的项目与设施；第五十七条、伊犁河流域内的旅游景区（点）应当优先选择电能、太阳能、风能、水能、天然气、液化气等清洁能源；旅游观光车及其他服务设施应当符合环境保护要求。</w:t>
            </w:r>
          </w:p>
          <w:p>
            <w:pPr>
              <w:rPr>
                <w:rFonts w:hint="eastAsia"/>
                <w:color w:val="auto"/>
                <w:lang w:val="en-US" w:eastAsia="zh-CN"/>
              </w:rPr>
            </w:pPr>
            <w:r>
              <w:rPr>
                <w:rFonts w:hint="eastAsia" w:ascii="Times New Roman" w:hAnsi="Times New Roman" w:eastAsia="宋体" w:cs="Times New Roman"/>
                <w:color w:val="auto"/>
                <w:lang w:val="en-US" w:eastAsia="zh-CN"/>
              </w:rPr>
              <w:t>符合性分析：本项目依法在施工期进行环境影响评价工作，待环评批复和其他施工手续齐全后再开展施工建设。本项目建设范围不涉及生态保护红线，不在自然保护区内，施工期和运营期废水均不外排，项目营运期主要采用电能和液化气等清洁能源。本项目建设符合</w:t>
            </w:r>
            <w:r>
              <w:rPr>
                <w:rFonts w:hint="default"/>
                <w:color w:val="auto"/>
                <w:lang w:val="en-US" w:eastAsia="zh-CN"/>
              </w:rPr>
              <w:t>《伊犁</w:t>
            </w:r>
            <w:r>
              <w:rPr>
                <w:rFonts w:hint="eastAsia"/>
                <w:color w:val="auto"/>
                <w:lang w:val="en-US" w:eastAsia="zh-CN"/>
              </w:rPr>
              <w:t>河流域生态保护环境保护条例</w:t>
            </w:r>
            <w:r>
              <w:rPr>
                <w:rFonts w:hint="default"/>
                <w:color w:val="auto"/>
                <w:lang w:val="en-US" w:eastAsia="zh-CN"/>
              </w:rPr>
              <w:t>》</w:t>
            </w:r>
            <w:r>
              <w:rPr>
                <w:rFonts w:hint="eastAsia"/>
                <w:color w:val="auto"/>
                <w:lang w:val="en-US" w:eastAsia="zh-CN"/>
              </w:rPr>
              <w:t>要求。</w:t>
            </w: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rPr>
                <w:rFonts w:hint="default"/>
                <w:lang w:val="en-US" w:eastAsia="zh-CN"/>
              </w:rPr>
            </w:pPr>
          </w:p>
          <w:p>
            <w:pPr>
              <w:spacing w:line="520" w:lineRule="exact"/>
              <w:ind w:firstLine="480" w:firstLineChars="200"/>
              <w:rPr>
                <w:rFonts w:hint="default" w:ascii="Times New Roman" w:hAnsi="Times New Roman" w:eastAsia="宋体" w:cs="Times New Roman"/>
                <w:color w:val="auto"/>
                <w:kern w:val="24"/>
                <w:sz w:val="24"/>
                <w:szCs w:val="24"/>
                <w:highlight w:val="none"/>
                <w:lang w:val="en-US" w:eastAsia="zh-CN"/>
              </w:rPr>
            </w:pPr>
          </w:p>
          <w:p>
            <w:pPr>
              <w:spacing w:line="520" w:lineRule="exact"/>
              <w:ind w:firstLine="480" w:firstLineChars="200"/>
              <w:rPr>
                <w:rFonts w:hint="default" w:ascii="Times New Roman" w:hAnsi="Times New Roman" w:eastAsia="宋体" w:cs="Times New Roman"/>
                <w:color w:val="auto"/>
                <w:kern w:val="24"/>
                <w:sz w:val="24"/>
                <w:szCs w:val="24"/>
                <w:highlight w:val="none"/>
                <w:lang w:val="en-US" w:eastAsia="zh-CN"/>
              </w:rPr>
            </w:pPr>
          </w:p>
          <w:p>
            <w:pPr>
              <w:spacing w:line="520" w:lineRule="exact"/>
              <w:ind w:firstLine="480" w:firstLineChars="200"/>
              <w:rPr>
                <w:rFonts w:hint="default" w:ascii="Times New Roman" w:hAnsi="Times New Roman" w:eastAsia="宋体" w:cs="Times New Roman"/>
                <w:color w:val="auto"/>
                <w:kern w:val="24"/>
                <w:sz w:val="24"/>
                <w:szCs w:val="24"/>
                <w:highlight w:val="none"/>
                <w:lang w:val="en-US" w:eastAsia="zh-CN"/>
              </w:rPr>
            </w:pPr>
          </w:p>
          <w:p>
            <w:pPr>
              <w:spacing w:line="520" w:lineRule="exact"/>
              <w:ind w:firstLine="480" w:firstLineChars="200"/>
              <w:rPr>
                <w:rFonts w:hint="default" w:ascii="Times New Roman" w:hAnsi="Times New Roman" w:eastAsia="宋体" w:cs="Times New Roman"/>
                <w:color w:val="auto"/>
                <w:kern w:val="24"/>
                <w:sz w:val="24"/>
                <w:szCs w:val="24"/>
                <w:highlight w:val="none"/>
                <w:lang w:val="en-US" w:eastAsia="zh-CN"/>
              </w:rPr>
            </w:pPr>
          </w:p>
          <w:p>
            <w:pPr>
              <w:spacing w:line="520" w:lineRule="exact"/>
              <w:ind w:firstLine="480" w:firstLineChars="200"/>
              <w:rPr>
                <w:rFonts w:hint="default" w:ascii="Times New Roman" w:hAnsi="Times New Roman" w:eastAsia="宋体" w:cs="Times New Roman"/>
                <w:color w:val="auto"/>
                <w:kern w:val="24"/>
                <w:sz w:val="24"/>
                <w:szCs w:val="24"/>
                <w:highlight w:val="none"/>
                <w:lang w:val="en-US" w:eastAsia="zh-CN"/>
              </w:rPr>
            </w:pPr>
          </w:p>
          <w:p>
            <w:pPr>
              <w:spacing w:line="520" w:lineRule="exact"/>
              <w:ind w:firstLine="480" w:firstLineChars="200"/>
              <w:rPr>
                <w:rFonts w:hint="default" w:ascii="Times New Roman" w:hAnsi="Times New Roman" w:eastAsia="宋体" w:cs="Times New Roman"/>
                <w:color w:val="auto"/>
                <w:kern w:val="24"/>
                <w:sz w:val="24"/>
                <w:szCs w:val="24"/>
                <w:highlight w:val="none"/>
                <w:lang w:val="en-US" w:eastAsia="zh-CN"/>
              </w:rPr>
            </w:pPr>
          </w:p>
          <w:p>
            <w:pPr>
              <w:spacing w:line="520" w:lineRule="exact"/>
              <w:ind w:firstLine="480" w:firstLineChars="200"/>
              <w:rPr>
                <w:rFonts w:hint="default" w:ascii="Times New Roman" w:hAnsi="Times New Roman" w:eastAsia="宋体" w:cs="Times New Roman"/>
                <w:color w:val="auto"/>
                <w:kern w:val="24"/>
                <w:sz w:val="24"/>
                <w:szCs w:val="24"/>
                <w:highlight w:val="none"/>
                <w:lang w:val="en-US" w:eastAsia="zh-CN"/>
              </w:rPr>
            </w:pPr>
          </w:p>
          <w:p>
            <w:pPr>
              <w:spacing w:line="520" w:lineRule="exact"/>
              <w:ind w:firstLine="480" w:firstLineChars="200"/>
              <w:rPr>
                <w:rFonts w:hint="default" w:ascii="Times New Roman" w:hAnsi="Times New Roman" w:eastAsia="宋体" w:cs="Times New Roman"/>
                <w:color w:val="auto"/>
                <w:kern w:val="24"/>
                <w:sz w:val="24"/>
                <w:szCs w:val="24"/>
                <w:highlight w:val="none"/>
                <w:lang w:val="en-US" w:eastAsia="zh-CN"/>
              </w:rPr>
            </w:pPr>
          </w:p>
          <w:p>
            <w:pPr>
              <w:spacing w:line="520" w:lineRule="exact"/>
              <w:ind w:firstLine="480" w:firstLineChars="200"/>
              <w:rPr>
                <w:rFonts w:hint="default" w:ascii="Times New Roman" w:hAnsi="Times New Roman" w:eastAsia="宋体" w:cs="Times New Roman"/>
                <w:color w:val="auto"/>
                <w:kern w:val="24"/>
                <w:sz w:val="24"/>
                <w:szCs w:val="24"/>
                <w:highlight w:val="none"/>
                <w:lang w:val="en-US" w:eastAsia="zh-CN"/>
              </w:rPr>
            </w:pPr>
          </w:p>
          <w:p>
            <w:pPr>
              <w:spacing w:line="520" w:lineRule="exact"/>
              <w:ind w:firstLine="480" w:firstLineChars="200"/>
              <w:rPr>
                <w:rFonts w:hint="default" w:ascii="Times New Roman" w:hAnsi="Times New Roman" w:eastAsia="宋体" w:cs="Times New Roman"/>
                <w:color w:val="auto"/>
                <w:kern w:val="24"/>
                <w:sz w:val="24"/>
                <w:szCs w:val="24"/>
                <w:highlight w:val="none"/>
                <w:lang w:val="en-US" w:eastAsia="zh-CN"/>
              </w:rPr>
            </w:pPr>
          </w:p>
          <w:p>
            <w:pPr>
              <w:spacing w:line="520" w:lineRule="exact"/>
              <w:ind w:firstLine="480" w:firstLineChars="200"/>
              <w:rPr>
                <w:rFonts w:hint="default" w:ascii="Times New Roman" w:hAnsi="Times New Roman" w:eastAsia="宋体" w:cs="Times New Roman"/>
                <w:color w:val="auto"/>
                <w:kern w:val="24"/>
                <w:sz w:val="24"/>
                <w:szCs w:val="24"/>
                <w:highlight w:val="none"/>
                <w:lang w:val="en-US" w:eastAsia="zh-CN"/>
              </w:rPr>
            </w:pPr>
          </w:p>
        </w:tc>
      </w:tr>
    </w:tbl>
    <w:p>
      <w:pPr>
        <w:spacing w:line="360" w:lineRule="auto"/>
        <w:outlineLvl w:val="9"/>
        <w:rPr>
          <w:rFonts w:hint="default" w:ascii="Times New Roman" w:hAnsi="Times New Roman" w:eastAsia="黑体" w:cs="Times New Roman"/>
          <w:color w:val="auto"/>
          <w:sz w:val="30"/>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jc w:val="center"/>
        <w:outlineLvl w:val="0"/>
        <w:rPr>
          <w:rFonts w:hint="default" w:ascii="Times New Roman" w:hAnsi="Times New Roman" w:eastAsia="黑体" w:cs="Times New Roman"/>
          <w:snapToGrid w:val="0"/>
          <w:color w:val="auto"/>
          <w:sz w:val="30"/>
          <w:szCs w:val="30"/>
        </w:rPr>
      </w:pPr>
      <w:bookmarkStart w:id="4" w:name="_Toc14355"/>
      <w:r>
        <w:rPr>
          <w:rFonts w:hint="default" w:ascii="Times New Roman" w:hAnsi="Times New Roman" w:eastAsia="黑体" w:cs="Times New Roman"/>
          <w:snapToGrid w:val="0"/>
          <w:color w:val="auto"/>
          <w:sz w:val="30"/>
          <w:szCs w:val="30"/>
        </w:rPr>
        <w:t>二、建设内容</w:t>
      </w:r>
      <w:bookmarkEnd w:id="4"/>
    </w:p>
    <w:tbl>
      <w:tblPr>
        <w:tblStyle w:val="12"/>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450"/>
        <w:gridCol w:w="807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4" w:type="pct"/>
            <w:noWrap w:val="0"/>
            <w:vAlign w:val="center"/>
          </w:tcPr>
          <w:p>
            <w:pPr>
              <w:pStyle w:val="17"/>
              <w:bidi w:val="0"/>
              <w:rPr>
                <w:rFonts w:hint="default"/>
                <w:color w:val="auto"/>
                <w:sz w:val="24"/>
                <w:szCs w:val="24"/>
              </w:rPr>
            </w:pPr>
            <w:r>
              <w:rPr>
                <w:rFonts w:hint="default"/>
                <w:color w:val="auto"/>
                <w:sz w:val="24"/>
                <w:szCs w:val="24"/>
              </w:rPr>
              <w:t>地理位置</w:t>
            </w:r>
          </w:p>
        </w:tc>
        <w:tc>
          <w:tcPr>
            <w:tcW w:w="4735" w:type="pct"/>
            <w:noWrap w:val="0"/>
            <w:vAlign w:val="center"/>
          </w:tcPr>
          <w:p>
            <w:pPr>
              <w:bidi w:val="0"/>
              <w:rPr>
                <w:rFonts w:hint="eastAsia"/>
                <w:color w:val="auto"/>
                <w:lang w:val="en-US" w:eastAsia="zh-CN"/>
              </w:rPr>
            </w:pPr>
            <w:r>
              <w:rPr>
                <w:rFonts w:hint="default"/>
                <w:color w:val="auto"/>
              </w:rPr>
              <w:t>本项目位于</w:t>
            </w:r>
            <w:r>
              <w:rPr>
                <w:rFonts w:hint="eastAsia"/>
                <w:color w:val="auto"/>
                <w:lang w:val="en-US" w:eastAsia="zh-CN"/>
              </w:rPr>
              <w:t>果子沟-赛里木湖</w:t>
            </w:r>
            <w:r>
              <w:rPr>
                <w:rFonts w:hint="default"/>
                <w:color w:val="auto"/>
                <w:lang w:eastAsia="zh-CN"/>
              </w:rPr>
              <w:t>景区</w:t>
            </w:r>
            <w:r>
              <w:rPr>
                <w:rFonts w:hint="default"/>
                <w:color w:val="auto"/>
              </w:rPr>
              <w:t>内，</w:t>
            </w:r>
            <w:r>
              <w:rPr>
                <w:rFonts w:hint="eastAsia"/>
                <w:color w:val="auto"/>
                <w:lang w:val="en-US" w:eastAsia="zh-CN"/>
              </w:rPr>
              <w:t>不</w:t>
            </w:r>
            <w:r>
              <w:rPr>
                <w:rFonts w:hint="default"/>
                <w:color w:val="auto"/>
              </w:rPr>
              <w:t>涉及生态保护红线（天山水源涵养与生物多样性维护生态保护红线区）。</w:t>
            </w:r>
            <w:r>
              <w:rPr>
                <w:rFonts w:hint="eastAsia"/>
                <w:color w:val="auto"/>
                <w:lang w:val="en-US" w:eastAsia="zh-CN"/>
              </w:rPr>
              <w:t xml:space="preserve">  </w:t>
            </w:r>
          </w:p>
          <w:p>
            <w:pPr>
              <w:bidi w:val="0"/>
              <w:rPr>
                <w:rFonts w:hint="eastAsia"/>
                <w:color w:val="auto"/>
                <w:lang w:val="en-US" w:eastAsia="zh-CN"/>
              </w:rPr>
            </w:pPr>
            <w:r>
              <w:rPr>
                <w:rFonts w:hint="eastAsia"/>
                <w:color w:val="auto"/>
                <w:lang w:val="en-US" w:eastAsia="zh-CN"/>
              </w:rPr>
              <w:t>本工程共分为4个地块：</w:t>
            </w:r>
            <w:r>
              <w:rPr>
                <w:rFonts w:hint="default"/>
                <w:color w:val="auto"/>
              </w:rPr>
              <w:t>①游服地块</w:t>
            </w:r>
            <w:r>
              <w:rPr>
                <w:rFonts w:hint="eastAsia"/>
                <w:color w:val="auto"/>
                <w:lang w:eastAsia="zh-CN"/>
              </w:rPr>
              <w:t>（</w:t>
            </w:r>
            <w:r>
              <w:rPr>
                <w:rFonts w:hint="eastAsia"/>
                <w:color w:val="auto"/>
                <w:lang w:val="en-US" w:eastAsia="zh-CN"/>
              </w:rPr>
              <w:t>中心点位坐标为E:</w:t>
            </w:r>
            <w:r>
              <w:rPr>
                <w:rFonts w:hint="default" w:ascii="Times New Roman" w:hAnsi="Times New Roman" w:cs="Times New Roman"/>
                <w:color w:val="auto"/>
                <w:sz w:val="24"/>
                <w:szCs w:val="24"/>
                <w:lang w:val="en-US" w:eastAsia="zh-CN"/>
              </w:rPr>
              <w:t>81°</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57.743</w:t>
            </w:r>
            <w:r>
              <w:rPr>
                <w:rFonts w:hint="default" w:ascii="Times New Roman" w:hAnsi="Times New Roman" w:cs="Times New Roman"/>
                <w:color w:val="auto"/>
                <w:sz w:val="24"/>
                <w:szCs w:val="24"/>
                <w:lang w:val="en-US" w:eastAsia="zh-CN"/>
              </w:rPr>
              <w:t>″</w:t>
            </w:r>
            <w:r>
              <w:rPr>
                <w:rFonts w:hint="eastAsia"/>
                <w:color w:val="auto"/>
                <w:sz w:val="24"/>
                <w:szCs w:val="24"/>
                <w:lang w:val="en-US" w:eastAsia="zh-CN"/>
              </w:rPr>
              <w:t>，N:</w:t>
            </w:r>
            <w:r>
              <w:rPr>
                <w:rFonts w:hint="default" w:ascii="Times New Roman" w:hAnsi="Times New Roman" w:cs="Times New Roman"/>
                <w:color w:val="auto"/>
                <w:sz w:val="24"/>
                <w:szCs w:val="24"/>
                <w:lang w:val="en-US" w:eastAsia="zh-CN"/>
              </w:rPr>
              <w:t>44°2</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52.348</w:t>
            </w:r>
            <w:r>
              <w:rPr>
                <w:rFonts w:hint="default" w:ascii="Times New Roman" w:hAnsi="Times New Roman" w:cs="Times New Roman"/>
                <w:color w:val="auto"/>
                <w:sz w:val="24"/>
                <w:szCs w:val="24"/>
                <w:lang w:val="en-US" w:eastAsia="zh-CN"/>
              </w:rPr>
              <w:t>″</w:t>
            </w:r>
            <w:r>
              <w:rPr>
                <w:rFonts w:hint="eastAsia"/>
                <w:color w:val="auto"/>
                <w:lang w:eastAsia="zh-CN"/>
              </w:rPr>
              <w:t>）、</w:t>
            </w:r>
            <w:r>
              <w:rPr>
                <w:rFonts w:hint="default"/>
                <w:color w:val="auto"/>
              </w:rPr>
              <w:t>②金顶地块</w:t>
            </w:r>
            <w:r>
              <w:rPr>
                <w:rFonts w:hint="eastAsia"/>
                <w:color w:val="auto"/>
                <w:lang w:eastAsia="zh-CN"/>
              </w:rPr>
              <w:t>（</w:t>
            </w:r>
            <w:r>
              <w:rPr>
                <w:rFonts w:hint="eastAsia"/>
                <w:color w:val="auto"/>
                <w:lang w:val="en-US" w:eastAsia="zh-CN"/>
              </w:rPr>
              <w:t>中心点位坐标为E:</w:t>
            </w:r>
            <w:r>
              <w:rPr>
                <w:rFonts w:hint="default" w:ascii="Times New Roman" w:hAnsi="Times New Roman" w:cs="Times New Roman"/>
                <w:color w:val="auto"/>
                <w:sz w:val="24"/>
                <w:szCs w:val="24"/>
                <w:lang w:val="en-US" w:eastAsia="zh-CN"/>
              </w:rPr>
              <w:t>81°</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57.743</w:t>
            </w:r>
            <w:r>
              <w:rPr>
                <w:rFonts w:hint="default" w:ascii="Times New Roman" w:hAnsi="Times New Roman" w:cs="Times New Roman"/>
                <w:color w:val="auto"/>
                <w:sz w:val="24"/>
                <w:szCs w:val="24"/>
                <w:lang w:val="en-US" w:eastAsia="zh-CN"/>
              </w:rPr>
              <w:t>″</w:t>
            </w:r>
            <w:r>
              <w:rPr>
                <w:rFonts w:hint="eastAsia"/>
                <w:color w:val="auto"/>
                <w:sz w:val="24"/>
                <w:szCs w:val="24"/>
                <w:lang w:val="en-US" w:eastAsia="zh-CN"/>
              </w:rPr>
              <w:t>，N:</w:t>
            </w:r>
            <w:r>
              <w:rPr>
                <w:rFonts w:hint="default" w:ascii="Times New Roman" w:hAnsi="Times New Roman" w:cs="Times New Roman"/>
                <w:color w:val="auto"/>
                <w:sz w:val="24"/>
                <w:szCs w:val="24"/>
                <w:lang w:val="en-US" w:eastAsia="zh-CN"/>
              </w:rPr>
              <w:t>44°2</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52.348</w:t>
            </w:r>
            <w:r>
              <w:rPr>
                <w:rFonts w:hint="default" w:ascii="Times New Roman" w:hAnsi="Times New Roman" w:cs="Times New Roman"/>
                <w:color w:val="auto"/>
                <w:sz w:val="24"/>
                <w:szCs w:val="24"/>
                <w:lang w:val="en-US" w:eastAsia="zh-CN"/>
              </w:rPr>
              <w:t>″</w:t>
            </w:r>
            <w:r>
              <w:rPr>
                <w:rFonts w:hint="eastAsia"/>
                <w:color w:val="auto"/>
                <w:lang w:eastAsia="zh-CN"/>
              </w:rPr>
              <w:t>）、</w:t>
            </w:r>
            <w:r>
              <w:rPr>
                <w:rFonts w:hint="default"/>
                <w:color w:val="auto"/>
              </w:rPr>
              <w:t>③G地块</w:t>
            </w:r>
            <w:r>
              <w:rPr>
                <w:rFonts w:hint="eastAsia"/>
                <w:color w:val="auto"/>
                <w:lang w:eastAsia="zh-CN"/>
              </w:rPr>
              <w:t>（</w:t>
            </w:r>
            <w:r>
              <w:rPr>
                <w:rFonts w:hint="eastAsia"/>
                <w:color w:val="auto"/>
                <w:lang w:val="en-US" w:eastAsia="zh-CN"/>
              </w:rPr>
              <w:t>中心点位坐标为E:</w:t>
            </w:r>
            <w:r>
              <w:rPr>
                <w:rFonts w:hint="default" w:ascii="Times New Roman" w:hAnsi="Times New Roman" w:cs="Times New Roman"/>
                <w:color w:val="auto"/>
                <w:sz w:val="24"/>
                <w:szCs w:val="24"/>
                <w:lang w:val="en-US" w:eastAsia="zh-CN"/>
              </w:rPr>
              <w:t>81°9′</w:t>
            </w:r>
            <w:r>
              <w:rPr>
                <w:rFonts w:hint="eastAsia" w:ascii="Times New Roman" w:hAnsi="Times New Roman" w:cs="Times New Roman"/>
                <w:color w:val="auto"/>
                <w:sz w:val="24"/>
                <w:szCs w:val="24"/>
                <w:lang w:val="en-US" w:eastAsia="zh-CN"/>
              </w:rPr>
              <w:t>29.732</w:t>
            </w:r>
            <w:r>
              <w:rPr>
                <w:rFonts w:hint="default" w:ascii="Times New Roman" w:hAnsi="Times New Roman" w:cs="Times New Roman"/>
                <w:color w:val="auto"/>
                <w:sz w:val="24"/>
                <w:szCs w:val="24"/>
                <w:lang w:val="en-US" w:eastAsia="zh-CN"/>
              </w:rPr>
              <w:t>″</w:t>
            </w:r>
            <w:r>
              <w:rPr>
                <w:rFonts w:hint="eastAsia"/>
                <w:color w:val="auto"/>
                <w:sz w:val="24"/>
                <w:szCs w:val="24"/>
                <w:lang w:val="en-US" w:eastAsia="zh-CN"/>
              </w:rPr>
              <w:t>，N:</w:t>
            </w:r>
            <w:r>
              <w:rPr>
                <w:rFonts w:hint="default" w:ascii="Times New Roman" w:hAnsi="Times New Roman" w:cs="Times New Roman"/>
                <w:color w:val="auto"/>
                <w:sz w:val="24"/>
                <w:szCs w:val="24"/>
                <w:lang w:val="en-US" w:eastAsia="zh-CN"/>
              </w:rPr>
              <w:t>44°2</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45.036</w:t>
            </w:r>
            <w:r>
              <w:rPr>
                <w:rFonts w:hint="default" w:ascii="Times New Roman" w:hAnsi="Times New Roman" w:cs="Times New Roman"/>
                <w:color w:val="auto"/>
                <w:sz w:val="24"/>
                <w:szCs w:val="24"/>
                <w:lang w:val="en-US" w:eastAsia="zh-CN"/>
              </w:rPr>
              <w:t>″</w:t>
            </w:r>
            <w:r>
              <w:rPr>
                <w:rFonts w:hint="eastAsia"/>
                <w:color w:val="auto"/>
                <w:lang w:eastAsia="zh-CN"/>
              </w:rPr>
              <w:t>）、</w:t>
            </w:r>
            <w:r>
              <w:rPr>
                <w:rFonts w:hint="default"/>
                <w:color w:val="auto"/>
              </w:rPr>
              <w:t>④D地块</w:t>
            </w:r>
            <w:r>
              <w:rPr>
                <w:rFonts w:hint="eastAsia"/>
                <w:color w:val="auto"/>
                <w:lang w:eastAsia="zh-CN"/>
              </w:rPr>
              <w:t>（</w:t>
            </w:r>
            <w:r>
              <w:rPr>
                <w:rFonts w:hint="eastAsia"/>
                <w:color w:val="auto"/>
                <w:lang w:val="en-US" w:eastAsia="zh-CN"/>
              </w:rPr>
              <w:t>中心点位坐标为E:</w:t>
            </w:r>
            <w:r>
              <w:rPr>
                <w:rFonts w:hint="default" w:ascii="Times New Roman" w:hAnsi="Times New Roman" w:cs="Times New Roman"/>
                <w:color w:val="auto"/>
                <w:sz w:val="24"/>
                <w:szCs w:val="24"/>
                <w:lang w:val="en-US" w:eastAsia="zh-CN"/>
              </w:rPr>
              <w:t>81°</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2.775</w:t>
            </w:r>
            <w:r>
              <w:rPr>
                <w:rFonts w:hint="default" w:ascii="Times New Roman" w:hAnsi="Times New Roman" w:cs="Times New Roman"/>
                <w:color w:val="auto"/>
                <w:sz w:val="24"/>
                <w:szCs w:val="24"/>
                <w:lang w:val="en-US" w:eastAsia="zh-CN"/>
              </w:rPr>
              <w:t>″</w:t>
            </w:r>
            <w:r>
              <w:rPr>
                <w:rFonts w:hint="eastAsia"/>
                <w:color w:val="auto"/>
                <w:sz w:val="24"/>
                <w:szCs w:val="24"/>
                <w:lang w:val="en-US" w:eastAsia="zh-CN"/>
              </w:rPr>
              <w:t>，N:</w:t>
            </w:r>
            <w:r>
              <w:rPr>
                <w:rFonts w:hint="default" w:ascii="Times New Roman" w:hAnsi="Times New Roman" w:cs="Times New Roman"/>
                <w:color w:val="auto"/>
                <w:sz w:val="24"/>
                <w:szCs w:val="24"/>
                <w:lang w:val="en-US" w:eastAsia="zh-CN"/>
              </w:rPr>
              <w:t>44°2</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53.069</w:t>
            </w:r>
            <w:r>
              <w:rPr>
                <w:rFonts w:hint="default" w:ascii="Times New Roman" w:hAnsi="Times New Roman" w:cs="Times New Roman"/>
                <w:color w:val="auto"/>
                <w:sz w:val="24"/>
                <w:szCs w:val="24"/>
                <w:lang w:val="en-US" w:eastAsia="zh-CN"/>
              </w:rPr>
              <w:t>″</w:t>
            </w:r>
            <w:r>
              <w:rPr>
                <w:rFonts w:hint="eastAsia"/>
                <w:color w:val="auto"/>
                <w:lang w:eastAsia="zh-CN"/>
              </w:rPr>
              <w:t>）。</w:t>
            </w:r>
          </w:p>
          <w:p>
            <w:pPr>
              <w:bidi w:val="0"/>
              <w:rPr>
                <w:rFonts w:hint="eastAsia"/>
                <w:color w:val="auto"/>
                <w:lang w:eastAsia="zh-CN"/>
              </w:rPr>
            </w:pPr>
            <w:r>
              <w:rPr>
                <w:rFonts w:hint="default"/>
                <w:color w:val="auto"/>
              </w:rPr>
              <w:t>索道下站位于</w:t>
            </w:r>
            <w:r>
              <w:rPr>
                <w:rFonts w:hint="eastAsia"/>
                <w:color w:val="auto"/>
                <w:lang w:val="en-US" w:eastAsia="zh-CN"/>
              </w:rPr>
              <w:t>果赛景</w:t>
            </w:r>
            <w:r>
              <w:rPr>
                <w:rFonts w:hint="eastAsia" w:ascii="Times New Roman" w:hAnsi="Times New Roman" w:eastAsia="宋体" w:cs="Times New Roman"/>
                <w:color w:val="auto"/>
                <w:lang w:val="en-US" w:eastAsia="zh-CN"/>
              </w:rPr>
              <w:t>区三台关停车场</w:t>
            </w:r>
            <w:r>
              <w:rPr>
                <w:rFonts w:hint="default"/>
                <w:color w:val="auto"/>
              </w:rPr>
              <w:t>，</w:t>
            </w:r>
            <w:r>
              <w:rPr>
                <w:rFonts w:hint="eastAsia"/>
                <w:color w:val="auto"/>
                <w:lang w:val="en-US" w:eastAsia="zh-CN"/>
              </w:rPr>
              <w:t>坐标为E:</w:t>
            </w:r>
            <w:r>
              <w:rPr>
                <w:rFonts w:hint="default" w:ascii="Times New Roman" w:hAnsi="Times New Roman" w:cs="Times New Roman"/>
                <w:color w:val="auto"/>
                <w:sz w:val="24"/>
                <w:szCs w:val="24"/>
                <w:lang w:val="en-US" w:eastAsia="zh-CN"/>
              </w:rPr>
              <w:t>81°9′15.798″</w:t>
            </w:r>
            <w:r>
              <w:rPr>
                <w:rFonts w:hint="eastAsia"/>
                <w:color w:val="auto"/>
                <w:sz w:val="24"/>
                <w:szCs w:val="24"/>
                <w:lang w:val="en-US" w:eastAsia="zh-CN"/>
              </w:rPr>
              <w:t>，N:</w:t>
            </w:r>
            <w:r>
              <w:rPr>
                <w:rFonts w:hint="default" w:ascii="Times New Roman" w:hAnsi="Times New Roman" w:cs="Times New Roman"/>
                <w:color w:val="auto"/>
                <w:sz w:val="24"/>
                <w:szCs w:val="24"/>
                <w:lang w:val="en-US" w:eastAsia="zh-CN"/>
              </w:rPr>
              <w:t>44°29′13.888″</w:t>
            </w:r>
            <w:r>
              <w:rPr>
                <w:rFonts w:hint="eastAsia" w:ascii="Times New Roman" w:hAnsi="Times New Roman" w:cs="Times New Roman"/>
                <w:color w:val="auto"/>
                <w:sz w:val="24"/>
                <w:szCs w:val="24"/>
                <w:lang w:val="en-US" w:eastAsia="zh-CN"/>
              </w:rPr>
              <w:t>，</w:t>
            </w:r>
            <w:r>
              <w:rPr>
                <w:rFonts w:hint="default"/>
                <w:color w:val="auto"/>
              </w:rPr>
              <w:t>周围主要为草地；</w:t>
            </w:r>
            <w:r>
              <w:rPr>
                <w:rFonts w:hint="eastAsia"/>
                <w:color w:val="auto"/>
                <w:lang w:eastAsia="zh-CN"/>
              </w:rPr>
              <w:t>上站</w:t>
            </w:r>
            <w:r>
              <w:rPr>
                <w:rFonts w:hint="default"/>
                <w:color w:val="auto"/>
              </w:rPr>
              <w:t>位于</w:t>
            </w:r>
            <w:r>
              <w:rPr>
                <w:rFonts w:hint="eastAsia"/>
                <w:color w:val="auto"/>
                <w:lang w:val="en-US" w:eastAsia="zh-CN"/>
              </w:rPr>
              <w:t>本项目</w:t>
            </w:r>
            <w:r>
              <w:rPr>
                <w:rFonts w:hint="default"/>
                <w:color w:val="auto"/>
                <w:lang w:val="en-US" w:eastAsia="zh-CN"/>
              </w:rPr>
              <w:t>金顶地块</w:t>
            </w:r>
            <w:r>
              <w:rPr>
                <w:rFonts w:hint="default"/>
                <w:color w:val="auto"/>
              </w:rPr>
              <w:t>，</w:t>
            </w:r>
            <w:r>
              <w:rPr>
                <w:rFonts w:hint="eastAsia"/>
                <w:color w:val="auto"/>
                <w:lang w:val="en-US" w:eastAsia="zh-CN"/>
              </w:rPr>
              <w:t>坐标为</w:t>
            </w:r>
            <w:r>
              <w:rPr>
                <w:rFonts w:hint="default" w:ascii="Times New Roman" w:hAnsi="Times New Roman" w:cs="Times New Roman"/>
                <w:color w:val="auto"/>
                <w:lang w:val="en-US" w:eastAsia="zh-CN"/>
              </w:rPr>
              <w:t>E:</w:t>
            </w:r>
            <w:r>
              <w:rPr>
                <w:rFonts w:hint="default" w:ascii="Times New Roman" w:hAnsi="Times New Roman" w:cs="Times New Roman"/>
                <w:color w:val="auto"/>
                <w:sz w:val="24"/>
                <w:szCs w:val="24"/>
                <w:lang w:val="en-US" w:eastAsia="zh-CN"/>
              </w:rPr>
              <w:t>81°10′6.618″，N:44°28′47.406″</w:t>
            </w:r>
            <w:r>
              <w:rPr>
                <w:rFonts w:hint="eastAsia" w:ascii="Times New Roman" w:hAnsi="Times New Roman" w:cs="Times New Roman"/>
                <w:color w:val="auto"/>
                <w:sz w:val="24"/>
                <w:szCs w:val="24"/>
                <w:lang w:val="en-US" w:eastAsia="zh-CN"/>
              </w:rPr>
              <w:t>，</w:t>
            </w:r>
            <w:r>
              <w:rPr>
                <w:rFonts w:hint="default"/>
                <w:color w:val="auto"/>
              </w:rPr>
              <w:t>周围主要为草地</w:t>
            </w:r>
            <w:r>
              <w:rPr>
                <w:rFonts w:hint="eastAsia"/>
                <w:color w:val="auto"/>
                <w:lang w:eastAsia="zh-CN"/>
              </w:rPr>
              <w:t>。</w:t>
            </w:r>
          </w:p>
          <w:p>
            <w:pPr>
              <w:bidi w:val="0"/>
              <w:rPr>
                <w:rFonts w:hint="default"/>
                <w:color w:val="auto"/>
              </w:rPr>
            </w:pPr>
            <w:r>
              <w:rPr>
                <w:rFonts w:hint="default"/>
                <w:color w:val="auto"/>
              </w:rPr>
              <w:t>详见附图</w:t>
            </w:r>
            <w:r>
              <w:rPr>
                <w:rFonts w:hint="eastAsia"/>
                <w:color w:val="auto"/>
                <w:lang w:val="en-US" w:eastAsia="zh-CN"/>
              </w:rPr>
              <w:t>中的</w:t>
            </w:r>
            <w:r>
              <w:rPr>
                <w:rFonts w:hint="default"/>
                <w:color w:val="auto"/>
              </w:rPr>
              <w:t>项目地理位置图和现场踏勘图。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4" w:type="pct"/>
            <w:noWrap w:val="0"/>
            <w:vAlign w:val="center"/>
          </w:tcPr>
          <w:p>
            <w:pPr>
              <w:pStyle w:val="17"/>
              <w:bidi w:val="0"/>
              <w:rPr>
                <w:rFonts w:hint="default"/>
                <w:color w:val="auto"/>
                <w:sz w:val="24"/>
                <w:szCs w:val="24"/>
              </w:rPr>
            </w:pPr>
            <w:r>
              <w:rPr>
                <w:rFonts w:hint="default"/>
                <w:color w:val="auto"/>
                <w:sz w:val="24"/>
                <w:szCs w:val="24"/>
              </w:rPr>
              <w:t>项目组成及规模</w:t>
            </w:r>
          </w:p>
        </w:tc>
        <w:tc>
          <w:tcPr>
            <w:tcW w:w="4735" w:type="pct"/>
            <w:noWrap w:val="0"/>
            <w:vAlign w:val="center"/>
          </w:tcPr>
          <w:p>
            <w:pPr>
              <w:bidi w:val="0"/>
              <w:ind w:left="0" w:leftChars="0" w:firstLine="0" w:firstLineChars="0"/>
              <w:rPr>
                <w:rFonts w:hint="default" w:eastAsia="宋体"/>
                <w:b/>
                <w:bCs/>
                <w:color w:val="auto"/>
                <w:lang w:val="en-US" w:eastAsia="zh-CN"/>
              </w:rPr>
            </w:pPr>
            <w:r>
              <w:rPr>
                <w:rFonts w:hint="eastAsia"/>
                <w:b/>
                <w:bCs/>
                <w:color w:val="auto"/>
                <w:lang w:val="en-US" w:eastAsia="zh-CN"/>
              </w:rPr>
              <w:t>1 景区开发现状</w:t>
            </w:r>
          </w:p>
          <w:p>
            <w:pPr>
              <w:numPr>
                <w:ilvl w:val="0"/>
                <w:numId w:val="0"/>
              </w:numPr>
              <w:bidi w:val="0"/>
              <w:ind w:firstLine="482"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eastAsia="宋体" w:cs="Times New Roman"/>
                <w:color w:val="auto"/>
                <w:sz w:val="24"/>
                <w:szCs w:val="24"/>
                <w:lang w:val="en-US" w:eastAsia="zh-CN"/>
              </w:rPr>
              <w:t>现状果赛景区内已建果子沟口游客集散服务中心、松树头游客服务中心，松树头观景台、老二台观景台、金顶观景台，金顶欣驿酒店，盘山公路路面整修等。</w:t>
            </w:r>
          </w:p>
          <w:p>
            <w:pPr>
              <w:numPr>
                <w:ilvl w:val="0"/>
                <w:numId w:val="2"/>
              </w:numPr>
              <w:bidi w:val="0"/>
              <w:ind w:left="480" w:leftChars="200" w:firstLine="0" w:firstLineChars="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交通现状</w:t>
            </w:r>
          </w:p>
          <w:p>
            <w:pPr>
              <w:numPr>
                <w:ilvl w:val="0"/>
                <w:numId w:val="0"/>
              </w:numPr>
              <w:bidi w:val="0"/>
              <w:ind w:firstLine="480" w:firstLineChars="200"/>
              <w:rPr>
                <w:rFonts w:hint="default" w:ascii="Times New Roman" w:hAnsi="Times New Roman" w:eastAsia="宋体" w:cs="Times New Roman"/>
                <w:color w:val="auto"/>
                <w:sz w:val="24"/>
                <w:szCs w:val="24"/>
                <w:lang w:val="en-US" w:eastAsia="zh-CN"/>
              </w:rPr>
            </w:pPr>
            <w:r>
              <w:rPr>
                <w:rFonts w:ascii="宋体" w:hAnsi="宋体" w:eastAsia="宋体" w:cs="宋体"/>
                <w:kern w:val="0"/>
                <w:szCs w:val="24"/>
              </w:rPr>
              <w:t>景区内的旅游交通</w:t>
            </w:r>
            <w:r>
              <w:rPr>
                <w:rFonts w:eastAsia="宋体" w:cs="Times New Roman"/>
                <w:kern w:val="0"/>
                <w:szCs w:val="24"/>
              </w:rPr>
              <w:t>主要通道由</w:t>
            </w:r>
            <w:r>
              <w:rPr>
                <w:rFonts w:hint="eastAsia" w:eastAsia="宋体" w:cs="Times New Roman"/>
                <w:kern w:val="0"/>
                <w:szCs w:val="24"/>
              </w:rPr>
              <w:t>G</w:t>
            </w:r>
            <w:r>
              <w:rPr>
                <w:rFonts w:eastAsia="宋体" w:cs="Times New Roman"/>
                <w:kern w:val="0"/>
                <w:szCs w:val="24"/>
              </w:rPr>
              <w:t>30高速公路段、</w:t>
            </w:r>
            <w:r>
              <w:rPr>
                <w:rFonts w:hint="eastAsia" w:eastAsia="宋体" w:cs="Times New Roman"/>
                <w:kern w:val="0"/>
                <w:szCs w:val="24"/>
              </w:rPr>
              <w:t>G30高速</w:t>
            </w:r>
            <w:r>
              <w:rPr>
                <w:rFonts w:eastAsia="宋体" w:cs="Times New Roman"/>
                <w:kern w:val="0"/>
                <w:szCs w:val="24"/>
              </w:rPr>
              <w:t>和果子沟盘山公路</w:t>
            </w:r>
            <w:r>
              <w:rPr>
                <w:rFonts w:hint="eastAsia" w:eastAsia="宋体" w:cs="Times New Roman"/>
                <w:kern w:val="0"/>
                <w:szCs w:val="24"/>
                <w:lang w:val="en-US" w:eastAsia="zh-CN"/>
              </w:rPr>
              <w:t>以及</w:t>
            </w:r>
            <w:r>
              <w:rPr>
                <w:rFonts w:eastAsia="宋体" w:cs="Times New Roman"/>
                <w:kern w:val="0"/>
                <w:szCs w:val="24"/>
              </w:rPr>
              <w:t>312国道组成</w:t>
            </w:r>
            <w:r>
              <w:rPr>
                <w:rFonts w:hint="eastAsia" w:eastAsia="宋体" w:cs="Times New Roman"/>
                <w:kern w:val="0"/>
                <w:szCs w:val="24"/>
                <w:lang w:eastAsia="zh-CN"/>
              </w:rPr>
              <w:t>，</w:t>
            </w:r>
            <w:r>
              <w:rPr>
                <w:rFonts w:hint="eastAsia" w:ascii="Times New Roman" w:hAnsi="Times New Roman" w:eastAsia="宋体" w:cs="Times New Roman"/>
                <w:color w:val="auto"/>
                <w:sz w:val="24"/>
                <w:szCs w:val="24"/>
                <w:lang w:val="en-US" w:eastAsia="zh-CN"/>
              </w:rPr>
              <w:t>果赛景区已修缮果子沟盘山公路和江巴斯沟段公路，在对应景点开设匝道，临近景点间道路已修通，以及游步道。游客服务中心和小门禁设停车场。</w:t>
            </w:r>
          </w:p>
          <w:p>
            <w:pPr>
              <w:numPr>
                <w:ilvl w:val="0"/>
                <w:numId w:val="0"/>
              </w:numPr>
              <w:bidi w:val="0"/>
              <w:ind w:left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（2）供电现状</w:t>
            </w:r>
          </w:p>
          <w:p>
            <w:pPr>
              <w:numPr>
                <w:ilvl w:val="0"/>
                <w:numId w:val="0"/>
              </w:numPr>
              <w:bidi w:val="0"/>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sz w:val="24"/>
                <w:szCs w:val="24"/>
                <w:lang w:val="en-US" w:eastAsia="zh-CN"/>
              </w:rPr>
              <w:t>景区用电由G30果赛高速35kv变接入口引出输变线至景区管委会变电站，采用埋地电缆，</w:t>
            </w:r>
            <w:r>
              <w:rPr>
                <w:rFonts w:hint="eastAsia" w:ascii="Times New Roman" w:hAnsi="Times New Roman" w:eastAsia="宋体" w:cs="Times New Roman"/>
                <w:color w:val="auto"/>
                <w:lang w:val="en-US" w:eastAsia="zh-CN"/>
              </w:rPr>
              <w:t>从管委会输变电站分别引出10kv线配置到各主要功能区节点。内口游客集散服务中心和旅游小景区域，就近选择接入口设置10KV电压等级变电站。</w:t>
            </w:r>
          </w:p>
          <w:p>
            <w:pPr>
              <w:numPr>
                <w:ilvl w:val="0"/>
                <w:numId w:val="0"/>
              </w:numPr>
              <w:bidi w:val="0"/>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（3）供水现状</w:t>
            </w:r>
          </w:p>
          <w:p>
            <w:pPr>
              <w:numPr>
                <w:ilvl w:val="0"/>
                <w:numId w:val="0"/>
              </w:numPr>
              <w:bidi w:val="0"/>
              <w:ind w:firstLine="480" w:firstLineChars="200"/>
              <w:rPr>
                <w:rFonts w:hint="eastAsia" w:hAnsi="宋体" w:eastAsia="宋体" w:cs="Times New Roman"/>
                <w:szCs w:val="24"/>
                <w:lang w:eastAsia="zh-CN"/>
              </w:rPr>
            </w:pPr>
            <w:r>
              <w:rPr>
                <w:rFonts w:hint="eastAsia" w:ascii="Times New Roman" w:hAnsi="Times New Roman" w:eastAsia="宋体" w:cs="Times New Roman"/>
                <w:color w:val="auto"/>
                <w:lang w:val="en-US" w:eastAsia="zh-CN"/>
              </w:rPr>
              <w:t>景区给水管接入点由游客服务</w:t>
            </w:r>
            <w:r>
              <w:rPr>
                <w:rFonts w:hint="eastAsia" w:ascii="Times New Roman" w:hAnsi="Times New Roman" w:eastAsia="宋体" w:cs="Times New Roman"/>
                <w:color w:val="auto"/>
                <w:sz w:val="24"/>
                <w:szCs w:val="24"/>
                <w:lang w:val="en-US" w:eastAsia="zh-CN"/>
              </w:rPr>
              <w:t>中心处市政给水管接入，</w:t>
            </w:r>
            <w:r>
              <w:rPr>
                <w:rFonts w:hint="eastAsia" w:hAnsi="宋体" w:eastAsia="宋体" w:cs="Times New Roman"/>
                <w:szCs w:val="24"/>
              </w:rPr>
              <w:t>松树头主游客服务中心处现状取水来自景区现有的地下水自流泉</w:t>
            </w:r>
            <w:r>
              <w:rPr>
                <w:rFonts w:hint="eastAsia" w:hAnsi="宋体" w:eastAsia="宋体" w:cs="Times New Roman"/>
                <w:szCs w:val="24"/>
                <w:lang w:eastAsia="zh-CN"/>
              </w:rPr>
              <w:t>。</w:t>
            </w:r>
          </w:p>
          <w:p>
            <w:pPr>
              <w:numPr>
                <w:ilvl w:val="0"/>
                <w:numId w:val="0"/>
              </w:numPr>
              <w:bidi w:val="0"/>
              <w:ind w:firstLine="480" w:firstLineChars="200"/>
              <w:rPr>
                <w:rFonts w:hint="eastAsia" w:ascii="Times New Roman" w:hAnsi="宋体" w:eastAsia="宋体" w:cs="Times New Roman"/>
                <w:szCs w:val="24"/>
                <w:lang w:val="en-US" w:eastAsia="zh-CN"/>
              </w:rPr>
            </w:pPr>
            <w:r>
              <w:rPr>
                <w:rFonts w:hint="eastAsia" w:hAnsi="宋体" w:eastAsia="宋体" w:cs="Times New Roman"/>
                <w:szCs w:val="24"/>
                <w:lang w:eastAsia="zh-CN"/>
              </w:rPr>
              <w:t>（</w:t>
            </w:r>
            <w:r>
              <w:rPr>
                <w:rFonts w:hint="eastAsia" w:hAnsi="宋体" w:eastAsia="宋体" w:cs="Times New Roman"/>
                <w:szCs w:val="24"/>
                <w:lang w:val="en-US" w:eastAsia="zh-CN"/>
              </w:rPr>
              <w:t>4</w:t>
            </w:r>
            <w:r>
              <w:rPr>
                <w:rFonts w:hint="eastAsia" w:hAnsi="宋体" w:eastAsia="宋体" w:cs="Times New Roman"/>
                <w:szCs w:val="24"/>
                <w:lang w:eastAsia="zh-CN"/>
              </w:rPr>
              <w:t>）</w:t>
            </w:r>
            <w:r>
              <w:rPr>
                <w:rFonts w:hint="eastAsia" w:hAnsi="宋体" w:eastAsia="宋体" w:cs="Times New Roman"/>
                <w:szCs w:val="24"/>
                <w:lang w:val="en-US" w:eastAsia="zh-CN"/>
              </w:rPr>
              <w:t>排水</w:t>
            </w:r>
            <w:r>
              <w:rPr>
                <w:rFonts w:hint="eastAsia" w:ascii="Times New Roman" w:hAnsi="宋体" w:eastAsia="宋体" w:cs="Times New Roman"/>
                <w:szCs w:val="24"/>
                <w:lang w:val="en-US" w:eastAsia="zh-CN"/>
              </w:rPr>
              <w:t>现状</w:t>
            </w:r>
          </w:p>
          <w:p>
            <w:pPr>
              <w:numPr>
                <w:ilvl w:val="0"/>
                <w:numId w:val="0"/>
              </w:numPr>
              <w:bidi w:val="0"/>
              <w:ind w:firstLine="480" w:firstLineChars="200"/>
              <w:rPr>
                <w:rFonts w:hint="eastAsia" w:ascii="Times New Roman" w:hAnsi="Times New Roman" w:eastAsia="宋体" w:cs="Times New Roman"/>
                <w:kern w:val="0"/>
                <w:szCs w:val="24"/>
                <w:lang w:eastAsia="zh-CN"/>
              </w:rPr>
            </w:pPr>
            <w:r>
              <w:rPr>
                <w:rFonts w:hint="eastAsia" w:ascii="Times New Roman" w:hAnsi="宋体" w:eastAsia="宋体" w:cs="Times New Roman"/>
                <w:szCs w:val="24"/>
                <w:lang w:val="en-US" w:eastAsia="zh-CN"/>
              </w:rPr>
              <w:t>景区内采用清污分流排水系统，雨水的排放结合场地地形，用管道或暗渠收集后向附近溪流排放；生活</w:t>
            </w:r>
            <w:r>
              <w:rPr>
                <w:rFonts w:hint="eastAsia"/>
                <w:kern w:val="0"/>
                <w:szCs w:val="24"/>
              </w:rPr>
              <w:t>污水通过建设的污水管线汇集后，排入地埋式一体化污水处理系统处理</w:t>
            </w:r>
            <w:r>
              <w:rPr>
                <w:rFonts w:hint="eastAsia"/>
                <w:kern w:val="0"/>
                <w:szCs w:val="24"/>
                <w:lang w:eastAsia="zh-CN"/>
              </w:rPr>
              <w:t>，</w:t>
            </w:r>
            <w:r>
              <w:rPr>
                <w:rFonts w:hint="eastAsia"/>
                <w:kern w:val="0"/>
                <w:szCs w:val="24"/>
              </w:rPr>
              <w:t>游客分散区设置环保公厕，定期拉运至地埋式一体化污水处理设施处</w:t>
            </w:r>
            <w:r>
              <w:rPr>
                <w:rFonts w:hint="eastAsia" w:ascii="Times New Roman" w:hAnsi="Times New Roman" w:eastAsia="宋体" w:cs="Times New Roman"/>
                <w:kern w:val="0"/>
                <w:szCs w:val="24"/>
              </w:rPr>
              <w:t>理，</w:t>
            </w:r>
            <w:r>
              <w:rPr>
                <w:rFonts w:hint="eastAsia" w:ascii="Times New Roman" w:hAnsi="Times New Roman" w:eastAsia="宋体" w:cs="Times New Roman"/>
                <w:kern w:val="0"/>
                <w:szCs w:val="24"/>
                <w:lang w:val="en-US" w:eastAsia="zh-CN"/>
              </w:rPr>
              <w:t>处理后</w:t>
            </w:r>
            <w:r>
              <w:rPr>
                <w:rFonts w:hint="eastAsia" w:ascii="Times New Roman" w:hAnsi="Times New Roman" w:eastAsia="宋体" w:cs="Times New Roman"/>
                <w:kern w:val="0"/>
                <w:szCs w:val="24"/>
              </w:rPr>
              <w:t>定期拉运</w:t>
            </w:r>
            <w:r>
              <w:rPr>
                <w:rFonts w:hint="eastAsia" w:ascii="Times New Roman" w:hAnsi="Times New Roman" w:eastAsia="宋体" w:cs="Times New Roman"/>
                <w:kern w:val="0"/>
                <w:szCs w:val="24"/>
                <w:lang w:val="en-US" w:eastAsia="zh-CN"/>
              </w:rPr>
              <w:t>出</w:t>
            </w:r>
            <w:r>
              <w:rPr>
                <w:rFonts w:hint="eastAsia" w:ascii="Times New Roman" w:hAnsi="Times New Roman" w:eastAsia="宋体" w:cs="Times New Roman"/>
                <w:kern w:val="0"/>
                <w:szCs w:val="24"/>
              </w:rPr>
              <w:t>景区</w:t>
            </w:r>
            <w:r>
              <w:rPr>
                <w:rFonts w:hint="eastAsia" w:ascii="Times New Roman" w:hAnsi="Times New Roman" w:eastAsia="宋体" w:cs="Times New Roman"/>
                <w:kern w:val="0"/>
                <w:szCs w:val="24"/>
                <w:lang w:eastAsia="zh-CN"/>
              </w:rPr>
              <w:t>。</w:t>
            </w:r>
          </w:p>
          <w:p>
            <w:pPr>
              <w:numPr>
                <w:ilvl w:val="0"/>
                <w:numId w:val="0"/>
              </w:numPr>
              <w:bidi w:val="0"/>
              <w:ind w:firstLine="480" w:firstLineChars="200"/>
              <w:rPr>
                <w:rFonts w:hint="eastAsia" w:ascii="Times New Roman" w:hAnsi="Times New Roman" w:eastAsia="宋体" w:cs="Times New Roman"/>
                <w:kern w:val="0"/>
                <w:szCs w:val="24"/>
                <w:lang w:val="en-US" w:eastAsia="zh-CN"/>
              </w:rPr>
            </w:pPr>
            <w:r>
              <w:rPr>
                <w:rFonts w:hint="eastAsia" w:ascii="Times New Roman" w:hAnsi="Times New Roman" w:eastAsia="宋体" w:cs="Times New Roman"/>
                <w:kern w:val="0"/>
                <w:szCs w:val="24"/>
                <w:lang w:val="en-US" w:eastAsia="zh-CN"/>
              </w:rPr>
              <w:t xml:space="preserve"> </w:t>
            </w:r>
            <w:r>
              <w:rPr>
                <w:rFonts w:hint="eastAsia" w:ascii="Times New Roman" w:hAnsi="Times New Roman" w:eastAsia="宋体" w:cs="Times New Roman"/>
                <w:kern w:val="0"/>
                <w:szCs w:val="24"/>
                <w:lang w:eastAsia="zh-CN"/>
              </w:rPr>
              <w:t>（</w:t>
            </w:r>
            <w:r>
              <w:rPr>
                <w:rFonts w:hint="eastAsia" w:ascii="Times New Roman" w:hAnsi="Times New Roman" w:eastAsia="宋体" w:cs="Times New Roman"/>
                <w:kern w:val="0"/>
                <w:szCs w:val="24"/>
                <w:lang w:val="en-US" w:eastAsia="zh-CN"/>
              </w:rPr>
              <w:t>5</w:t>
            </w:r>
            <w:r>
              <w:rPr>
                <w:rFonts w:hint="eastAsia" w:ascii="Times New Roman" w:hAnsi="Times New Roman" w:eastAsia="宋体" w:cs="Times New Roman"/>
                <w:kern w:val="0"/>
                <w:szCs w:val="24"/>
                <w:lang w:eastAsia="zh-CN"/>
              </w:rPr>
              <w:t>）</w:t>
            </w:r>
            <w:r>
              <w:rPr>
                <w:rFonts w:hint="eastAsia" w:ascii="Times New Roman" w:hAnsi="Times New Roman" w:eastAsia="宋体" w:cs="Times New Roman"/>
                <w:kern w:val="0"/>
                <w:szCs w:val="24"/>
                <w:lang w:val="en-US" w:eastAsia="zh-CN"/>
              </w:rPr>
              <w:t>固废收集处理现状</w:t>
            </w:r>
          </w:p>
          <w:p>
            <w:pPr>
              <w:numPr>
                <w:ilvl w:val="0"/>
                <w:numId w:val="0"/>
              </w:numPr>
              <w:bidi w:val="0"/>
              <w:ind w:firstLine="480" w:firstLineChars="200"/>
              <w:rPr>
                <w:rFonts w:hint="eastAsia" w:ascii="Times New Roman" w:hAnsi="Times New Roman" w:eastAsia="宋体" w:cs="Times New Roman"/>
                <w:kern w:val="0"/>
                <w:szCs w:val="24"/>
                <w:lang w:val="en-US" w:eastAsia="zh-CN"/>
              </w:rPr>
            </w:pPr>
            <w:r>
              <w:rPr>
                <w:rFonts w:hint="eastAsia" w:ascii="Times New Roman" w:hAnsi="Times New Roman" w:eastAsia="宋体" w:cs="Times New Roman"/>
                <w:kern w:val="0"/>
                <w:szCs w:val="24"/>
                <w:lang w:val="en-US" w:eastAsia="zh-CN"/>
              </w:rPr>
              <w:t>已在</w:t>
            </w:r>
            <w:r>
              <w:rPr>
                <w:rFonts w:hint="eastAsia" w:ascii="Times New Roman" w:hAnsi="Times New Roman" w:eastAsia="宋体" w:cs="Times New Roman"/>
                <w:kern w:val="0"/>
                <w:szCs w:val="24"/>
              </w:rPr>
              <w:t>各景点</w:t>
            </w:r>
            <w:r>
              <w:rPr>
                <w:rFonts w:hint="eastAsia" w:ascii="Times New Roman" w:hAnsi="Times New Roman" w:eastAsia="宋体" w:cs="Times New Roman"/>
                <w:kern w:val="0"/>
                <w:szCs w:val="24"/>
                <w:lang w:val="en-US" w:eastAsia="zh-CN"/>
              </w:rPr>
              <w:t>设置</w:t>
            </w:r>
            <w:r>
              <w:rPr>
                <w:rFonts w:hint="eastAsia"/>
              </w:rPr>
              <w:t>移动式垃圾分类收集桶，由</w:t>
            </w:r>
            <w:r>
              <w:rPr>
                <w:rFonts w:hint="eastAsia"/>
                <w:lang w:val="en-US" w:eastAsia="zh-CN"/>
              </w:rPr>
              <w:t>景区</w:t>
            </w:r>
            <w:r>
              <w:rPr>
                <w:rFonts w:hint="eastAsia"/>
              </w:rPr>
              <w:t>环卫部门定期清运至</w:t>
            </w:r>
            <w:r>
              <w:rPr>
                <w:rFonts w:hint="eastAsia"/>
                <w:color w:val="000000" w:themeColor="text1"/>
                <w14:textFill>
                  <w14:solidFill>
                    <w14:schemeClr w14:val="tx1"/>
                  </w14:solidFill>
                </w14:textFill>
              </w:rPr>
              <w:t>霍尔果斯经济开发区清水河配套园区</w:t>
            </w:r>
            <w:r>
              <w:rPr>
                <w:rFonts w:hint="eastAsia"/>
              </w:rPr>
              <w:t>垃圾填埋场处理</w:t>
            </w:r>
            <w:r>
              <w:rPr>
                <w:rFonts w:hint="eastAsia"/>
                <w:lang w:eastAsia="zh-CN"/>
              </w:rPr>
              <w:t>。</w:t>
            </w:r>
          </w:p>
          <w:p>
            <w:pPr>
              <w:pStyle w:val="2"/>
              <w:jc w:val="both"/>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2项目组成及规模</w:t>
            </w:r>
          </w:p>
          <w:p>
            <w:pPr>
              <w:bidi w:val="0"/>
              <w:rPr>
                <w:rFonts w:hint="default"/>
                <w:color w:val="auto"/>
              </w:rPr>
            </w:pPr>
            <w:r>
              <w:rPr>
                <w:rFonts w:hint="default"/>
                <w:color w:val="auto"/>
              </w:rPr>
              <w:t>本项目主要建设内容为：</w:t>
            </w:r>
          </w:p>
          <w:p>
            <w:pPr>
              <w:bidi w:val="0"/>
              <w:rPr>
                <w:rFonts w:hint="default"/>
                <w:color w:val="auto"/>
              </w:rPr>
            </w:pPr>
            <w:r>
              <w:rPr>
                <w:rFonts w:hint="default" w:ascii="Times New Roman" w:hAnsi="Times New Roman" w:eastAsia="宋体" w:cs="Times New Roman"/>
                <w:b w:val="0"/>
                <w:color w:val="auto"/>
                <w:kern w:val="2"/>
                <w:sz w:val="24"/>
                <w:szCs w:val="24"/>
                <w:lang w:val="en-US" w:eastAsia="zh-CN" w:bidi="ar-SA"/>
              </w:rPr>
              <w:t>本项</w:t>
            </w:r>
            <w:r>
              <w:rPr>
                <w:rFonts w:hint="default"/>
                <w:color w:val="auto"/>
              </w:rPr>
              <w:t>目</w:t>
            </w:r>
            <w:r>
              <w:rPr>
                <w:rFonts w:hint="eastAsia"/>
                <w:color w:val="auto"/>
                <w:lang w:val="en-US" w:eastAsia="zh-CN"/>
              </w:rPr>
              <w:t>总占地面积412.95亩，总建筑面积13100m</w:t>
            </w:r>
            <w:r>
              <w:rPr>
                <w:rFonts w:hint="eastAsia"/>
                <w:color w:val="auto"/>
                <w:vertAlign w:val="superscript"/>
                <w:lang w:val="en-US" w:eastAsia="zh-CN"/>
              </w:rPr>
              <w:t>2</w:t>
            </w:r>
            <w:r>
              <w:rPr>
                <w:rFonts w:hint="eastAsia"/>
                <w:color w:val="auto"/>
                <w:lang w:val="en-US" w:eastAsia="zh-CN"/>
              </w:rPr>
              <w:t>，配套建设机动车停车位1800个、配建区间车位70个。</w:t>
            </w:r>
            <w:r>
              <w:rPr>
                <w:rFonts w:hint="default"/>
                <w:color w:val="auto"/>
              </w:rPr>
              <w:t>主要建设</w:t>
            </w:r>
            <w:r>
              <w:rPr>
                <w:rFonts w:hint="eastAsia"/>
                <w:color w:val="auto"/>
                <w:lang w:val="en-US" w:eastAsia="zh-CN"/>
              </w:rPr>
              <w:t>规模及</w:t>
            </w:r>
            <w:r>
              <w:rPr>
                <w:rFonts w:hint="default"/>
                <w:color w:val="auto"/>
              </w:rPr>
              <w:t>内容为：</w:t>
            </w:r>
          </w:p>
          <w:p>
            <w:pPr>
              <w:bidi w:val="0"/>
              <w:rPr>
                <w:rFonts w:hint="default"/>
                <w:color w:val="auto"/>
                <w:highlight w:val="none"/>
              </w:rPr>
            </w:pPr>
            <w:r>
              <w:rPr>
                <w:rFonts w:hint="default"/>
                <w:color w:val="auto"/>
              </w:rPr>
              <w:t>①游服地块</w:t>
            </w:r>
            <w:r>
              <w:rPr>
                <w:rFonts w:hint="eastAsia"/>
                <w:color w:val="auto"/>
                <w:lang w:eastAsia="zh-CN"/>
              </w:rPr>
              <w:t>：</w:t>
            </w:r>
            <w:r>
              <w:rPr>
                <w:rFonts w:hint="eastAsia"/>
                <w:color w:val="auto"/>
                <w:lang w:val="en-US" w:eastAsia="zh-CN"/>
              </w:rPr>
              <w:t>占地面积13.67hm</w:t>
            </w:r>
            <w:r>
              <w:rPr>
                <w:rFonts w:hint="eastAsia"/>
                <w:color w:val="auto"/>
                <w:vertAlign w:val="superscript"/>
                <w:lang w:val="en-US" w:eastAsia="zh-CN"/>
              </w:rPr>
              <w:t>2</w:t>
            </w:r>
            <w:r>
              <w:rPr>
                <w:rFonts w:hint="eastAsia"/>
                <w:color w:val="auto"/>
                <w:lang w:val="en-US" w:eastAsia="zh-CN"/>
              </w:rPr>
              <w:t>，</w:t>
            </w:r>
            <w:r>
              <w:rPr>
                <w:rFonts w:hint="default"/>
                <w:color w:val="auto"/>
              </w:rPr>
              <w:t>新建游客服务中心及构筑物、</w:t>
            </w:r>
            <w:r>
              <w:rPr>
                <w:rFonts w:hint="eastAsia"/>
                <w:color w:val="auto"/>
                <w:lang w:val="en-US" w:eastAsia="zh-CN"/>
              </w:rPr>
              <w:t>停车场及</w:t>
            </w:r>
            <w:r>
              <w:rPr>
                <w:rFonts w:hint="default"/>
                <w:color w:val="auto"/>
              </w:rPr>
              <w:t>景观等；</w:t>
            </w:r>
          </w:p>
          <w:p>
            <w:pPr>
              <w:bidi w:val="0"/>
              <w:rPr>
                <w:rFonts w:hint="default"/>
                <w:color w:val="auto"/>
              </w:rPr>
            </w:pPr>
            <w:r>
              <w:rPr>
                <w:rFonts w:hint="default"/>
                <w:color w:val="auto"/>
                <w:highlight w:val="none"/>
              </w:rPr>
              <w:t>②金顶地块</w:t>
            </w:r>
            <w:r>
              <w:rPr>
                <w:rFonts w:hint="eastAsia"/>
                <w:color w:val="auto"/>
                <w:highlight w:val="none"/>
                <w:lang w:eastAsia="zh-CN"/>
              </w:rPr>
              <w:t>：</w:t>
            </w:r>
            <w:r>
              <w:rPr>
                <w:rFonts w:hint="eastAsia"/>
                <w:color w:val="auto"/>
                <w:highlight w:val="none"/>
                <w:lang w:val="en-US" w:eastAsia="zh-CN"/>
              </w:rPr>
              <w:t>占地面积6.63hm</w:t>
            </w:r>
            <w:r>
              <w:rPr>
                <w:rFonts w:hint="eastAsia"/>
                <w:color w:val="auto"/>
                <w:highlight w:val="none"/>
                <w:vertAlign w:val="superscript"/>
                <w:lang w:val="en-US" w:eastAsia="zh-CN"/>
              </w:rPr>
              <w:t>2</w:t>
            </w:r>
            <w:r>
              <w:rPr>
                <w:rFonts w:hint="eastAsia"/>
                <w:color w:val="auto"/>
                <w:highlight w:val="none"/>
                <w:lang w:val="en-US" w:eastAsia="zh-CN"/>
              </w:rPr>
              <w:t>，</w:t>
            </w:r>
            <w:r>
              <w:rPr>
                <w:rFonts w:hint="default"/>
                <w:color w:val="auto"/>
              </w:rPr>
              <w:t>新建景点、商业</w:t>
            </w:r>
            <w:r>
              <w:rPr>
                <w:rFonts w:hint="eastAsia"/>
                <w:color w:val="auto"/>
                <w:lang w:eastAsia="zh-CN"/>
              </w:rPr>
              <w:t>、</w:t>
            </w:r>
            <w:r>
              <w:rPr>
                <w:rFonts w:hint="default"/>
                <w:color w:val="auto"/>
              </w:rPr>
              <w:t>缆车</w:t>
            </w:r>
            <w:r>
              <w:rPr>
                <w:rFonts w:hint="eastAsia"/>
                <w:color w:val="auto"/>
                <w:lang w:val="en-US" w:eastAsia="zh-CN"/>
              </w:rPr>
              <w:t>上</w:t>
            </w:r>
            <w:r>
              <w:rPr>
                <w:rFonts w:hint="default"/>
                <w:color w:val="auto"/>
              </w:rPr>
              <w:t>站点及游客服务设施及构筑物、景观等；</w:t>
            </w:r>
          </w:p>
          <w:p>
            <w:pPr>
              <w:bidi w:val="0"/>
              <w:rPr>
                <w:rFonts w:hint="default"/>
                <w:color w:val="auto"/>
              </w:rPr>
            </w:pPr>
            <w:r>
              <w:rPr>
                <w:rFonts w:hint="default"/>
                <w:color w:val="auto"/>
              </w:rPr>
              <w:t>③G地块</w:t>
            </w:r>
            <w:r>
              <w:rPr>
                <w:rFonts w:hint="eastAsia"/>
                <w:color w:val="auto"/>
                <w:lang w:eastAsia="zh-CN"/>
              </w:rPr>
              <w:t>：</w:t>
            </w:r>
            <w:r>
              <w:rPr>
                <w:rFonts w:hint="eastAsia"/>
                <w:color w:val="auto"/>
                <w:lang w:val="en-US" w:eastAsia="zh-CN"/>
              </w:rPr>
              <w:t>占地面积3.06hm</w:t>
            </w:r>
            <w:r>
              <w:rPr>
                <w:rFonts w:hint="eastAsia"/>
                <w:color w:val="auto"/>
                <w:vertAlign w:val="superscript"/>
                <w:lang w:val="en-US" w:eastAsia="zh-CN"/>
              </w:rPr>
              <w:t>2</w:t>
            </w:r>
            <w:r>
              <w:rPr>
                <w:rFonts w:hint="eastAsia"/>
                <w:color w:val="auto"/>
                <w:lang w:val="en-US" w:eastAsia="zh-CN"/>
              </w:rPr>
              <w:t>，</w:t>
            </w:r>
            <w:r>
              <w:rPr>
                <w:rFonts w:hint="default"/>
                <w:color w:val="auto"/>
              </w:rPr>
              <w:t>新建商业、游客服务设施及构筑物、景观等；</w:t>
            </w:r>
          </w:p>
          <w:p>
            <w:pPr>
              <w:bidi w:val="0"/>
              <w:rPr>
                <w:rFonts w:hint="default"/>
                <w:color w:val="auto"/>
              </w:rPr>
            </w:pPr>
            <w:r>
              <w:rPr>
                <w:rFonts w:hint="default"/>
                <w:color w:val="auto"/>
              </w:rPr>
              <w:t>④D地块</w:t>
            </w:r>
            <w:r>
              <w:rPr>
                <w:rFonts w:hint="eastAsia"/>
                <w:color w:val="auto"/>
                <w:lang w:eastAsia="zh-CN"/>
              </w:rPr>
              <w:t>：</w:t>
            </w:r>
            <w:r>
              <w:rPr>
                <w:rFonts w:hint="eastAsia"/>
                <w:color w:val="auto"/>
                <w:lang w:val="en-US" w:eastAsia="zh-CN"/>
              </w:rPr>
              <w:t>占地面积1.72hm</w:t>
            </w:r>
            <w:r>
              <w:rPr>
                <w:rFonts w:hint="eastAsia"/>
                <w:color w:val="auto"/>
                <w:vertAlign w:val="superscript"/>
                <w:lang w:val="en-US" w:eastAsia="zh-CN"/>
              </w:rPr>
              <w:t>2</w:t>
            </w:r>
            <w:r>
              <w:rPr>
                <w:rFonts w:hint="eastAsia"/>
                <w:color w:val="auto"/>
                <w:lang w:val="en-US" w:eastAsia="zh-CN"/>
              </w:rPr>
              <w:t>，</w:t>
            </w:r>
            <w:r>
              <w:rPr>
                <w:rFonts w:hint="default"/>
                <w:color w:val="auto"/>
              </w:rPr>
              <w:t>新建景点、商业、游客服务设施及构筑物、景观等；</w:t>
            </w:r>
          </w:p>
          <w:p>
            <w:pPr>
              <w:bidi w:val="0"/>
              <w:rPr>
                <w:rFonts w:hint="default"/>
                <w:color w:val="auto"/>
              </w:rPr>
            </w:pPr>
            <w:r>
              <w:rPr>
                <w:rFonts w:hint="eastAsia"/>
                <w:color w:val="auto"/>
                <w:lang w:val="en-US" w:eastAsia="zh-CN"/>
              </w:rPr>
              <w:t>索道工程为</w:t>
            </w:r>
            <w:r>
              <w:rPr>
                <w:rFonts w:hint="default"/>
                <w:color w:val="auto"/>
              </w:rPr>
              <w:t>上、下站房土建工程、索道工程（单线循环脱挂抱索器八人吊厢索道形式）及相关附属设施，包括供电及变配电设备、检修和维修设备、机电设备、线路支架安装工程以及站内照明、广播、通讯及环保工程等。</w:t>
            </w:r>
          </w:p>
          <w:p>
            <w:pPr>
              <w:bidi w:val="0"/>
              <w:rPr>
                <w:rFonts w:hint="default"/>
                <w:color w:val="auto"/>
              </w:rPr>
            </w:pPr>
            <w:r>
              <w:rPr>
                <w:rFonts w:hint="default"/>
                <w:color w:val="auto"/>
              </w:rPr>
              <w:t>项目工程组成一览表见表2-1。</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rPr>
            </w:pPr>
            <w:r>
              <w:rPr>
                <w:rFonts w:hint="default"/>
                <w:color w:val="auto"/>
                <w:sz w:val="24"/>
                <w:szCs w:val="24"/>
              </w:rPr>
              <w:t>表</w:t>
            </w:r>
            <w:r>
              <w:rPr>
                <w:rFonts w:hint="eastAsia"/>
                <w:color w:val="auto"/>
                <w:sz w:val="24"/>
                <w:szCs w:val="24"/>
                <w:lang w:val="en-US" w:eastAsia="zh-CN"/>
              </w:rPr>
              <w:t>2</w:t>
            </w:r>
            <w:r>
              <w:rPr>
                <w:rFonts w:hint="default"/>
                <w:color w:val="auto"/>
                <w:sz w:val="24"/>
                <w:szCs w:val="24"/>
              </w:rPr>
              <w:t>-1</w:t>
            </w:r>
            <w:r>
              <w:rPr>
                <w:rFonts w:hint="eastAsia"/>
                <w:color w:val="auto"/>
                <w:sz w:val="24"/>
                <w:szCs w:val="24"/>
                <w:lang w:val="en-US" w:eastAsia="zh-CN"/>
              </w:rPr>
              <w:t xml:space="preserve">  </w:t>
            </w:r>
            <w:r>
              <w:rPr>
                <w:rFonts w:hint="default"/>
                <w:color w:val="auto"/>
                <w:sz w:val="24"/>
                <w:szCs w:val="24"/>
              </w:rPr>
              <w:t>项目工程组成一览表</w:t>
            </w:r>
          </w:p>
          <w:tbl>
            <w:tblPr>
              <w:tblStyle w:val="1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695"/>
              <w:gridCol w:w="61"/>
              <w:gridCol w:w="1317"/>
              <w:gridCol w:w="51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tcBorders>
                    <w:tl2br w:val="nil"/>
                    <w:tr2bl w:val="nil"/>
                  </w:tcBorders>
                  <w:vAlign w:val="center"/>
                </w:tcPr>
                <w:p>
                  <w:pPr>
                    <w:pStyle w:val="17"/>
                    <w:bidi w:val="0"/>
                    <w:rPr>
                      <w:rFonts w:hint="default"/>
                      <w:color w:val="auto"/>
                    </w:rPr>
                  </w:pPr>
                  <w:r>
                    <w:rPr>
                      <w:rFonts w:hint="default"/>
                      <w:color w:val="auto"/>
                    </w:rPr>
                    <w:t>工程类型</w:t>
                  </w:r>
                </w:p>
              </w:tc>
              <w:tc>
                <w:tcPr>
                  <w:tcW w:w="2073" w:type="dxa"/>
                  <w:gridSpan w:val="3"/>
                  <w:tcBorders>
                    <w:tl2br w:val="nil"/>
                    <w:tr2bl w:val="nil"/>
                  </w:tcBorders>
                  <w:vAlign w:val="center"/>
                </w:tcPr>
                <w:p>
                  <w:pPr>
                    <w:pStyle w:val="17"/>
                    <w:bidi w:val="0"/>
                    <w:rPr>
                      <w:rFonts w:hint="eastAsia"/>
                      <w:color w:val="auto"/>
                      <w:lang w:val="en-US" w:eastAsia="zh-CN"/>
                    </w:rPr>
                  </w:pPr>
                  <w:r>
                    <w:rPr>
                      <w:rFonts w:hint="eastAsia"/>
                      <w:color w:val="auto"/>
                      <w:lang w:val="en-US" w:eastAsia="zh-CN"/>
                    </w:rPr>
                    <w:t>名称</w:t>
                  </w:r>
                </w:p>
              </w:tc>
              <w:tc>
                <w:tcPr>
                  <w:tcW w:w="5122" w:type="dxa"/>
                  <w:tcBorders>
                    <w:tl2br w:val="nil"/>
                    <w:tr2bl w:val="nil"/>
                  </w:tcBorders>
                  <w:vAlign w:val="center"/>
                </w:tcPr>
                <w:p>
                  <w:pPr>
                    <w:pStyle w:val="17"/>
                    <w:bidi w:val="0"/>
                    <w:rPr>
                      <w:rFonts w:hint="default"/>
                      <w:color w:val="auto"/>
                    </w:rPr>
                  </w:pPr>
                  <w:r>
                    <w:rPr>
                      <w:rFonts w:hint="default"/>
                      <w:color w:val="auto"/>
                    </w:rPr>
                    <w:t>工程内容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restart"/>
                  <w:tcBorders>
                    <w:tl2br w:val="nil"/>
                    <w:tr2bl w:val="nil"/>
                  </w:tcBorders>
                  <w:vAlign w:val="center"/>
                </w:tcPr>
                <w:p>
                  <w:pPr>
                    <w:pStyle w:val="17"/>
                    <w:bidi w:val="0"/>
                    <w:rPr>
                      <w:rFonts w:hint="default"/>
                      <w:color w:val="auto"/>
                    </w:rPr>
                  </w:pPr>
                  <w:r>
                    <w:rPr>
                      <w:rFonts w:hint="default"/>
                      <w:color w:val="auto"/>
                    </w:rPr>
                    <w:t>主体工程</w:t>
                  </w:r>
                </w:p>
              </w:tc>
              <w:tc>
                <w:tcPr>
                  <w:tcW w:w="695" w:type="dxa"/>
                  <w:vMerge w:val="restart"/>
                  <w:tcBorders>
                    <w:tl2br w:val="nil"/>
                    <w:tr2bl w:val="nil"/>
                  </w:tcBorders>
                  <w:vAlign w:val="center"/>
                </w:tcPr>
                <w:p>
                  <w:pPr>
                    <w:pStyle w:val="17"/>
                    <w:bidi w:val="0"/>
                    <w:rPr>
                      <w:rFonts w:hint="default"/>
                      <w:color w:val="auto"/>
                      <w:lang w:val="en-US" w:eastAsia="zh-CN"/>
                    </w:rPr>
                  </w:pPr>
                  <w:r>
                    <w:rPr>
                      <w:rFonts w:hint="eastAsia"/>
                      <w:color w:val="auto"/>
                      <w:lang w:val="en-US" w:eastAsia="zh-CN"/>
                    </w:rPr>
                    <w:t>游服地块</w:t>
                  </w:r>
                </w:p>
              </w:tc>
              <w:tc>
                <w:tcPr>
                  <w:tcW w:w="1378" w:type="dxa"/>
                  <w:gridSpan w:val="2"/>
                  <w:tcBorders>
                    <w:tl2br w:val="nil"/>
                    <w:tr2bl w:val="nil"/>
                  </w:tcBorders>
                  <w:vAlign w:val="center"/>
                </w:tcPr>
                <w:p>
                  <w:pPr>
                    <w:pStyle w:val="17"/>
                    <w:bidi w:val="0"/>
                    <w:ind w:firstLine="0" w:firstLineChars="0"/>
                    <w:rPr>
                      <w:rFonts w:hint="default"/>
                      <w:color w:val="auto"/>
                      <w:lang w:val="en-US" w:eastAsia="zh-CN"/>
                    </w:rPr>
                  </w:pPr>
                  <w:r>
                    <w:rPr>
                      <w:rFonts w:hint="eastAsia"/>
                      <w:color w:val="auto"/>
                      <w:lang w:val="en-US" w:eastAsia="zh-CN"/>
                    </w:rPr>
                    <w:t>游服中心及配套用房</w:t>
                  </w:r>
                </w:p>
              </w:tc>
              <w:tc>
                <w:tcPr>
                  <w:tcW w:w="5122" w:type="dxa"/>
                  <w:tcBorders>
                    <w:tl2br w:val="nil"/>
                    <w:tr2bl w:val="nil"/>
                  </w:tcBorders>
                  <w:vAlign w:val="center"/>
                </w:tcPr>
                <w:p>
                  <w:pPr>
                    <w:pStyle w:val="17"/>
                    <w:bidi w:val="0"/>
                    <w:rPr>
                      <w:rFonts w:hint="default" w:eastAsia="宋体"/>
                      <w:color w:val="auto"/>
                      <w:lang w:val="en-US" w:eastAsia="zh-CN"/>
                    </w:rPr>
                  </w:pPr>
                  <w:r>
                    <w:rPr>
                      <w:rFonts w:hint="eastAsia"/>
                      <w:color w:val="auto"/>
                      <w:lang w:val="en-US" w:eastAsia="zh-CN"/>
                    </w:rPr>
                    <w:t>新建游服中心1座，建筑面积3700m</w:t>
                  </w:r>
                  <w:r>
                    <w:rPr>
                      <w:rFonts w:hint="eastAsia"/>
                      <w:color w:val="auto"/>
                      <w:vertAlign w:val="superscript"/>
                      <w:lang w:val="en-US" w:eastAsia="zh-CN"/>
                    </w:rPr>
                    <w:t>2</w:t>
                  </w:r>
                  <w:r>
                    <w:rPr>
                      <w:rFonts w:hint="eastAsia"/>
                      <w:color w:val="auto"/>
                      <w:lang w:val="en-US" w:eastAsia="zh-CN"/>
                    </w:rPr>
                    <w:t>；配套用房1座，建筑面积700m</w:t>
                  </w:r>
                  <w:r>
                    <w:rPr>
                      <w:rFonts w:hint="eastAsia"/>
                      <w:color w:val="auto"/>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58" w:type="dxa"/>
                  <w:vMerge w:val="continue"/>
                  <w:tcBorders>
                    <w:tl2br w:val="nil"/>
                    <w:tr2bl w:val="nil"/>
                  </w:tcBorders>
                  <w:vAlign w:val="center"/>
                </w:tcPr>
                <w:p>
                  <w:pPr>
                    <w:pStyle w:val="17"/>
                    <w:bidi w:val="0"/>
                    <w:rPr>
                      <w:rFonts w:hint="default"/>
                      <w:color w:val="auto"/>
                    </w:rPr>
                  </w:pPr>
                </w:p>
              </w:tc>
              <w:tc>
                <w:tcPr>
                  <w:tcW w:w="695" w:type="dxa"/>
                  <w:vMerge w:val="continue"/>
                  <w:tcBorders>
                    <w:tl2br w:val="nil"/>
                    <w:tr2bl w:val="nil"/>
                  </w:tcBorders>
                  <w:vAlign w:val="center"/>
                </w:tcPr>
                <w:p>
                  <w:pPr>
                    <w:pStyle w:val="17"/>
                    <w:bidi w:val="0"/>
                    <w:rPr>
                      <w:rFonts w:hint="eastAsia"/>
                      <w:color w:val="auto"/>
                      <w:lang w:val="en-US" w:eastAsia="zh-CN"/>
                    </w:rPr>
                  </w:pPr>
                </w:p>
              </w:tc>
              <w:tc>
                <w:tcPr>
                  <w:tcW w:w="1378" w:type="dxa"/>
                  <w:gridSpan w:val="2"/>
                  <w:tcBorders>
                    <w:tl2br w:val="nil"/>
                    <w:tr2bl w:val="nil"/>
                  </w:tcBorders>
                  <w:vAlign w:val="center"/>
                </w:tcPr>
                <w:p>
                  <w:pPr>
                    <w:pStyle w:val="17"/>
                    <w:bidi w:val="0"/>
                    <w:ind w:firstLine="0" w:firstLineChars="0"/>
                    <w:rPr>
                      <w:rFonts w:hint="default"/>
                      <w:color w:val="auto"/>
                      <w:lang w:val="en-US" w:eastAsia="zh-CN"/>
                    </w:rPr>
                  </w:pPr>
                  <w:r>
                    <w:rPr>
                      <w:rFonts w:hint="eastAsia"/>
                      <w:color w:val="auto"/>
                      <w:lang w:val="en-US" w:eastAsia="zh-CN"/>
                    </w:rPr>
                    <w:t>停车场及室外景观</w:t>
                  </w:r>
                </w:p>
              </w:tc>
              <w:tc>
                <w:tcPr>
                  <w:tcW w:w="5122" w:type="dxa"/>
                  <w:tcBorders>
                    <w:tl2br w:val="nil"/>
                    <w:tr2bl w:val="nil"/>
                  </w:tcBorders>
                  <w:vAlign w:val="center"/>
                </w:tcPr>
                <w:p>
                  <w:pPr>
                    <w:pStyle w:val="17"/>
                    <w:bidi w:val="0"/>
                    <w:rPr>
                      <w:rFonts w:hint="default" w:eastAsia="宋体"/>
                      <w:color w:val="auto"/>
                      <w:lang w:val="en-US" w:eastAsia="zh-CN"/>
                    </w:rPr>
                  </w:pPr>
                  <w:r>
                    <w:rPr>
                      <w:rFonts w:hint="eastAsia"/>
                      <w:color w:val="auto"/>
                      <w:lang w:val="en-US" w:eastAsia="zh-CN"/>
                    </w:rPr>
                    <w:t>新建机动车停车位1000个、区间车站、室外绿化景观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658" w:type="dxa"/>
                  <w:vMerge w:val="continue"/>
                  <w:tcBorders>
                    <w:tl2br w:val="nil"/>
                    <w:tr2bl w:val="nil"/>
                  </w:tcBorders>
                  <w:vAlign w:val="center"/>
                </w:tcPr>
                <w:p>
                  <w:pPr>
                    <w:pStyle w:val="17"/>
                    <w:bidi w:val="0"/>
                    <w:rPr>
                      <w:rFonts w:hint="default"/>
                      <w:color w:val="auto"/>
                    </w:rPr>
                  </w:pPr>
                </w:p>
              </w:tc>
              <w:tc>
                <w:tcPr>
                  <w:tcW w:w="695" w:type="dxa"/>
                  <w:vMerge w:val="restart"/>
                  <w:tcBorders>
                    <w:tl2br w:val="nil"/>
                    <w:tr2bl w:val="nil"/>
                  </w:tcBorders>
                  <w:vAlign w:val="center"/>
                </w:tcPr>
                <w:p>
                  <w:pPr>
                    <w:pStyle w:val="17"/>
                    <w:bidi w:val="0"/>
                    <w:rPr>
                      <w:rFonts w:hint="default"/>
                      <w:color w:val="auto"/>
                      <w:lang w:val="en-US" w:eastAsia="zh-CN"/>
                    </w:rPr>
                  </w:pPr>
                  <w:r>
                    <w:rPr>
                      <w:rFonts w:hint="eastAsia"/>
                      <w:color w:val="auto"/>
                      <w:lang w:val="en-US" w:eastAsia="zh-CN"/>
                    </w:rPr>
                    <w:t>金顶地块</w:t>
                  </w:r>
                </w:p>
              </w:tc>
              <w:tc>
                <w:tcPr>
                  <w:tcW w:w="1378" w:type="dxa"/>
                  <w:gridSpan w:val="2"/>
                  <w:tcBorders>
                    <w:tl2br w:val="nil"/>
                    <w:tr2bl w:val="nil"/>
                  </w:tcBorders>
                  <w:vAlign w:val="center"/>
                </w:tcPr>
                <w:p>
                  <w:pPr>
                    <w:pStyle w:val="17"/>
                    <w:bidi w:val="0"/>
                    <w:ind w:firstLine="0" w:firstLineChars="0"/>
                    <w:rPr>
                      <w:rFonts w:hint="default"/>
                      <w:color w:val="auto"/>
                      <w:lang w:val="en-US" w:eastAsia="zh-CN"/>
                    </w:rPr>
                  </w:pPr>
                  <w:r>
                    <w:rPr>
                      <w:rFonts w:hint="eastAsia"/>
                      <w:color w:val="auto"/>
                      <w:lang w:val="en-US" w:eastAsia="zh-CN"/>
                    </w:rPr>
                    <w:t>景点</w:t>
                  </w:r>
                </w:p>
              </w:tc>
              <w:tc>
                <w:tcPr>
                  <w:tcW w:w="5122" w:type="dxa"/>
                  <w:tcBorders>
                    <w:tl2br w:val="nil"/>
                    <w:tr2bl w:val="nil"/>
                  </w:tcBorders>
                  <w:vAlign w:val="center"/>
                </w:tcPr>
                <w:p>
                  <w:pPr>
                    <w:pStyle w:val="17"/>
                    <w:bidi w:val="0"/>
                    <w:rPr>
                      <w:rFonts w:hint="default"/>
                      <w:color w:val="auto"/>
                      <w:lang w:val="en-US" w:eastAsia="zh-CN"/>
                    </w:rPr>
                  </w:pPr>
                  <w:r>
                    <w:rPr>
                      <w:rFonts w:hint="eastAsia"/>
                      <w:color w:val="auto"/>
                      <w:lang w:val="en-US" w:eastAsia="zh-CN"/>
                    </w:rPr>
                    <w:t>新建赛里木台、阿力麻里、艺术景观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rPr>
                      <w:rFonts w:hint="default"/>
                      <w:color w:val="auto"/>
                    </w:rPr>
                  </w:pPr>
                </w:p>
              </w:tc>
              <w:tc>
                <w:tcPr>
                  <w:tcW w:w="695" w:type="dxa"/>
                  <w:vMerge w:val="continue"/>
                  <w:tcBorders>
                    <w:tl2br w:val="nil"/>
                    <w:tr2bl w:val="nil"/>
                  </w:tcBorders>
                  <w:vAlign w:val="center"/>
                </w:tcPr>
                <w:p>
                  <w:pPr>
                    <w:pStyle w:val="17"/>
                    <w:bidi w:val="0"/>
                    <w:rPr>
                      <w:rFonts w:hint="eastAsia"/>
                      <w:color w:val="auto"/>
                      <w:lang w:val="en-US" w:eastAsia="zh-CN"/>
                    </w:rPr>
                  </w:pPr>
                </w:p>
              </w:tc>
              <w:tc>
                <w:tcPr>
                  <w:tcW w:w="1378" w:type="dxa"/>
                  <w:gridSpan w:val="2"/>
                  <w:tcBorders>
                    <w:tl2br w:val="nil"/>
                    <w:tr2bl w:val="nil"/>
                  </w:tcBorders>
                  <w:vAlign w:val="center"/>
                </w:tcPr>
                <w:p>
                  <w:pPr>
                    <w:pStyle w:val="17"/>
                    <w:bidi w:val="0"/>
                    <w:ind w:firstLine="0" w:firstLineChars="0"/>
                    <w:rPr>
                      <w:rFonts w:hint="default"/>
                      <w:color w:val="auto"/>
                      <w:lang w:val="en-US" w:eastAsia="zh-CN"/>
                    </w:rPr>
                  </w:pPr>
                  <w:r>
                    <w:rPr>
                      <w:rFonts w:hint="eastAsia"/>
                      <w:color w:val="auto"/>
                      <w:lang w:val="en-US" w:eastAsia="zh-CN"/>
                    </w:rPr>
                    <w:t>商业</w:t>
                  </w:r>
                </w:p>
              </w:tc>
              <w:tc>
                <w:tcPr>
                  <w:tcW w:w="5122" w:type="dxa"/>
                  <w:tcBorders>
                    <w:tl2br w:val="nil"/>
                    <w:tr2bl w:val="nil"/>
                  </w:tcBorders>
                  <w:vAlign w:val="center"/>
                </w:tcPr>
                <w:p>
                  <w:pPr>
                    <w:pStyle w:val="17"/>
                    <w:bidi w:val="0"/>
                    <w:rPr>
                      <w:rFonts w:hint="default"/>
                      <w:color w:val="auto"/>
                      <w:lang w:val="en-US" w:eastAsia="zh-CN"/>
                    </w:rPr>
                  </w:pPr>
                  <w:r>
                    <w:rPr>
                      <w:rFonts w:hint="eastAsia"/>
                      <w:color w:val="auto"/>
                      <w:lang w:val="en-US" w:eastAsia="zh-CN"/>
                    </w:rPr>
                    <w:t>新建百里镜空、山外春景点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658" w:type="dxa"/>
                  <w:vMerge w:val="continue"/>
                  <w:tcBorders>
                    <w:tl2br w:val="nil"/>
                    <w:tr2bl w:val="nil"/>
                  </w:tcBorders>
                  <w:vAlign w:val="center"/>
                </w:tcPr>
                <w:p>
                  <w:pPr>
                    <w:pStyle w:val="17"/>
                    <w:bidi w:val="0"/>
                    <w:rPr>
                      <w:rFonts w:hint="default"/>
                      <w:color w:val="auto"/>
                    </w:rPr>
                  </w:pPr>
                </w:p>
              </w:tc>
              <w:tc>
                <w:tcPr>
                  <w:tcW w:w="695" w:type="dxa"/>
                  <w:vMerge w:val="continue"/>
                  <w:tcBorders>
                    <w:tl2br w:val="nil"/>
                    <w:tr2bl w:val="nil"/>
                  </w:tcBorders>
                  <w:vAlign w:val="center"/>
                </w:tcPr>
                <w:p>
                  <w:pPr>
                    <w:pStyle w:val="17"/>
                    <w:bidi w:val="0"/>
                    <w:rPr>
                      <w:rFonts w:hint="eastAsia"/>
                      <w:color w:val="auto"/>
                      <w:lang w:val="en-US" w:eastAsia="zh-CN"/>
                    </w:rPr>
                  </w:pPr>
                </w:p>
              </w:tc>
              <w:tc>
                <w:tcPr>
                  <w:tcW w:w="1378" w:type="dxa"/>
                  <w:gridSpan w:val="2"/>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游客服务配套设施</w:t>
                  </w:r>
                </w:p>
              </w:tc>
              <w:tc>
                <w:tcPr>
                  <w:tcW w:w="5122" w:type="dxa"/>
                  <w:tcBorders>
                    <w:tl2br w:val="nil"/>
                    <w:tr2bl w:val="nil"/>
                  </w:tcBorders>
                  <w:vAlign w:val="center"/>
                </w:tcPr>
                <w:p>
                  <w:pPr>
                    <w:pStyle w:val="17"/>
                    <w:bidi w:val="0"/>
                    <w:rPr>
                      <w:rFonts w:hint="default"/>
                      <w:color w:val="auto"/>
                      <w:lang w:val="en-US" w:eastAsia="zh-CN"/>
                    </w:rPr>
                  </w:pPr>
                  <w:r>
                    <w:rPr>
                      <w:rFonts w:hint="eastAsia"/>
                      <w:color w:val="auto"/>
                      <w:lang w:val="en-US" w:eastAsia="zh-CN"/>
                    </w:rPr>
                    <w:t>新建生态卫生间，建筑面积100m</w:t>
                  </w:r>
                  <w:r>
                    <w:rPr>
                      <w:rFonts w:hint="eastAsia"/>
                      <w:color w:val="auto"/>
                      <w:vertAlign w:val="superscript"/>
                      <w:lang w:val="en-US" w:eastAsia="zh-CN"/>
                    </w:rPr>
                    <w:t>2</w:t>
                  </w:r>
                  <w:r>
                    <w:rPr>
                      <w:rFonts w:hint="eastAsia"/>
                      <w:color w:val="auto"/>
                      <w:lang w:val="en-US" w:eastAsia="zh-CN"/>
                    </w:rPr>
                    <w:t>；后勤毡房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rPr>
                      <w:rFonts w:hint="default"/>
                      <w:color w:val="auto"/>
                    </w:rPr>
                  </w:pPr>
                </w:p>
              </w:tc>
              <w:tc>
                <w:tcPr>
                  <w:tcW w:w="695" w:type="dxa"/>
                  <w:vMerge w:val="restart"/>
                  <w:tcBorders>
                    <w:tl2br w:val="nil"/>
                    <w:tr2bl w:val="nil"/>
                  </w:tcBorders>
                  <w:vAlign w:val="center"/>
                </w:tcPr>
                <w:p>
                  <w:pPr>
                    <w:pStyle w:val="17"/>
                    <w:bidi w:val="0"/>
                    <w:rPr>
                      <w:rFonts w:hint="default"/>
                      <w:color w:val="auto"/>
                      <w:lang w:val="en-US" w:eastAsia="zh-CN"/>
                    </w:rPr>
                  </w:pPr>
                  <w:r>
                    <w:rPr>
                      <w:rFonts w:hint="eastAsia"/>
                      <w:color w:val="auto"/>
                      <w:lang w:val="en-US" w:eastAsia="zh-CN"/>
                    </w:rPr>
                    <w:t>G地块</w:t>
                  </w:r>
                </w:p>
              </w:tc>
              <w:tc>
                <w:tcPr>
                  <w:tcW w:w="1378" w:type="dxa"/>
                  <w:gridSpan w:val="2"/>
                  <w:tcBorders>
                    <w:tl2br w:val="nil"/>
                    <w:tr2bl w:val="nil"/>
                  </w:tcBorders>
                  <w:vAlign w:val="center"/>
                </w:tcPr>
                <w:p>
                  <w:pPr>
                    <w:pStyle w:val="17"/>
                    <w:bidi w:val="0"/>
                    <w:ind w:firstLine="0" w:firstLineChars="0"/>
                    <w:rPr>
                      <w:rFonts w:hint="default"/>
                      <w:color w:val="auto"/>
                      <w:lang w:val="en-US" w:eastAsia="zh-CN"/>
                    </w:rPr>
                  </w:pPr>
                  <w:r>
                    <w:rPr>
                      <w:rFonts w:hint="eastAsia"/>
                      <w:color w:val="auto"/>
                      <w:lang w:val="en-US" w:eastAsia="zh-CN"/>
                    </w:rPr>
                    <w:t>商业</w:t>
                  </w:r>
                </w:p>
              </w:tc>
              <w:tc>
                <w:tcPr>
                  <w:tcW w:w="5122" w:type="dxa"/>
                  <w:tcBorders>
                    <w:tl2br w:val="nil"/>
                    <w:tr2bl w:val="nil"/>
                  </w:tcBorders>
                  <w:vAlign w:val="center"/>
                </w:tcPr>
                <w:p>
                  <w:pPr>
                    <w:pStyle w:val="17"/>
                    <w:bidi w:val="0"/>
                    <w:rPr>
                      <w:rFonts w:hint="default"/>
                      <w:color w:val="auto"/>
                      <w:lang w:val="en-US" w:eastAsia="zh-CN"/>
                    </w:rPr>
                  </w:pPr>
                  <w:r>
                    <w:rPr>
                      <w:rFonts w:hint="eastAsia"/>
                      <w:color w:val="auto"/>
                      <w:lang w:val="en-US" w:eastAsia="zh-CN"/>
                    </w:rPr>
                    <w:t>新建百果盛筵，建筑面积600m</w:t>
                  </w:r>
                  <w:r>
                    <w:rPr>
                      <w:rFonts w:hint="eastAsia"/>
                      <w:color w:val="auto"/>
                      <w:vertAlign w:val="superscript"/>
                      <w:lang w:val="en-US" w:eastAsia="zh-CN"/>
                    </w:rPr>
                    <w:t>2</w:t>
                  </w:r>
                  <w:r>
                    <w:rPr>
                      <w:rFonts w:hint="eastAsia"/>
                      <w:color w:val="auto"/>
                      <w:lang w:val="en-US" w:eastAsia="zh-CN"/>
                    </w:rPr>
                    <w:t>；露华馆、斡尔朵宫账、草原阿爸研学营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658" w:type="dxa"/>
                  <w:vMerge w:val="continue"/>
                  <w:tcBorders>
                    <w:tl2br w:val="nil"/>
                    <w:tr2bl w:val="nil"/>
                  </w:tcBorders>
                  <w:vAlign w:val="center"/>
                </w:tcPr>
                <w:p>
                  <w:pPr>
                    <w:pStyle w:val="17"/>
                    <w:bidi w:val="0"/>
                    <w:rPr>
                      <w:rFonts w:hint="default"/>
                      <w:color w:val="auto"/>
                    </w:rPr>
                  </w:pPr>
                </w:p>
              </w:tc>
              <w:tc>
                <w:tcPr>
                  <w:tcW w:w="695" w:type="dxa"/>
                  <w:vMerge w:val="continue"/>
                  <w:tcBorders>
                    <w:tl2br w:val="nil"/>
                    <w:tr2bl w:val="nil"/>
                  </w:tcBorders>
                  <w:vAlign w:val="center"/>
                </w:tcPr>
                <w:p>
                  <w:pPr>
                    <w:pStyle w:val="17"/>
                    <w:bidi w:val="0"/>
                    <w:rPr>
                      <w:rFonts w:hint="eastAsia"/>
                      <w:color w:val="auto"/>
                      <w:lang w:val="en-US" w:eastAsia="zh-CN"/>
                    </w:rPr>
                  </w:pPr>
                </w:p>
              </w:tc>
              <w:tc>
                <w:tcPr>
                  <w:tcW w:w="1378" w:type="dxa"/>
                  <w:gridSpan w:val="2"/>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游客服务配套设施</w:t>
                  </w:r>
                </w:p>
              </w:tc>
              <w:tc>
                <w:tcPr>
                  <w:tcW w:w="5122" w:type="dxa"/>
                  <w:tcBorders>
                    <w:tl2br w:val="nil"/>
                    <w:tr2bl w:val="nil"/>
                  </w:tcBorders>
                  <w:vAlign w:val="center"/>
                </w:tcPr>
                <w:p>
                  <w:pPr>
                    <w:pStyle w:val="17"/>
                    <w:bidi w:val="0"/>
                    <w:rPr>
                      <w:rFonts w:hint="default"/>
                      <w:color w:val="auto"/>
                      <w:lang w:val="en-US" w:eastAsia="zh-CN"/>
                    </w:rPr>
                  </w:pPr>
                  <w:r>
                    <w:rPr>
                      <w:rFonts w:hint="eastAsia"/>
                      <w:color w:val="auto"/>
                      <w:lang w:val="en-US" w:eastAsia="zh-CN"/>
                    </w:rPr>
                    <w:t>新建区间车站、后勤配套、毡房、公共卫生间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rPr>
                      <w:rFonts w:hint="default"/>
                      <w:color w:val="auto"/>
                    </w:rPr>
                  </w:pPr>
                </w:p>
              </w:tc>
              <w:tc>
                <w:tcPr>
                  <w:tcW w:w="695" w:type="dxa"/>
                  <w:vMerge w:val="restart"/>
                  <w:tcBorders>
                    <w:tl2br w:val="nil"/>
                    <w:tr2bl w:val="nil"/>
                  </w:tcBorders>
                  <w:vAlign w:val="center"/>
                </w:tcPr>
                <w:p>
                  <w:pPr>
                    <w:pStyle w:val="17"/>
                    <w:bidi w:val="0"/>
                    <w:rPr>
                      <w:rFonts w:hint="default"/>
                      <w:color w:val="auto"/>
                      <w:lang w:val="en-US" w:eastAsia="zh-CN"/>
                    </w:rPr>
                  </w:pPr>
                  <w:r>
                    <w:rPr>
                      <w:rFonts w:hint="eastAsia"/>
                      <w:color w:val="auto"/>
                      <w:lang w:val="en-US" w:eastAsia="zh-CN"/>
                    </w:rPr>
                    <w:t>D地块</w:t>
                  </w:r>
                </w:p>
              </w:tc>
              <w:tc>
                <w:tcPr>
                  <w:tcW w:w="1378" w:type="dxa"/>
                  <w:gridSpan w:val="2"/>
                  <w:tcBorders>
                    <w:tl2br w:val="nil"/>
                    <w:tr2bl w:val="nil"/>
                  </w:tcBorders>
                  <w:vAlign w:val="center"/>
                </w:tcPr>
                <w:p>
                  <w:pPr>
                    <w:pStyle w:val="17"/>
                    <w:bidi w:val="0"/>
                    <w:ind w:firstLine="0" w:firstLineChars="0"/>
                    <w:rPr>
                      <w:rFonts w:hint="default"/>
                      <w:color w:val="auto"/>
                      <w:lang w:val="en-US" w:eastAsia="zh-CN"/>
                    </w:rPr>
                  </w:pPr>
                  <w:r>
                    <w:rPr>
                      <w:rFonts w:hint="eastAsia"/>
                      <w:color w:val="auto"/>
                      <w:lang w:val="en-US" w:eastAsia="zh-CN"/>
                    </w:rPr>
                    <w:t>景点</w:t>
                  </w:r>
                </w:p>
              </w:tc>
              <w:tc>
                <w:tcPr>
                  <w:tcW w:w="5122" w:type="dxa"/>
                  <w:tcBorders>
                    <w:tl2br w:val="nil"/>
                    <w:tr2bl w:val="nil"/>
                  </w:tcBorders>
                  <w:vAlign w:val="center"/>
                </w:tcPr>
                <w:p>
                  <w:pPr>
                    <w:pStyle w:val="17"/>
                    <w:bidi w:val="0"/>
                    <w:rPr>
                      <w:rFonts w:hint="default"/>
                      <w:color w:val="auto"/>
                      <w:lang w:val="en-US" w:eastAsia="zh-CN"/>
                    </w:rPr>
                  </w:pPr>
                  <w:r>
                    <w:rPr>
                      <w:rFonts w:hint="eastAsia"/>
                      <w:color w:val="auto"/>
                      <w:lang w:val="en-US" w:eastAsia="zh-CN"/>
                    </w:rPr>
                    <w:t>新建阿依斯特景点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658" w:type="dxa"/>
                  <w:vMerge w:val="continue"/>
                  <w:tcBorders>
                    <w:tl2br w:val="nil"/>
                    <w:tr2bl w:val="nil"/>
                  </w:tcBorders>
                  <w:vAlign w:val="center"/>
                </w:tcPr>
                <w:p>
                  <w:pPr>
                    <w:pStyle w:val="17"/>
                    <w:bidi w:val="0"/>
                    <w:rPr>
                      <w:rFonts w:hint="default"/>
                      <w:color w:val="auto"/>
                    </w:rPr>
                  </w:pPr>
                </w:p>
              </w:tc>
              <w:tc>
                <w:tcPr>
                  <w:tcW w:w="695" w:type="dxa"/>
                  <w:vMerge w:val="continue"/>
                  <w:tcBorders>
                    <w:tl2br w:val="nil"/>
                    <w:tr2bl w:val="nil"/>
                  </w:tcBorders>
                  <w:vAlign w:val="center"/>
                </w:tcPr>
                <w:p>
                  <w:pPr>
                    <w:pStyle w:val="17"/>
                    <w:bidi w:val="0"/>
                    <w:rPr>
                      <w:rFonts w:hint="eastAsia"/>
                      <w:color w:val="auto"/>
                      <w:lang w:val="en-US" w:eastAsia="zh-CN"/>
                    </w:rPr>
                  </w:pPr>
                </w:p>
              </w:tc>
              <w:tc>
                <w:tcPr>
                  <w:tcW w:w="1378" w:type="dxa"/>
                  <w:gridSpan w:val="2"/>
                  <w:tcBorders>
                    <w:tl2br w:val="nil"/>
                    <w:tr2bl w:val="nil"/>
                  </w:tcBorders>
                  <w:vAlign w:val="center"/>
                </w:tcPr>
                <w:p>
                  <w:pPr>
                    <w:pStyle w:val="17"/>
                    <w:bidi w:val="0"/>
                    <w:ind w:firstLine="0" w:firstLineChars="0"/>
                    <w:rPr>
                      <w:rFonts w:hint="default"/>
                      <w:color w:val="auto"/>
                      <w:lang w:val="en-US" w:eastAsia="zh-CN"/>
                    </w:rPr>
                  </w:pPr>
                  <w:r>
                    <w:rPr>
                      <w:rFonts w:hint="eastAsia"/>
                      <w:color w:val="auto"/>
                      <w:lang w:val="en-US" w:eastAsia="zh-CN"/>
                    </w:rPr>
                    <w:t>商业</w:t>
                  </w:r>
                </w:p>
              </w:tc>
              <w:tc>
                <w:tcPr>
                  <w:tcW w:w="5122" w:type="dxa"/>
                  <w:tcBorders>
                    <w:tl2br w:val="nil"/>
                    <w:tr2bl w:val="nil"/>
                  </w:tcBorders>
                  <w:vAlign w:val="center"/>
                </w:tcPr>
                <w:p>
                  <w:pPr>
                    <w:pStyle w:val="17"/>
                    <w:bidi w:val="0"/>
                    <w:rPr>
                      <w:rFonts w:hint="default"/>
                      <w:color w:val="auto"/>
                      <w:lang w:val="en-US" w:eastAsia="zh-CN"/>
                    </w:rPr>
                  </w:pPr>
                  <w:r>
                    <w:rPr>
                      <w:rFonts w:hint="eastAsia"/>
                      <w:color w:val="auto"/>
                      <w:lang w:val="en-US" w:eastAsia="zh-CN"/>
                    </w:rPr>
                    <w:t>新建哈风马茶、水吧，建筑面积600m</w:t>
                  </w:r>
                  <w:r>
                    <w:rPr>
                      <w:rFonts w:hint="eastAsia"/>
                      <w:color w:val="auto"/>
                      <w:vertAlign w:val="superscript"/>
                      <w:lang w:val="en-US" w:eastAsia="zh-CN"/>
                    </w:rPr>
                    <w:t>2</w:t>
                  </w: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rPr>
                      <w:rFonts w:hint="default"/>
                      <w:color w:val="auto"/>
                    </w:rPr>
                  </w:pPr>
                </w:p>
              </w:tc>
              <w:tc>
                <w:tcPr>
                  <w:tcW w:w="695" w:type="dxa"/>
                  <w:vMerge w:val="continue"/>
                  <w:tcBorders>
                    <w:tl2br w:val="nil"/>
                    <w:tr2bl w:val="nil"/>
                  </w:tcBorders>
                  <w:vAlign w:val="center"/>
                </w:tcPr>
                <w:p>
                  <w:pPr>
                    <w:pStyle w:val="17"/>
                    <w:bidi w:val="0"/>
                    <w:rPr>
                      <w:rFonts w:hint="eastAsia"/>
                      <w:color w:val="auto"/>
                      <w:lang w:val="en-US" w:eastAsia="zh-CN"/>
                    </w:rPr>
                  </w:pPr>
                </w:p>
              </w:tc>
              <w:tc>
                <w:tcPr>
                  <w:tcW w:w="1378" w:type="dxa"/>
                  <w:gridSpan w:val="2"/>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游客服务配套设施</w:t>
                  </w:r>
                </w:p>
              </w:tc>
              <w:tc>
                <w:tcPr>
                  <w:tcW w:w="5122" w:type="dxa"/>
                  <w:tcBorders>
                    <w:tl2br w:val="nil"/>
                    <w:tr2bl w:val="nil"/>
                  </w:tcBorders>
                  <w:vAlign w:val="center"/>
                </w:tcPr>
                <w:p>
                  <w:pPr>
                    <w:pStyle w:val="17"/>
                    <w:bidi w:val="0"/>
                    <w:rPr>
                      <w:rFonts w:hint="default"/>
                      <w:color w:val="auto"/>
                      <w:lang w:val="en-US" w:eastAsia="zh-CN"/>
                    </w:rPr>
                  </w:pPr>
                  <w:r>
                    <w:rPr>
                      <w:rFonts w:hint="eastAsia"/>
                      <w:color w:val="auto"/>
                      <w:lang w:val="en-US" w:eastAsia="zh-CN"/>
                    </w:rPr>
                    <w:t>新建丹枫馆，建筑面积400m</w:t>
                  </w:r>
                  <w:r>
                    <w:rPr>
                      <w:rFonts w:hint="eastAsia"/>
                      <w:color w:val="auto"/>
                      <w:vertAlign w:val="superscript"/>
                      <w:lang w:val="en-US" w:eastAsia="zh-CN"/>
                    </w:rPr>
                    <w:t>2</w:t>
                  </w:r>
                  <w:r>
                    <w:rPr>
                      <w:rFonts w:hint="eastAsia"/>
                      <w:color w:val="auto"/>
                      <w:lang w:val="en-US" w:eastAsia="zh-CN"/>
                    </w:rPr>
                    <w:t>；后勤配套，建筑面积150m</w:t>
                  </w:r>
                  <w:r>
                    <w:rPr>
                      <w:rFonts w:hint="eastAsia"/>
                      <w:color w:val="auto"/>
                      <w:vertAlign w:val="superscript"/>
                      <w:lang w:val="en-US" w:eastAsia="zh-CN"/>
                    </w:rPr>
                    <w:t>2</w:t>
                  </w:r>
                  <w:r>
                    <w:rPr>
                      <w:rFonts w:hint="eastAsia"/>
                      <w:color w:val="auto"/>
                      <w:lang w:val="en-US" w:eastAsia="zh-CN"/>
                    </w:rPr>
                    <w:t>；公共卫生间，建筑面积150m</w:t>
                  </w:r>
                  <w:r>
                    <w:rPr>
                      <w:rFonts w:hint="eastAsia"/>
                      <w:color w:val="auto"/>
                      <w:vertAlign w:val="superscript"/>
                      <w:lang w:val="en-US" w:eastAsia="zh-CN"/>
                    </w:rPr>
                    <w:t>2</w:t>
                  </w:r>
                  <w:r>
                    <w:rPr>
                      <w:rFonts w:hint="eastAsia"/>
                      <w:color w:val="auto"/>
                      <w:lang w:val="en-US" w:eastAsia="zh-CN"/>
                    </w:rPr>
                    <w:t>；区间车站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rPr>
                      <w:rFonts w:hint="default"/>
                      <w:color w:val="auto"/>
                    </w:rPr>
                  </w:pPr>
                </w:p>
              </w:tc>
              <w:tc>
                <w:tcPr>
                  <w:tcW w:w="695" w:type="dxa"/>
                  <w:vMerge w:val="continue"/>
                  <w:tcBorders>
                    <w:tl2br w:val="nil"/>
                    <w:tr2bl w:val="nil"/>
                  </w:tcBorders>
                  <w:vAlign w:val="center"/>
                </w:tcPr>
                <w:p>
                  <w:pPr>
                    <w:pStyle w:val="17"/>
                    <w:bidi w:val="0"/>
                    <w:rPr>
                      <w:rFonts w:hint="eastAsia"/>
                      <w:color w:val="auto"/>
                      <w:lang w:val="en-US" w:eastAsia="zh-CN"/>
                    </w:rPr>
                  </w:pPr>
                </w:p>
              </w:tc>
              <w:tc>
                <w:tcPr>
                  <w:tcW w:w="1378" w:type="dxa"/>
                  <w:gridSpan w:val="2"/>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停车场及室外景观</w:t>
                  </w:r>
                </w:p>
              </w:tc>
              <w:tc>
                <w:tcPr>
                  <w:tcW w:w="5122" w:type="dxa"/>
                  <w:tcBorders>
                    <w:tl2br w:val="nil"/>
                    <w:tr2bl w:val="nil"/>
                  </w:tcBorders>
                  <w:vAlign w:val="center"/>
                </w:tcPr>
                <w:p>
                  <w:pPr>
                    <w:pStyle w:val="17"/>
                    <w:bidi w:val="0"/>
                    <w:rPr>
                      <w:rFonts w:hint="default"/>
                      <w:color w:val="auto"/>
                      <w:lang w:val="en-US" w:eastAsia="zh-CN"/>
                    </w:rPr>
                  </w:pPr>
                  <w:r>
                    <w:rPr>
                      <w:rFonts w:hint="eastAsia"/>
                      <w:color w:val="auto"/>
                      <w:lang w:val="en-US" w:eastAsia="zh-CN"/>
                    </w:rPr>
                    <w:t>新建机动车停车位400个、天桥1座、室外绿化景观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rPr>
                      <w:rFonts w:hint="default"/>
                      <w:color w:val="auto"/>
                    </w:rPr>
                  </w:pPr>
                </w:p>
              </w:tc>
              <w:tc>
                <w:tcPr>
                  <w:tcW w:w="695" w:type="dxa"/>
                  <w:vMerge w:val="restart"/>
                  <w:tcBorders>
                    <w:tl2br w:val="nil"/>
                    <w:tr2bl w:val="nil"/>
                  </w:tcBorders>
                  <w:vAlign w:val="center"/>
                </w:tcPr>
                <w:p>
                  <w:pPr>
                    <w:pStyle w:val="17"/>
                    <w:bidi w:val="0"/>
                    <w:rPr>
                      <w:rFonts w:hint="eastAsia"/>
                      <w:color w:val="auto"/>
                      <w:lang w:val="en-US" w:eastAsia="zh-CN"/>
                    </w:rPr>
                  </w:pPr>
                  <w:r>
                    <w:rPr>
                      <w:rFonts w:hint="eastAsia"/>
                      <w:color w:val="auto"/>
                      <w:lang w:val="en-US" w:eastAsia="zh-CN"/>
                    </w:rPr>
                    <w:t>索道</w:t>
                  </w:r>
                </w:p>
                <w:p>
                  <w:pPr>
                    <w:pStyle w:val="17"/>
                    <w:bidi w:val="0"/>
                    <w:rPr>
                      <w:rFonts w:hint="default"/>
                      <w:color w:val="auto"/>
                      <w:lang w:val="en-US" w:eastAsia="zh-CN"/>
                    </w:rPr>
                  </w:pPr>
                  <w:r>
                    <w:rPr>
                      <w:rFonts w:hint="eastAsia"/>
                      <w:color w:val="auto"/>
                      <w:lang w:val="en-US" w:eastAsia="zh-CN"/>
                    </w:rPr>
                    <w:t>工程</w:t>
                  </w:r>
                </w:p>
              </w:tc>
              <w:tc>
                <w:tcPr>
                  <w:tcW w:w="1378" w:type="dxa"/>
                  <w:gridSpan w:val="2"/>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索道</w:t>
                  </w:r>
                </w:p>
              </w:tc>
              <w:tc>
                <w:tcPr>
                  <w:tcW w:w="5122" w:type="dxa"/>
                  <w:tcBorders>
                    <w:tl2br w:val="nil"/>
                    <w:tr2bl w:val="nil"/>
                  </w:tcBorders>
                  <w:vAlign w:val="center"/>
                </w:tcPr>
                <w:p>
                  <w:pPr>
                    <w:pStyle w:val="17"/>
                    <w:bidi w:val="0"/>
                    <w:rPr>
                      <w:rFonts w:hint="default"/>
                      <w:color w:val="auto"/>
                    </w:rPr>
                  </w:pPr>
                  <w:r>
                    <w:rPr>
                      <w:rFonts w:hint="default"/>
                      <w:color w:val="auto"/>
                    </w:rPr>
                    <w:t>索道线路</w:t>
                  </w:r>
                  <w:r>
                    <w:rPr>
                      <w:rFonts w:hint="eastAsia"/>
                      <w:color w:val="auto"/>
                      <w:lang w:val="en-US" w:eastAsia="zh-CN"/>
                    </w:rPr>
                    <w:t>位于果赛景区三台关停车场至金顶地块</w:t>
                  </w:r>
                  <w:r>
                    <w:rPr>
                      <w:rFonts w:hint="default"/>
                      <w:color w:val="auto"/>
                    </w:rPr>
                    <w:t>，采用单线循环脱挂抱索器八人吊厢索道，索道占地宽度为6</w:t>
                  </w:r>
                  <w:r>
                    <w:rPr>
                      <w:rFonts w:hint="eastAsia"/>
                      <w:color w:val="auto"/>
                      <w:lang w:val="en-US" w:eastAsia="zh-CN"/>
                    </w:rPr>
                    <w:t>m</w:t>
                  </w:r>
                  <w:r>
                    <w:rPr>
                      <w:rFonts w:hint="default"/>
                      <w:color w:val="auto"/>
                    </w:rPr>
                    <w:t>，线路斜长</w:t>
                  </w:r>
                  <w:r>
                    <w:rPr>
                      <w:rFonts w:hint="eastAsia"/>
                      <w:color w:val="auto"/>
                      <w:lang w:val="en-US" w:eastAsia="zh-CN"/>
                    </w:rPr>
                    <w:t>1400</w:t>
                  </w:r>
                  <w:r>
                    <w:rPr>
                      <w:rFonts w:hint="default"/>
                      <w:color w:val="auto"/>
                    </w:rPr>
                    <w:t>m，高差</w:t>
                  </w:r>
                  <w:r>
                    <w:rPr>
                      <w:rFonts w:hint="eastAsia"/>
                      <w:color w:val="auto"/>
                      <w:lang w:val="en-US" w:eastAsia="zh-CN"/>
                    </w:rPr>
                    <w:t>233</w:t>
                  </w:r>
                  <w:r>
                    <w:rPr>
                      <w:rFonts w:hint="default"/>
                      <w:color w:val="auto"/>
                    </w:rPr>
                    <w:t>m，线路水平距离</w:t>
                  </w:r>
                  <w:r>
                    <w:rPr>
                      <w:rFonts w:hint="eastAsia"/>
                      <w:color w:val="auto"/>
                      <w:lang w:val="en-US" w:eastAsia="zh-CN"/>
                    </w:rPr>
                    <w:t>1380</w:t>
                  </w:r>
                  <w:r>
                    <w:rPr>
                      <w:rFonts w:hint="default"/>
                      <w:color w:val="auto"/>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rPr>
                      <w:rFonts w:hint="default"/>
                      <w:color w:val="auto"/>
                    </w:rPr>
                  </w:pPr>
                </w:p>
              </w:tc>
              <w:tc>
                <w:tcPr>
                  <w:tcW w:w="695" w:type="dxa"/>
                  <w:vMerge w:val="continue"/>
                  <w:tcBorders>
                    <w:tl2br w:val="nil"/>
                    <w:tr2bl w:val="nil"/>
                  </w:tcBorders>
                  <w:vAlign w:val="center"/>
                </w:tcPr>
                <w:p>
                  <w:pPr>
                    <w:pStyle w:val="17"/>
                    <w:bidi w:val="0"/>
                    <w:rPr>
                      <w:rFonts w:hint="default"/>
                      <w:color w:val="auto"/>
                      <w:lang w:val="en-US" w:eastAsia="zh-CN"/>
                    </w:rPr>
                  </w:pPr>
                </w:p>
              </w:tc>
              <w:tc>
                <w:tcPr>
                  <w:tcW w:w="1378" w:type="dxa"/>
                  <w:gridSpan w:val="2"/>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上站站房</w:t>
                  </w:r>
                </w:p>
              </w:tc>
              <w:tc>
                <w:tcPr>
                  <w:tcW w:w="5122" w:type="dxa"/>
                  <w:tcBorders>
                    <w:tl2br w:val="nil"/>
                    <w:tr2bl w:val="nil"/>
                  </w:tcBorders>
                  <w:vAlign w:val="center"/>
                </w:tcPr>
                <w:p>
                  <w:pPr>
                    <w:pStyle w:val="17"/>
                    <w:bidi w:val="0"/>
                    <w:rPr>
                      <w:rFonts w:hint="default"/>
                      <w:color w:val="auto"/>
                    </w:rPr>
                  </w:pPr>
                  <w:r>
                    <w:rPr>
                      <w:rFonts w:hint="default"/>
                      <w:color w:val="auto"/>
                    </w:rPr>
                    <w:t>索道上站</w:t>
                  </w:r>
                  <w:r>
                    <w:rPr>
                      <w:rFonts w:hint="eastAsia"/>
                      <w:color w:val="auto"/>
                      <w:lang w:val="en-US" w:eastAsia="zh-CN"/>
                    </w:rPr>
                    <w:t>位于金顶地块，</w:t>
                  </w:r>
                  <w:r>
                    <w:rPr>
                      <w:rFonts w:hint="default"/>
                      <w:color w:val="auto"/>
                    </w:rPr>
                    <w:t>总建筑面积</w:t>
                  </w:r>
                  <w:r>
                    <w:rPr>
                      <w:rFonts w:hint="eastAsia"/>
                      <w:color w:val="auto"/>
                      <w:lang w:val="en-US" w:eastAsia="zh-CN"/>
                    </w:rPr>
                    <w:t>850</w:t>
                  </w:r>
                  <w:r>
                    <w:rPr>
                      <w:rFonts w:hint="default"/>
                      <w:color w:val="auto"/>
                    </w:rPr>
                    <w:t>m</w:t>
                  </w:r>
                  <w:r>
                    <w:rPr>
                      <w:rFonts w:hint="default"/>
                      <w:color w:val="auto"/>
                      <w:vertAlign w:val="superscript"/>
                    </w:rPr>
                    <w:t>2</w:t>
                  </w:r>
                  <w:r>
                    <w:rPr>
                      <w:rFonts w:hint="default"/>
                      <w:color w:val="auto"/>
                    </w:rPr>
                    <w:t>，站房为单层建筑，框架结构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rPr>
                      <w:rFonts w:hint="default"/>
                      <w:color w:val="auto"/>
                    </w:rPr>
                  </w:pPr>
                </w:p>
              </w:tc>
              <w:tc>
                <w:tcPr>
                  <w:tcW w:w="695" w:type="dxa"/>
                  <w:vMerge w:val="continue"/>
                  <w:tcBorders>
                    <w:tl2br w:val="nil"/>
                    <w:tr2bl w:val="nil"/>
                  </w:tcBorders>
                  <w:vAlign w:val="center"/>
                </w:tcPr>
                <w:p>
                  <w:pPr>
                    <w:pStyle w:val="17"/>
                    <w:bidi w:val="0"/>
                    <w:rPr>
                      <w:rFonts w:hint="default"/>
                      <w:color w:val="auto"/>
                      <w:lang w:val="en-US" w:eastAsia="zh-CN"/>
                    </w:rPr>
                  </w:pPr>
                </w:p>
              </w:tc>
              <w:tc>
                <w:tcPr>
                  <w:tcW w:w="1378" w:type="dxa"/>
                  <w:gridSpan w:val="2"/>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下站站房</w:t>
                  </w:r>
                </w:p>
              </w:tc>
              <w:tc>
                <w:tcPr>
                  <w:tcW w:w="5122" w:type="dxa"/>
                  <w:tcBorders>
                    <w:tl2br w:val="nil"/>
                    <w:tr2bl w:val="nil"/>
                  </w:tcBorders>
                  <w:vAlign w:val="center"/>
                </w:tcPr>
                <w:p>
                  <w:pPr>
                    <w:pStyle w:val="17"/>
                    <w:bidi w:val="0"/>
                    <w:rPr>
                      <w:rFonts w:hint="default"/>
                      <w:color w:val="auto"/>
                    </w:rPr>
                  </w:pPr>
                  <w:r>
                    <w:rPr>
                      <w:rFonts w:hint="default"/>
                      <w:color w:val="auto"/>
                    </w:rPr>
                    <w:t>索道</w:t>
                  </w:r>
                  <w:r>
                    <w:rPr>
                      <w:rFonts w:hint="eastAsia"/>
                      <w:color w:val="auto"/>
                      <w:lang w:val="en-US" w:eastAsia="zh-CN"/>
                    </w:rPr>
                    <w:t>下</w:t>
                  </w:r>
                  <w:r>
                    <w:rPr>
                      <w:rFonts w:hint="default"/>
                      <w:color w:val="auto"/>
                    </w:rPr>
                    <w:t>站</w:t>
                  </w:r>
                  <w:r>
                    <w:rPr>
                      <w:rFonts w:hint="eastAsia"/>
                      <w:color w:val="auto"/>
                      <w:lang w:val="en-US" w:eastAsia="zh-CN"/>
                    </w:rPr>
                    <w:t>位于果赛景区三台关停车场，</w:t>
                  </w:r>
                  <w:r>
                    <w:rPr>
                      <w:rFonts w:hint="default"/>
                      <w:color w:val="auto"/>
                    </w:rPr>
                    <w:t>总建筑面积</w:t>
                  </w:r>
                  <w:r>
                    <w:rPr>
                      <w:rFonts w:hint="eastAsia"/>
                      <w:color w:val="auto"/>
                      <w:lang w:val="en-US" w:eastAsia="zh-CN"/>
                    </w:rPr>
                    <w:t>1670</w:t>
                  </w:r>
                  <w:r>
                    <w:rPr>
                      <w:rFonts w:hint="default"/>
                      <w:color w:val="auto"/>
                    </w:rPr>
                    <w:t>m</w:t>
                  </w:r>
                  <w:r>
                    <w:rPr>
                      <w:rFonts w:hint="default"/>
                      <w:color w:val="auto"/>
                      <w:vertAlign w:val="superscript"/>
                    </w:rPr>
                    <w:t>2</w:t>
                  </w:r>
                  <w:r>
                    <w:rPr>
                      <w:rFonts w:hint="default"/>
                      <w:color w:val="auto"/>
                    </w:rPr>
                    <w:t>，站房为</w:t>
                  </w:r>
                  <w:r>
                    <w:rPr>
                      <w:rFonts w:hint="eastAsia"/>
                      <w:color w:val="auto"/>
                      <w:lang w:val="en-US" w:eastAsia="zh-CN"/>
                    </w:rPr>
                    <w:t>双层</w:t>
                  </w:r>
                  <w:r>
                    <w:rPr>
                      <w:rFonts w:hint="default"/>
                      <w:color w:val="auto"/>
                    </w:rPr>
                    <w:t>建筑，框架结构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rPr>
                      <w:rFonts w:hint="default"/>
                      <w:color w:val="auto"/>
                    </w:rPr>
                  </w:pPr>
                </w:p>
              </w:tc>
              <w:tc>
                <w:tcPr>
                  <w:tcW w:w="695" w:type="dxa"/>
                  <w:vMerge w:val="continue"/>
                  <w:tcBorders>
                    <w:tl2br w:val="nil"/>
                    <w:tr2bl w:val="nil"/>
                  </w:tcBorders>
                  <w:vAlign w:val="center"/>
                </w:tcPr>
                <w:p>
                  <w:pPr>
                    <w:pStyle w:val="17"/>
                    <w:bidi w:val="0"/>
                    <w:rPr>
                      <w:rFonts w:hint="eastAsia"/>
                      <w:color w:val="auto"/>
                      <w:lang w:val="en-US" w:eastAsia="zh-CN"/>
                    </w:rPr>
                  </w:pPr>
                </w:p>
              </w:tc>
              <w:tc>
                <w:tcPr>
                  <w:tcW w:w="1378" w:type="dxa"/>
                  <w:gridSpan w:val="2"/>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支架</w:t>
                  </w:r>
                </w:p>
              </w:tc>
              <w:tc>
                <w:tcPr>
                  <w:tcW w:w="5122" w:type="dxa"/>
                  <w:tcBorders>
                    <w:tl2br w:val="nil"/>
                    <w:tr2bl w:val="nil"/>
                  </w:tcBorders>
                  <w:vAlign w:val="center"/>
                </w:tcPr>
                <w:p>
                  <w:pPr>
                    <w:pStyle w:val="17"/>
                    <w:bidi w:val="0"/>
                    <w:rPr>
                      <w:rFonts w:hint="default"/>
                      <w:color w:val="auto"/>
                    </w:rPr>
                  </w:pPr>
                  <w:r>
                    <w:rPr>
                      <w:rFonts w:hint="default"/>
                      <w:color w:val="auto"/>
                    </w:rPr>
                    <w:t>为满足索道车厢的距地高度要求，根据线路地形条件，设置钢结构支架</w:t>
                  </w:r>
                  <w:r>
                    <w:rPr>
                      <w:rFonts w:hint="eastAsia"/>
                      <w:color w:val="auto"/>
                      <w:lang w:val="en-US" w:eastAsia="zh-CN"/>
                    </w:rPr>
                    <w:t>7</w:t>
                  </w:r>
                  <w:r>
                    <w:rPr>
                      <w:rFonts w:hint="default"/>
                      <w:color w:val="auto"/>
                    </w:rPr>
                    <w:t>个，支架高度在6.39~20.86m之间，四边形锥体格构式钢结构，现浇钢筋混凝土基础。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restart"/>
                  <w:tcBorders>
                    <w:tl2br w:val="nil"/>
                    <w:tr2bl w:val="nil"/>
                  </w:tcBorders>
                  <w:vAlign w:val="center"/>
                </w:tcPr>
                <w:p>
                  <w:pPr>
                    <w:pStyle w:val="17"/>
                    <w:bidi w:val="0"/>
                    <w:rPr>
                      <w:rFonts w:hint="eastAsia"/>
                      <w:color w:val="auto"/>
                      <w:lang w:val="en-US" w:eastAsia="zh-CN"/>
                    </w:rPr>
                  </w:pPr>
                  <w:r>
                    <w:rPr>
                      <w:rFonts w:hint="eastAsia"/>
                      <w:color w:val="auto"/>
                      <w:lang w:val="en-US" w:eastAsia="zh-CN"/>
                    </w:rPr>
                    <w:t>辅助工程</w:t>
                  </w:r>
                </w:p>
              </w:tc>
              <w:tc>
                <w:tcPr>
                  <w:tcW w:w="2073" w:type="dxa"/>
                  <w:gridSpan w:val="3"/>
                  <w:tcBorders>
                    <w:tl2br w:val="nil"/>
                    <w:tr2bl w:val="nil"/>
                  </w:tcBorders>
                  <w:vAlign w:val="center"/>
                </w:tcPr>
                <w:p>
                  <w:pPr>
                    <w:pStyle w:val="17"/>
                    <w:bidi w:val="0"/>
                    <w:rPr>
                      <w:rFonts w:hint="default"/>
                      <w:color w:val="auto"/>
                      <w:lang w:val="en-US" w:eastAsia="zh-CN"/>
                    </w:rPr>
                  </w:pPr>
                  <w:r>
                    <w:rPr>
                      <w:rFonts w:hint="eastAsia"/>
                      <w:color w:val="auto"/>
                      <w:lang w:val="en-US" w:eastAsia="zh-CN"/>
                    </w:rPr>
                    <w:t>施工道路</w:t>
                  </w:r>
                </w:p>
              </w:tc>
              <w:tc>
                <w:tcPr>
                  <w:tcW w:w="5122" w:type="dxa"/>
                  <w:tcBorders>
                    <w:tl2br w:val="nil"/>
                    <w:tr2bl w:val="nil"/>
                  </w:tcBorders>
                  <w:vAlign w:val="center"/>
                </w:tcPr>
                <w:p>
                  <w:pPr>
                    <w:pStyle w:val="17"/>
                    <w:bidi w:val="0"/>
                    <w:rPr>
                      <w:rFonts w:hint="default"/>
                      <w:color w:val="auto"/>
                      <w:lang w:val="en-US" w:eastAsia="zh-CN"/>
                    </w:rPr>
                  </w:pPr>
                  <w:r>
                    <w:rPr>
                      <w:rFonts w:hint="eastAsia"/>
                      <w:color w:val="auto"/>
                      <w:lang w:val="en-US" w:eastAsia="zh-CN"/>
                    </w:rPr>
                    <w:t>项目施工道路利用景区道路，各地块之间区间道路依托312国道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rPr>
                      <w:rFonts w:hint="default"/>
                      <w:color w:val="auto"/>
                    </w:rPr>
                  </w:pPr>
                </w:p>
              </w:tc>
              <w:tc>
                <w:tcPr>
                  <w:tcW w:w="2073" w:type="dxa"/>
                  <w:gridSpan w:val="3"/>
                  <w:tcBorders>
                    <w:tl2br w:val="nil"/>
                    <w:tr2bl w:val="nil"/>
                  </w:tcBorders>
                  <w:vAlign w:val="center"/>
                </w:tcPr>
                <w:p>
                  <w:pPr>
                    <w:pStyle w:val="17"/>
                    <w:bidi w:val="0"/>
                    <w:rPr>
                      <w:rFonts w:hint="eastAsia"/>
                      <w:color w:val="auto"/>
                      <w:lang w:val="en-US" w:eastAsia="zh-CN"/>
                    </w:rPr>
                  </w:pPr>
                  <w:r>
                    <w:rPr>
                      <w:rFonts w:hint="eastAsia"/>
                      <w:color w:val="auto"/>
                      <w:lang w:val="en-US" w:eastAsia="zh-CN"/>
                    </w:rPr>
                    <w:t>施工营地</w:t>
                  </w:r>
                </w:p>
              </w:tc>
              <w:tc>
                <w:tcPr>
                  <w:tcW w:w="5122" w:type="dxa"/>
                  <w:tcBorders>
                    <w:tl2br w:val="nil"/>
                    <w:tr2bl w:val="nil"/>
                  </w:tcBorders>
                  <w:vAlign w:val="center"/>
                </w:tcPr>
                <w:p>
                  <w:pPr>
                    <w:pStyle w:val="17"/>
                    <w:bidi w:val="0"/>
                    <w:rPr>
                      <w:rFonts w:hint="default"/>
                      <w:color w:val="auto"/>
                      <w:lang w:val="en-US" w:eastAsia="zh-CN"/>
                    </w:rPr>
                  </w:pPr>
                  <w:r>
                    <w:rPr>
                      <w:rFonts w:hint="eastAsia"/>
                      <w:color w:val="auto"/>
                      <w:lang w:val="en-US" w:eastAsia="zh-CN"/>
                    </w:rPr>
                    <w:t>施工营地安排在游服地块内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658" w:type="dxa"/>
                  <w:vMerge w:val="continue"/>
                  <w:tcBorders>
                    <w:tl2br w:val="nil"/>
                    <w:tr2bl w:val="nil"/>
                  </w:tcBorders>
                  <w:vAlign w:val="center"/>
                </w:tcPr>
                <w:p>
                  <w:pPr>
                    <w:pStyle w:val="17"/>
                    <w:bidi w:val="0"/>
                    <w:rPr>
                      <w:rFonts w:hint="default"/>
                      <w:color w:val="auto"/>
                    </w:rPr>
                  </w:pPr>
                </w:p>
              </w:tc>
              <w:tc>
                <w:tcPr>
                  <w:tcW w:w="2073" w:type="dxa"/>
                  <w:gridSpan w:val="3"/>
                  <w:tcBorders>
                    <w:tl2br w:val="nil"/>
                    <w:tr2bl w:val="nil"/>
                  </w:tcBorders>
                  <w:vAlign w:val="center"/>
                </w:tcPr>
                <w:p>
                  <w:pPr>
                    <w:pStyle w:val="17"/>
                    <w:bidi w:val="0"/>
                    <w:rPr>
                      <w:rFonts w:hint="default"/>
                      <w:color w:val="auto"/>
                      <w:lang w:val="en-US" w:eastAsia="zh-CN"/>
                    </w:rPr>
                  </w:pPr>
                  <w:r>
                    <w:rPr>
                      <w:rFonts w:hint="eastAsia"/>
                      <w:color w:val="auto"/>
                      <w:lang w:val="en-US" w:eastAsia="zh-CN"/>
                    </w:rPr>
                    <w:t>临时施工场地</w:t>
                  </w:r>
                </w:p>
              </w:tc>
              <w:tc>
                <w:tcPr>
                  <w:tcW w:w="5122" w:type="dxa"/>
                  <w:tcBorders>
                    <w:tl2br w:val="nil"/>
                    <w:tr2bl w:val="nil"/>
                  </w:tcBorders>
                  <w:vAlign w:val="center"/>
                </w:tcPr>
                <w:p>
                  <w:pPr>
                    <w:pStyle w:val="17"/>
                    <w:bidi w:val="0"/>
                    <w:rPr>
                      <w:rFonts w:hint="default" w:eastAsia="宋体"/>
                      <w:color w:val="auto"/>
                      <w:lang w:val="en-US" w:eastAsia="zh-CN"/>
                    </w:rPr>
                  </w:pPr>
                  <w:r>
                    <w:rPr>
                      <w:rFonts w:hint="eastAsia"/>
                      <w:color w:val="auto"/>
                      <w:lang w:val="en-US" w:eastAsia="zh-CN"/>
                    </w:rPr>
                    <w:t>游服地块、金顶地块、G地块、D地块内各设一个临时施工场地，包含材料堆放场、临时堆土场等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658" w:type="dxa"/>
                  <w:vMerge w:val="restart"/>
                  <w:tcBorders>
                    <w:tl2br w:val="nil"/>
                    <w:tr2bl w:val="nil"/>
                  </w:tcBorders>
                  <w:vAlign w:val="center"/>
                </w:tcPr>
                <w:p>
                  <w:pPr>
                    <w:pStyle w:val="17"/>
                    <w:bidi w:val="0"/>
                    <w:ind w:firstLine="0" w:firstLineChars="0"/>
                    <w:rPr>
                      <w:rFonts w:hint="default"/>
                      <w:color w:val="auto"/>
                    </w:rPr>
                  </w:pPr>
                  <w:r>
                    <w:rPr>
                      <w:rFonts w:hint="eastAsia"/>
                      <w:color w:val="auto"/>
                      <w:lang w:val="en-US" w:eastAsia="zh-CN"/>
                    </w:rPr>
                    <w:t>公用工程</w:t>
                  </w:r>
                </w:p>
              </w:tc>
              <w:tc>
                <w:tcPr>
                  <w:tcW w:w="2073" w:type="dxa"/>
                  <w:gridSpan w:val="3"/>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供电</w:t>
                  </w:r>
                </w:p>
              </w:tc>
              <w:tc>
                <w:tcPr>
                  <w:tcW w:w="5122" w:type="dxa"/>
                  <w:tcBorders>
                    <w:tl2br w:val="nil"/>
                    <w:tr2bl w:val="nil"/>
                  </w:tcBorders>
                  <w:vAlign w:val="center"/>
                </w:tcPr>
                <w:p>
                  <w:pPr>
                    <w:pStyle w:val="17"/>
                    <w:bidi w:val="0"/>
                    <w:ind w:firstLine="0" w:firstLineChars="0"/>
                    <w:rPr>
                      <w:rFonts w:hint="eastAsia"/>
                      <w:color w:val="auto"/>
                      <w:lang w:val="en-US" w:eastAsia="zh-CN"/>
                    </w:rPr>
                  </w:pPr>
                  <w:r>
                    <w:rPr>
                      <w:rFonts w:hint="default"/>
                      <w:color w:val="auto"/>
                    </w:rPr>
                    <w:t>接</w:t>
                  </w:r>
                  <w:r>
                    <w:rPr>
                      <w:rFonts w:hint="default"/>
                      <w:color w:val="auto"/>
                      <w:lang w:eastAsia="zh-CN"/>
                    </w:rPr>
                    <w:t>景区</w:t>
                  </w:r>
                  <w:r>
                    <w:rPr>
                      <w:rFonts w:hint="default"/>
                      <w:color w:val="auto"/>
                    </w:rPr>
                    <w:t>变电站，由市政供电网供给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ind w:firstLine="0" w:firstLineChars="0"/>
                    <w:rPr>
                      <w:rFonts w:hint="default"/>
                      <w:color w:val="auto"/>
                    </w:rPr>
                  </w:pPr>
                </w:p>
              </w:tc>
              <w:tc>
                <w:tcPr>
                  <w:tcW w:w="2073" w:type="dxa"/>
                  <w:gridSpan w:val="3"/>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通讯</w:t>
                  </w:r>
                </w:p>
              </w:tc>
              <w:tc>
                <w:tcPr>
                  <w:tcW w:w="5122" w:type="dxa"/>
                  <w:tcBorders>
                    <w:tl2br w:val="nil"/>
                    <w:tr2bl w:val="nil"/>
                  </w:tcBorders>
                  <w:vAlign w:val="center"/>
                </w:tcPr>
                <w:p>
                  <w:pPr>
                    <w:pStyle w:val="17"/>
                    <w:bidi w:val="0"/>
                    <w:ind w:firstLine="0" w:firstLineChars="0"/>
                    <w:rPr>
                      <w:rFonts w:hint="eastAsia"/>
                      <w:color w:val="auto"/>
                      <w:lang w:val="en-US" w:eastAsia="zh-CN"/>
                    </w:rPr>
                  </w:pPr>
                  <w:r>
                    <w:rPr>
                      <w:rFonts w:hint="default"/>
                      <w:color w:val="auto"/>
                    </w:rPr>
                    <w:t>配套广播及监控系统、电话、无线对讲机等。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658" w:type="dxa"/>
                  <w:vMerge w:val="continue"/>
                  <w:tcBorders>
                    <w:tl2br w:val="nil"/>
                    <w:tr2bl w:val="nil"/>
                  </w:tcBorders>
                  <w:vAlign w:val="center"/>
                </w:tcPr>
                <w:p>
                  <w:pPr>
                    <w:pStyle w:val="17"/>
                    <w:bidi w:val="0"/>
                    <w:ind w:firstLine="0" w:firstLineChars="0"/>
                    <w:rPr>
                      <w:rFonts w:hint="default"/>
                      <w:color w:val="auto"/>
                    </w:rPr>
                  </w:pPr>
                </w:p>
              </w:tc>
              <w:tc>
                <w:tcPr>
                  <w:tcW w:w="2073" w:type="dxa"/>
                  <w:gridSpan w:val="3"/>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供水</w:t>
                  </w:r>
                </w:p>
              </w:tc>
              <w:tc>
                <w:tcPr>
                  <w:tcW w:w="5122" w:type="dxa"/>
                  <w:tcBorders>
                    <w:tl2br w:val="nil"/>
                    <w:tr2bl w:val="nil"/>
                  </w:tcBorders>
                  <w:vAlign w:val="center"/>
                </w:tcPr>
                <w:p>
                  <w:pPr>
                    <w:pStyle w:val="17"/>
                    <w:bidi w:val="0"/>
                    <w:ind w:firstLine="0" w:firstLineChars="0"/>
                    <w:rPr>
                      <w:rFonts w:hint="eastAsia"/>
                      <w:color w:val="auto"/>
                      <w:lang w:val="en-US" w:eastAsia="zh-CN"/>
                    </w:rPr>
                  </w:pPr>
                  <w:r>
                    <w:rPr>
                      <w:rFonts w:hint="default"/>
                      <w:color w:val="auto"/>
                    </w:rPr>
                    <w:t>用水由景区给水管网供给，可满足项目用水需求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ind w:firstLine="0" w:firstLineChars="0"/>
                    <w:rPr>
                      <w:rFonts w:hint="default"/>
                      <w:color w:val="auto"/>
                    </w:rPr>
                  </w:pPr>
                </w:p>
              </w:tc>
              <w:tc>
                <w:tcPr>
                  <w:tcW w:w="2073" w:type="dxa"/>
                  <w:gridSpan w:val="3"/>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排水</w:t>
                  </w:r>
                </w:p>
              </w:tc>
              <w:tc>
                <w:tcPr>
                  <w:tcW w:w="5122" w:type="dxa"/>
                  <w:tcBorders>
                    <w:tl2br w:val="nil"/>
                    <w:tr2bl w:val="nil"/>
                  </w:tcBorders>
                  <w:vAlign w:val="center"/>
                </w:tcPr>
                <w:p>
                  <w:pPr>
                    <w:pStyle w:val="17"/>
                    <w:bidi w:val="0"/>
                    <w:ind w:firstLine="0" w:firstLineChars="0"/>
                    <w:rPr>
                      <w:rFonts w:hint="default" w:eastAsia="宋体"/>
                      <w:color w:val="auto"/>
                      <w:lang w:val="en-US" w:eastAsia="zh-CN"/>
                    </w:rPr>
                  </w:pPr>
                  <w:r>
                    <w:rPr>
                      <w:rFonts w:hint="eastAsia"/>
                      <w:color w:val="auto"/>
                      <w:lang w:val="en-US" w:eastAsia="zh-CN"/>
                    </w:rPr>
                    <w:t>各地块餐饮废水采用隔油池处理后，与生活污水一同经</w:t>
                  </w:r>
                  <w:r>
                    <w:rPr>
                      <w:rFonts w:hint="default"/>
                      <w:color w:val="auto"/>
                    </w:rPr>
                    <w:t>地埋式一体化污水处理设施处理</w:t>
                  </w:r>
                  <w:r>
                    <w:rPr>
                      <w:rFonts w:hint="eastAsia"/>
                      <w:color w:val="auto"/>
                      <w:lang w:eastAsia="zh-CN"/>
                    </w:rPr>
                    <w:t>，</w:t>
                  </w:r>
                  <w:r>
                    <w:rPr>
                      <w:rFonts w:hint="eastAsia"/>
                      <w:color w:val="auto"/>
                      <w:lang w:val="en-US" w:eastAsia="zh-CN"/>
                    </w:rPr>
                    <w:t>处理后的废水定期由吸污车清运至当地生活污水处理厂，待</w:t>
                  </w:r>
                  <w:r>
                    <w:rPr>
                      <w:rFonts w:cs="Times New Roman"/>
                      <w:kern w:val="0"/>
                      <w:szCs w:val="24"/>
                    </w:rPr>
                    <w:t>果</w:t>
                  </w:r>
                  <w:r>
                    <w:rPr>
                      <w:rFonts w:hint="eastAsia" w:cs="Times New Roman"/>
                      <w:kern w:val="0"/>
                      <w:szCs w:val="24"/>
                      <w:lang w:val="en-US" w:eastAsia="zh-CN"/>
                    </w:rPr>
                    <w:t>赛</w:t>
                  </w:r>
                  <w:r>
                    <w:rPr>
                      <w:rFonts w:cs="Times New Roman"/>
                      <w:kern w:val="0"/>
                      <w:szCs w:val="24"/>
                    </w:rPr>
                    <w:t>景区</w:t>
                  </w:r>
                  <w:r>
                    <w:rPr>
                      <w:rFonts w:hint="eastAsia" w:cs="Times New Roman"/>
                      <w:kern w:val="0"/>
                      <w:szCs w:val="24"/>
                      <w:lang w:val="en-US" w:eastAsia="zh-CN"/>
                    </w:rPr>
                    <w:t>污水处理厂建成后运至景区污水处理厂处理</w:t>
                  </w: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rPr>
              <w:tc>
                <w:tcPr>
                  <w:tcW w:w="658" w:type="dxa"/>
                  <w:vMerge w:val="continue"/>
                  <w:tcBorders>
                    <w:tl2br w:val="nil"/>
                    <w:tr2bl w:val="nil"/>
                  </w:tcBorders>
                  <w:vAlign w:val="center"/>
                </w:tcPr>
                <w:p>
                  <w:pPr>
                    <w:pStyle w:val="17"/>
                    <w:bidi w:val="0"/>
                    <w:ind w:firstLine="0" w:firstLineChars="0"/>
                    <w:rPr>
                      <w:rFonts w:hint="default"/>
                      <w:color w:val="auto"/>
                    </w:rPr>
                  </w:pPr>
                </w:p>
              </w:tc>
              <w:tc>
                <w:tcPr>
                  <w:tcW w:w="2073" w:type="dxa"/>
                  <w:gridSpan w:val="3"/>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供热</w:t>
                  </w:r>
                </w:p>
              </w:tc>
              <w:tc>
                <w:tcPr>
                  <w:tcW w:w="5122" w:type="dxa"/>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采用电采暖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restart"/>
                  <w:tcBorders>
                    <w:tl2br w:val="nil"/>
                    <w:tr2bl w:val="nil"/>
                  </w:tcBorders>
                  <w:vAlign w:val="center"/>
                </w:tcPr>
                <w:p>
                  <w:pPr>
                    <w:pStyle w:val="17"/>
                    <w:bidi w:val="0"/>
                    <w:ind w:firstLine="0" w:firstLineChars="0"/>
                    <w:rPr>
                      <w:rFonts w:hint="default" w:eastAsia="宋体"/>
                      <w:color w:val="auto"/>
                      <w:lang w:val="en-US" w:eastAsia="zh-CN"/>
                    </w:rPr>
                  </w:pPr>
                  <w:r>
                    <w:rPr>
                      <w:rFonts w:hint="eastAsia"/>
                      <w:color w:val="auto"/>
                      <w:lang w:val="en-US" w:eastAsia="zh-CN"/>
                    </w:rPr>
                    <w:t>环保工程</w:t>
                  </w:r>
                </w:p>
              </w:tc>
              <w:tc>
                <w:tcPr>
                  <w:tcW w:w="756" w:type="dxa"/>
                  <w:gridSpan w:val="2"/>
                  <w:vMerge w:val="restart"/>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废水</w:t>
                  </w:r>
                </w:p>
              </w:tc>
              <w:tc>
                <w:tcPr>
                  <w:tcW w:w="1317" w:type="dxa"/>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生活污水</w:t>
                  </w:r>
                </w:p>
              </w:tc>
              <w:tc>
                <w:tcPr>
                  <w:tcW w:w="5122" w:type="dxa"/>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各地块</w:t>
                  </w:r>
                  <w:r>
                    <w:rPr>
                      <w:rFonts w:hint="default"/>
                      <w:color w:val="auto"/>
                    </w:rPr>
                    <w:t>工作人员及游客产生的生活污水经地埋式一体化污水处理设施处理，工艺</w:t>
                  </w:r>
                  <w:r>
                    <w:rPr>
                      <w:rFonts w:hint="eastAsia"/>
                      <w:color w:val="auto"/>
                      <w:lang w:val="en-US" w:eastAsia="zh-CN"/>
                    </w:rPr>
                    <w:t>处理工艺</w:t>
                  </w:r>
                  <w:r>
                    <w:rPr>
                      <w:rFonts w:hint="eastAsia"/>
                      <w:color w:val="auto"/>
                      <w:lang w:eastAsia="zh-CN"/>
                    </w:rPr>
                    <w:t>“</w:t>
                  </w:r>
                  <w:r>
                    <w:rPr>
                      <w:rFonts w:hint="eastAsia"/>
                      <w:color w:val="auto"/>
                      <w:lang w:val="en-US" w:eastAsia="zh-CN"/>
                    </w:rPr>
                    <w:t>A</w:t>
                  </w:r>
                  <w:r>
                    <w:rPr>
                      <w:rFonts w:hint="eastAsia"/>
                      <w:color w:val="auto"/>
                      <w:vertAlign w:val="superscript"/>
                      <w:lang w:val="en-US" w:eastAsia="zh-CN"/>
                    </w:rPr>
                    <w:t>2</w:t>
                  </w:r>
                  <w:r>
                    <w:rPr>
                      <w:rFonts w:hint="eastAsia"/>
                      <w:color w:val="auto"/>
                      <w:lang w:val="en-US" w:eastAsia="zh-CN"/>
                    </w:rPr>
                    <w:t>/O</w:t>
                  </w:r>
                  <w:r>
                    <w:rPr>
                      <w:rFonts w:hint="eastAsia"/>
                      <w:color w:val="auto"/>
                      <w:lang w:eastAsia="zh-CN"/>
                    </w:rPr>
                    <w:t>”，</w:t>
                  </w:r>
                  <w:r>
                    <w:rPr>
                      <w:rFonts w:hint="eastAsia"/>
                      <w:color w:val="auto"/>
                      <w:lang w:val="en-US" w:eastAsia="zh-CN"/>
                    </w:rPr>
                    <w:t>处理后由吸污车拉运清运至当地生活污水处理厂，待</w:t>
                  </w:r>
                  <w:r>
                    <w:rPr>
                      <w:rFonts w:cs="Times New Roman"/>
                      <w:kern w:val="0"/>
                      <w:szCs w:val="24"/>
                    </w:rPr>
                    <w:t>果</w:t>
                  </w:r>
                  <w:r>
                    <w:rPr>
                      <w:rFonts w:hint="eastAsia" w:cs="Times New Roman"/>
                      <w:kern w:val="0"/>
                      <w:szCs w:val="24"/>
                      <w:lang w:val="en-US" w:eastAsia="zh-CN"/>
                    </w:rPr>
                    <w:t>赛</w:t>
                  </w:r>
                  <w:r>
                    <w:rPr>
                      <w:rFonts w:cs="Times New Roman"/>
                      <w:kern w:val="0"/>
                      <w:szCs w:val="24"/>
                    </w:rPr>
                    <w:t>景区</w:t>
                  </w:r>
                  <w:r>
                    <w:rPr>
                      <w:rFonts w:hint="eastAsia" w:cs="Times New Roman"/>
                      <w:kern w:val="0"/>
                      <w:szCs w:val="24"/>
                      <w:lang w:val="en-US" w:eastAsia="zh-CN"/>
                    </w:rPr>
                    <w:t>污水处理厂建成后运至景区污水处理厂处理</w:t>
                  </w: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ind w:firstLine="0" w:firstLineChars="0"/>
                    <w:rPr>
                      <w:rFonts w:hint="default"/>
                      <w:color w:val="auto"/>
                    </w:rPr>
                  </w:pPr>
                </w:p>
              </w:tc>
              <w:tc>
                <w:tcPr>
                  <w:tcW w:w="756" w:type="dxa"/>
                  <w:gridSpan w:val="2"/>
                  <w:vMerge w:val="continue"/>
                  <w:tcBorders>
                    <w:tl2br w:val="nil"/>
                    <w:tr2bl w:val="nil"/>
                  </w:tcBorders>
                  <w:vAlign w:val="center"/>
                </w:tcPr>
                <w:p>
                  <w:pPr>
                    <w:pStyle w:val="17"/>
                    <w:bidi w:val="0"/>
                    <w:ind w:firstLine="0" w:firstLineChars="0"/>
                    <w:rPr>
                      <w:rFonts w:hint="eastAsia"/>
                      <w:color w:val="auto"/>
                      <w:lang w:val="en-US" w:eastAsia="zh-CN"/>
                    </w:rPr>
                  </w:pPr>
                </w:p>
              </w:tc>
              <w:tc>
                <w:tcPr>
                  <w:tcW w:w="1317" w:type="dxa"/>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餐饮废水</w:t>
                  </w:r>
                </w:p>
              </w:tc>
              <w:tc>
                <w:tcPr>
                  <w:tcW w:w="5122" w:type="dxa"/>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各地块商业餐饮废水经隔油池+</w:t>
                  </w:r>
                  <w:r>
                    <w:rPr>
                      <w:rFonts w:hint="default"/>
                      <w:color w:val="auto"/>
                    </w:rPr>
                    <w:t>地埋式一体化污水处理设施处理</w:t>
                  </w:r>
                  <w:r>
                    <w:rPr>
                      <w:rFonts w:hint="eastAsia"/>
                      <w:color w:val="auto"/>
                      <w:lang w:eastAsia="zh-CN"/>
                    </w:rPr>
                    <w:t>，</w:t>
                  </w:r>
                  <w:r>
                    <w:rPr>
                      <w:rFonts w:hint="default"/>
                      <w:color w:val="auto"/>
                    </w:rPr>
                    <w:t>工艺</w:t>
                  </w:r>
                  <w:r>
                    <w:rPr>
                      <w:rFonts w:hint="eastAsia"/>
                      <w:color w:val="auto"/>
                      <w:lang w:val="en-US" w:eastAsia="zh-CN"/>
                    </w:rPr>
                    <w:t>处理工艺</w:t>
                  </w:r>
                  <w:r>
                    <w:rPr>
                      <w:rFonts w:hint="eastAsia"/>
                      <w:color w:val="auto"/>
                      <w:lang w:eastAsia="zh-CN"/>
                    </w:rPr>
                    <w:t>“</w:t>
                  </w:r>
                  <w:r>
                    <w:rPr>
                      <w:rFonts w:hint="eastAsia"/>
                      <w:color w:val="auto"/>
                      <w:lang w:val="en-US" w:eastAsia="zh-CN"/>
                    </w:rPr>
                    <w:t>A</w:t>
                  </w:r>
                  <w:r>
                    <w:rPr>
                      <w:rFonts w:hint="eastAsia"/>
                      <w:color w:val="auto"/>
                      <w:vertAlign w:val="superscript"/>
                      <w:lang w:val="en-US" w:eastAsia="zh-CN"/>
                    </w:rPr>
                    <w:t>2</w:t>
                  </w:r>
                  <w:r>
                    <w:rPr>
                      <w:rFonts w:hint="eastAsia"/>
                      <w:color w:val="auto"/>
                      <w:lang w:val="en-US" w:eastAsia="zh-CN"/>
                    </w:rPr>
                    <w:t>/O</w:t>
                  </w:r>
                  <w:r>
                    <w:rPr>
                      <w:rFonts w:hint="eastAsia"/>
                      <w:color w:val="auto"/>
                      <w:lang w:eastAsia="zh-CN"/>
                    </w:rPr>
                    <w:t>”，</w:t>
                  </w:r>
                  <w:r>
                    <w:rPr>
                      <w:rFonts w:hint="eastAsia"/>
                      <w:color w:val="auto"/>
                      <w:lang w:val="en-US" w:eastAsia="zh-CN"/>
                    </w:rPr>
                    <w:t>处理后由吸污车清运至当地生活污水处理厂，待</w:t>
                  </w:r>
                  <w:r>
                    <w:rPr>
                      <w:rFonts w:cs="Times New Roman"/>
                      <w:kern w:val="0"/>
                      <w:szCs w:val="24"/>
                    </w:rPr>
                    <w:t>果</w:t>
                  </w:r>
                  <w:r>
                    <w:rPr>
                      <w:rFonts w:hint="eastAsia" w:cs="Times New Roman"/>
                      <w:kern w:val="0"/>
                      <w:szCs w:val="24"/>
                      <w:lang w:val="en-US" w:eastAsia="zh-CN"/>
                    </w:rPr>
                    <w:t>赛</w:t>
                  </w:r>
                  <w:r>
                    <w:rPr>
                      <w:rFonts w:cs="Times New Roman"/>
                      <w:kern w:val="0"/>
                      <w:szCs w:val="24"/>
                    </w:rPr>
                    <w:t>景区</w:t>
                  </w:r>
                  <w:r>
                    <w:rPr>
                      <w:rFonts w:hint="eastAsia" w:cs="Times New Roman"/>
                      <w:kern w:val="0"/>
                      <w:szCs w:val="24"/>
                      <w:lang w:val="en-US" w:eastAsia="zh-CN"/>
                    </w:rPr>
                    <w:t>污水处理厂建成后运至景区污水处理厂处理</w:t>
                  </w: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ind w:firstLine="0" w:firstLineChars="0"/>
                    <w:rPr>
                      <w:rFonts w:hint="default"/>
                      <w:color w:val="auto"/>
                    </w:rPr>
                  </w:pPr>
                </w:p>
              </w:tc>
              <w:tc>
                <w:tcPr>
                  <w:tcW w:w="756" w:type="dxa"/>
                  <w:gridSpan w:val="2"/>
                  <w:vMerge w:val="restart"/>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废气</w:t>
                  </w:r>
                </w:p>
              </w:tc>
              <w:tc>
                <w:tcPr>
                  <w:tcW w:w="1317" w:type="dxa"/>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污水处理设施臭气</w:t>
                  </w:r>
                </w:p>
              </w:tc>
              <w:tc>
                <w:tcPr>
                  <w:tcW w:w="5122" w:type="dxa"/>
                  <w:tcBorders>
                    <w:tl2br w:val="nil"/>
                    <w:tr2bl w:val="nil"/>
                  </w:tcBorders>
                  <w:vAlign w:val="center"/>
                </w:tcPr>
                <w:p>
                  <w:pPr>
                    <w:pStyle w:val="17"/>
                    <w:bidi w:val="0"/>
                    <w:ind w:firstLine="0" w:firstLineChars="0"/>
                    <w:rPr>
                      <w:rFonts w:hint="default" w:eastAsia="宋体"/>
                      <w:color w:val="auto"/>
                      <w:lang w:val="en-US" w:eastAsia="zh-CN"/>
                    </w:rPr>
                  </w:pPr>
                  <w:r>
                    <w:rPr>
                      <w:rFonts w:hint="default"/>
                      <w:color w:val="auto"/>
                    </w:rPr>
                    <w:t>污水处理设施构筑物密闭设计、采用地埋式、在污水处理建构筑物周边</w:t>
                  </w:r>
                  <w:r>
                    <w:rPr>
                      <w:rFonts w:hint="eastAsia"/>
                      <w:color w:val="auto"/>
                      <w:lang w:val="en-US" w:eastAsia="zh-CN"/>
                    </w:rPr>
                    <w:t>进行植被恢复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ind w:firstLine="0" w:firstLineChars="0"/>
                    <w:rPr>
                      <w:rFonts w:hint="default"/>
                      <w:color w:val="auto"/>
                    </w:rPr>
                  </w:pPr>
                </w:p>
              </w:tc>
              <w:tc>
                <w:tcPr>
                  <w:tcW w:w="756" w:type="dxa"/>
                  <w:gridSpan w:val="2"/>
                  <w:vMerge w:val="continue"/>
                  <w:tcBorders>
                    <w:tl2br w:val="nil"/>
                    <w:tr2bl w:val="nil"/>
                  </w:tcBorders>
                  <w:vAlign w:val="center"/>
                </w:tcPr>
                <w:p>
                  <w:pPr>
                    <w:pStyle w:val="17"/>
                    <w:bidi w:val="0"/>
                    <w:ind w:firstLine="0" w:firstLineChars="0"/>
                    <w:rPr>
                      <w:rFonts w:hint="eastAsia"/>
                      <w:color w:val="auto"/>
                      <w:lang w:val="en-US" w:eastAsia="zh-CN"/>
                    </w:rPr>
                  </w:pPr>
                </w:p>
              </w:tc>
              <w:tc>
                <w:tcPr>
                  <w:tcW w:w="1317" w:type="dxa"/>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餐饮油烟</w:t>
                  </w:r>
                </w:p>
              </w:tc>
              <w:tc>
                <w:tcPr>
                  <w:tcW w:w="5122" w:type="dxa"/>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各地块餐厅厨房安装</w:t>
                  </w:r>
                  <w:r>
                    <w:rPr>
                      <w:rFonts w:hint="eastAsia" w:ascii="Times New Roman" w:hAnsi="Times New Roman" w:cs="Times New Roman"/>
                      <w:color w:val="auto"/>
                      <w:sz w:val="21"/>
                      <w:szCs w:val="21"/>
                      <w:lang w:eastAsia="zh-CN"/>
                    </w:rPr>
                    <w:t>油烟净化装置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ind w:firstLine="0" w:firstLineChars="0"/>
                    <w:rPr>
                      <w:rFonts w:hint="default"/>
                      <w:color w:val="auto"/>
                    </w:rPr>
                  </w:pPr>
                </w:p>
              </w:tc>
              <w:tc>
                <w:tcPr>
                  <w:tcW w:w="2073" w:type="dxa"/>
                  <w:gridSpan w:val="3"/>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噪声</w:t>
                  </w:r>
                </w:p>
              </w:tc>
              <w:tc>
                <w:tcPr>
                  <w:tcW w:w="5122" w:type="dxa"/>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施工期</w:t>
                  </w:r>
                  <w:r>
                    <w:rPr>
                      <w:rFonts w:hint="default"/>
                      <w:color w:val="auto"/>
                    </w:rPr>
                    <w:t>选用低噪声设备，合理</w:t>
                  </w:r>
                  <w:r>
                    <w:rPr>
                      <w:rFonts w:hint="eastAsia"/>
                      <w:color w:val="auto"/>
                      <w:lang w:val="en-US" w:eastAsia="zh-CN"/>
                    </w:rPr>
                    <w:t>施工</w:t>
                  </w:r>
                  <w:r>
                    <w:rPr>
                      <w:rFonts w:hint="default"/>
                      <w:color w:val="auto"/>
                    </w:rPr>
                    <w:t>布局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ind w:firstLine="0" w:firstLineChars="0"/>
                    <w:rPr>
                      <w:rFonts w:hint="default"/>
                      <w:color w:val="auto"/>
                    </w:rPr>
                  </w:pPr>
                </w:p>
              </w:tc>
              <w:tc>
                <w:tcPr>
                  <w:tcW w:w="756" w:type="dxa"/>
                  <w:gridSpan w:val="2"/>
                  <w:vMerge w:val="restart"/>
                  <w:tcBorders>
                    <w:tl2br w:val="nil"/>
                    <w:tr2bl w:val="nil"/>
                  </w:tcBorders>
                  <w:vAlign w:val="center"/>
                </w:tcPr>
                <w:p>
                  <w:pPr>
                    <w:pStyle w:val="17"/>
                    <w:bidi w:val="0"/>
                    <w:ind w:firstLine="0" w:firstLineChars="0"/>
                    <w:rPr>
                      <w:rFonts w:hint="default"/>
                      <w:color w:val="auto"/>
                      <w:lang w:val="en-US" w:eastAsia="zh-CN"/>
                    </w:rPr>
                  </w:pPr>
                  <w:r>
                    <w:rPr>
                      <w:rFonts w:hint="eastAsia"/>
                      <w:color w:val="auto"/>
                      <w:lang w:val="en-US" w:eastAsia="zh-CN"/>
                    </w:rPr>
                    <w:t>固废</w:t>
                  </w:r>
                </w:p>
              </w:tc>
              <w:tc>
                <w:tcPr>
                  <w:tcW w:w="1317" w:type="dxa"/>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生活垃圾</w:t>
                  </w:r>
                </w:p>
              </w:tc>
              <w:tc>
                <w:tcPr>
                  <w:tcW w:w="5122" w:type="dxa"/>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各地块</w:t>
                  </w:r>
                  <w:r>
                    <w:rPr>
                      <w:rFonts w:hint="default"/>
                      <w:color w:val="auto"/>
                    </w:rPr>
                    <w:t>设置垃圾箱统一收集，运至景区垃圾收集站，由</w:t>
                  </w:r>
                  <w:r>
                    <w:rPr>
                      <w:rFonts w:hint="default"/>
                      <w:color w:val="auto"/>
                      <w:lang w:eastAsia="zh-CN"/>
                    </w:rPr>
                    <w:t>景区</w:t>
                  </w:r>
                  <w:r>
                    <w:rPr>
                      <w:rFonts w:hint="default"/>
                      <w:color w:val="auto"/>
                    </w:rPr>
                    <w:t>环卫部门统一运至</w:t>
                  </w:r>
                  <w:r>
                    <w:rPr>
                      <w:rFonts w:hint="eastAsia"/>
                      <w:color w:val="auto"/>
                      <w:lang w:val="en-US" w:eastAsia="zh-CN"/>
                    </w:rPr>
                    <w:t>霍尔果斯经济开发区清水河配套园区</w:t>
                  </w:r>
                  <w:r>
                    <w:rPr>
                      <w:rFonts w:hint="default"/>
                      <w:color w:val="auto"/>
                    </w:rPr>
                    <w:t>垃圾填埋场安全处置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ind w:firstLine="0" w:firstLineChars="0"/>
                    <w:rPr>
                      <w:rFonts w:hint="default"/>
                      <w:color w:val="auto"/>
                    </w:rPr>
                  </w:pPr>
                </w:p>
              </w:tc>
              <w:tc>
                <w:tcPr>
                  <w:tcW w:w="756" w:type="dxa"/>
                  <w:gridSpan w:val="2"/>
                  <w:vMerge w:val="continue"/>
                  <w:tcBorders>
                    <w:tl2br w:val="nil"/>
                    <w:tr2bl w:val="nil"/>
                  </w:tcBorders>
                  <w:vAlign w:val="center"/>
                </w:tcPr>
                <w:p>
                  <w:pPr>
                    <w:pStyle w:val="17"/>
                    <w:bidi w:val="0"/>
                    <w:ind w:firstLine="0" w:firstLineChars="0"/>
                    <w:rPr>
                      <w:rFonts w:hint="eastAsia"/>
                      <w:color w:val="auto"/>
                      <w:lang w:val="en-US" w:eastAsia="zh-CN"/>
                    </w:rPr>
                  </w:pPr>
                </w:p>
              </w:tc>
              <w:tc>
                <w:tcPr>
                  <w:tcW w:w="1317" w:type="dxa"/>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废水处理污泥</w:t>
                  </w:r>
                </w:p>
              </w:tc>
              <w:tc>
                <w:tcPr>
                  <w:tcW w:w="5122" w:type="dxa"/>
                  <w:tcBorders>
                    <w:tl2br w:val="nil"/>
                    <w:tr2bl w:val="nil"/>
                  </w:tcBorders>
                  <w:vAlign w:val="center"/>
                </w:tcPr>
                <w:p>
                  <w:pPr>
                    <w:pStyle w:val="17"/>
                    <w:bidi w:val="0"/>
                    <w:ind w:firstLine="0" w:firstLineChars="0"/>
                    <w:rPr>
                      <w:rFonts w:hint="eastAsia"/>
                      <w:color w:val="auto"/>
                      <w:lang w:val="en-US" w:eastAsia="zh-CN"/>
                    </w:rPr>
                  </w:pPr>
                  <w:r>
                    <w:rPr>
                      <w:rFonts w:hint="default"/>
                      <w:color w:val="auto"/>
                    </w:rPr>
                    <w:t>经脱水处理满足生活垃圾填埋场入场要求后，先在固废暂存点暂时存放，定期用专用封闭车运至</w:t>
                  </w:r>
                  <w:r>
                    <w:rPr>
                      <w:rFonts w:hint="eastAsia"/>
                      <w:color w:val="auto"/>
                      <w:lang w:val="en-US" w:eastAsia="zh-CN"/>
                    </w:rPr>
                    <w:t>垃圾填埋场填埋</w:t>
                  </w:r>
                  <w:r>
                    <w:rPr>
                      <w:rFonts w:hint="default"/>
                      <w:color w:val="auto"/>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8" w:type="dxa"/>
                  <w:vMerge w:val="continue"/>
                  <w:tcBorders>
                    <w:tl2br w:val="nil"/>
                    <w:tr2bl w:val="nil"/>
                  </w:tcBorders>
                  <w:vAlign w:val="center"/>
                </w:tcPr>
                <w:p>
                  <w:pPr>
                    <w:pStyle w:val="17"/>
                    <w:bidi w:val="0"/>
                    <w:ind w:firstLine="0" w:firstLineChars="0"/>
                    <w:rPr>
                      <w:rFonts w:hint="default"/>
                      <w:color w:val="auto"/>
                    </w:rPr>
                  </w:pPr>
                </w:p>
              </w:tc>
              <w:tc>
                <w:tcPr>
                  <w:tcW w:w="756" w:type="dxa"/>
                  <w:gridSpan w:val="2"/>
                  <w:vMerge w:val="continue"/>
                  <w:tcBorders>
                    <w:tl2br w:val="nil"/>
                    <w:tr2bl w:val="nil"/>
                  </w:tcBorders>
                  <w:vAlign w:val="center"/>
                </w:tcPr>
                <w:p>
                  <w:pPr>
                    <w:pStyle w:val="17"/>
                    <w:bidi w:val="0"/>
                    <w:ind w:firstLine="0" w:firstLineChars="0"/>
                    <w:rPr>
                      <w:rFonts w:hint="eastAsia"/>
                      <w:color w:val="auto"/>
                      <w:lang w:val="en-US" w:eastAsia="zh-CN"/>
                    </w:rPr>
                  </w:pPr>
                </w:p>
              </w:tc>
              <w:tc>
                <w:tcPr>
                  <w:tcW w:w="1317" w:type="dxa"/>
                  <w:tcBorders>
                    <w:tl2br w:val="nil"/>
                    <w:tr2bl w:val="nil"/>
                  </w:tcBorders>
                  <w:vAlign w:val="center"/>
                </w:tcPr>
                <w:p>
                  <w:pPr>
                    <w:pStyle w:val="17"/>
                    <w:bidi w:val="0"/>
                    <w:ind w:firstLine="0" w:firstLineChars="0"/>
                    <w:rPr>
                      <w:rFonts w:hint="eastAsia"/>
                      <w:color w:val="auto"/>
                      <w:lang w:val="en-US" w:eastAsia="zh-CN"/>
                    </w:rPr>
                  </w:pPr>
                  <w:r>
                    <w:rPr>
                      <w:rFonts w:hint="eastAsia"/>
                      <w:color w:val="auto"/>
                      <w:lang w:val="en-US" w:eastAsia="zh-CN"/>
                    </w:rPr>
                    <w:t>危险废物</w:t>
                  </w:r>
                </w:p>
              </w:tc>
              <w:tc>
                <w:tcPr>
                  <w:tcW w:w="5122" w:type="dxa"/>
                  <w:tcBorders>
                    <w:tl2br w:val="nil"/>
                    <w:tr2bl w:val="nil"/>
                  </w:tcBorders>
                  <w:vAlign w:val="center"/>
                </w:tcPr>
                <w:p>
                  <w:pPr>
                    <w:pStyle w:val="17"/>
                    <w:bidi w:val="0"/>
                    <w:ind w:firstLine="0" w:firstLineChars="0"/>
                    <w:rPr>
                      <w:rFonts w:hint="eastAsia"/>
                      <w:color w:val="auto"/>
                      <w:lang w:val="en-US" w:eastAsia="zh-CN"/>
                    </w:rPr>
                  </w:pPr>
                  <w:r>
                    <w:rPr>
                      <w:rFonts w:hint="default"/>
                      <w:color w:val="auto"/>
                    </w:rPr>
                    <w:t>采用专用收集桶暂存于危险废物暂存间（贮存场所要防风、防雨、防晒，应避开易燃、易爆危险品仓库、高压输电线路防护区域，基础必须防渗，防渗层为至少1m厚粘土层</w:t>
                  </w:r>
                  <w:r>
                    <w:rPr>
                      <w:rFonts w:hint="eastAsia"/>
                      <w:color w:val="auto"/>
                      <w:lang w:eastAsia="zh-CN"/>
                    </w:rPr>
                    <w:t>（</w:t>
                  </w:r>
                  <w:r>
                    <w:rPr>
                      <w:rFonts w:hint="default"/>
                      <w:color w:val="auto"/>
                    </w:rPr>
                    <w:t>渗透系数≤10</w:t>
                  </w:r>
                  <w:r>
                    <w:rPr>
                      <w:rFonts w:hint="default"/>
                      <w:color w:val="auto"/>
                      <w:vertAlign w:val="superscript"/>
                    </w:rPr>
                    <w:t>-7</w:t>
                  </w:r>
                  <w:r>
                    <w:rPr>
                      <w:rFonts w:hint="default"/>
                      <w:color w:val="auto"/>
                    </w:rPr>
                    <w:t>cm/s</w:t>
                  </w:r>
                  <w:r>
                    <w:rPr>
                      <w:rFonts w:hint="eastAsia"/>
                      <w:color w:val="auto"/>
                      <w:lang w:eastAsia="zh-CN"/>
                    </w:rPr>
                    <w:t>）</w:t>
                  </w:r>
                  <w:r>
                    <w:rPr>
                      <w:rFonts w:hint="default"/>
                      <w:color w:val="auto"/>
                    </w:rPr>
                    <w:t>，或2mm厚高密度聚乙烯，或至少2mm厚的其它人工材料，渗透系数≤10</w:t>
                  </w:r>
                  <w:r>
                    <w:rPr>
                      <w:rFonts w:hint="default"/>
                      <w:color w:val="auto"/>
                      <w:vertAlign w:val="superscript"/>
                    </w:rPr>
                    <w:t>-10</w:t>
                  </w:r>
                  <w:r>
                    <w:rPr>
                      <w:rFonts w:hint="default"/>
                      <w:color w:val="auto"/>
                    </w:rPr>
                    <w:t>cm/s），交由有资质的单位统一</w:t>
                  </w:r>
                  <w:r>
                    <w:rPr>
                      <w:rFonts w:hint="eastAsia"/>
                      <w:color w:val="auto"/>
                      <w:lang w:val="en-US" w:eastAsia="zh-CN"/>
                    </w:rPr>
                    <w:t>清运</w:t>
                  </w:r>
                  <w:r>
                    <w:rPr>
                      <w:rFonts w:hint="default"/>
                      <w:color w:val="auto"/>
                    </w:rPr>
                    <w:t>处理</w:t>
                  </w:r>
                </w:p>
              </w:tc>
            </w:tr>
          </w:tbl>
          <w:p>
            <w:pPr>
              <w:bidi w:val="0"/>
              <w:ind w:left="0" w:leftChars="0" w:firstLine="0" w:firstLineChars="0"/>
              <w:jc w:val="both"/>
              <w:rPr>
                <w:rFonts w:hint="default"/>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4" w:type="pct"/>
            <w:noWrap w:val="0"/>
            <w:vAlign w:val="center"/>
          </w:tcPr>
          <w:p>
            <w:pPr>
              <w:pStyle w:val="17"/>
              <w:bidi w:val="0"/>
              <w:rPr>
                <w:rFonts w:hint="default"/>
                <w:color w:val="auto"/>
                <w:sz w:val="24"/>
                <w:szCs w:val="24"/>
              </w:rPr>
            </w:pPr>
            <w:r>
              <w:rPr>
                <w:rFonts w:hint="default"/>
                <w:color w:val="auto"/>
                <w:sz w:val="24"/>
                <w:szCs w:val="24"/>
              </w:rPr>
              <w:t>总平面及现场布置</w:t>
            </w:r>
          </w:p>
        </w:tc>
        <w:tc>
          <w:tcPr>
            <w:tcW w:w="4735" w:type="pct"/>
            <w:noWrap w:val="0"/>
            <w:vAlign w:val="center"/>
          </w:tcPr>
          <w:p>
            <w:pPr>
              <w:bidi w:val="0"/>
              <w:ind w:left="482" w:leftChars="0" w:hanging="482" w:hangingChars="200"/>
              <w:rPr>
                <w:rFonts w:hint="eastAsia" w:ascii="Times New Roman" w:hAnsi="Times New Roman" w:eastAsia="宋体" w:cs="Times New Roman"/>
                <w:b/>
                <w:bCs/>
                <w:color w:val="auto"/>
                <w:kern w:val="0"/>
                <w:sz w:val="24"/>
                <w:szCs w:val="28"/>
                <w:lang w:val="en-US" w:eastAsia="zh-CN" w:bidi="ar-SA"/>
              </w:rPr>
            </w:pPr>
            <w:r>
              <w:rPr>
                <w:rFonts w:hint="eastAsia" w:ascii="Times New Roman" w:hAnsi="Times New Roman" w:eastAsia="宋体" w:cs="Times New Roman"/>
                <w:b/>
                <w:bCs/>
                <w:color w:val="auto"/>
                <w:kern w:val="0"/>
                <w:sz w:val="24"/>
                <w:szCs w:val="28"/>
                <w:lang w:val="en-US" w:eastAsia="zh-CN" w:bidi="ar-SA"/>
              </w:rPr>
              <w:t>1 景区配套服务设施</w:t>
            </w:r>
          </w:p>
          <w:p>
            <w:pPr>
              <w:bidi w:val="0"/>
              <w:ind w:left="0" w:leftChars="0"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霍城县果子沟阿力麻里项目由游客集散中心与阿力麻里项目核心景区构成，两个区域由连霍高速公路及老312国道串联。</w:t>
            </w:r>
          </w:p>
          <w:p>
            <w:pPr>
              <w:bidi w:val="0"/>
              <w:ind w:left="0" w:leftChars="0" w:firstLine="480" w:firstLineChars="200"/>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color w:val="auto"/>
                <w:lang w:val="en-US" w:eastAsia="zh-CN"/>
              </w:rPr>
              <w:t>规划设计范围涉及萨尔布拉克镇草场、果子沟牧场，游客服务中心位于果子沟牧</w:t>
            </w:r>
            <w:r>
              <w:rPr>
                <w:rFonts w:hint="eastAsia" w:ascii="Times New Roman" w:hAnsi="Times New Roman" w:eastAsia="宋体" w:cs="Times New Roman"/>
                <w:b w:val="0"/>
                <w:bCs w:val="0"/>
                <w:color w:val="auto"/>
                <w:kern w:val="2"/>
                <w:sz w:val="24"/>
                <w:szCs w:val="24"/>
                <w:lang w:val="en-US" w:eastAsia="zh-CN" w:bidi="ar-SA"/>
              </w:rPr>
              <w:t>场农业村居民点南侧，其他地块均位于山区牧场，此区域仅有道路、景区服务等用途的管护设施，不涉及常驻居民。施工场地均规划在各地块红线范围内，无红线外占地。</w:t>
            </w:r>
          </w:p>
          <w:p>
            <w:pPr>
              <w:bidi w:val="0"/>
              <w:ind w:left="0" w:leftChars="0" w:firstLine="482" w:firstLineChars="200"/>
              <w:rPr>
                <w:rFonts w:hint="eastAsia"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1.1 游服地块</w:t>
            </w:r>
          </w:p>
          <w:p>
            <w:pPr>
              <w:bidi w:val="0"/>
              <w:ind w:left="0" w:leftChars="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（1）游服中心及配套用房</w:t>
            </w:r>
          </w:p>
          <w:p>
            <w:pPr>
              <w:bidi w:val="0"/>
              <w:ind w:left="0" w:leftChars="0"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游服中心及配套用房布置于地块中心，为地上三层砖混建筑</w:t>
            </w:r>
            <w:r>
              <w:rPr>
                <w:rFonts w:hint="eastAsia"/>
                <w:color w:val="auto"/>
                <w:lang w:val="en-US" w:eastAsia="zh-CN"/>
              </w:rPr>
              <w:t>。</w:t>
            </w:r>
          </w:p>
          <w:p>
            <w:pPr>
              <w:bidi w:val="0"/>
              <w:ind w:left="0" w:leftChars="0"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（2）停车场及室外景观</w:t>
            </w:r>
          </w:p>
          <w:p>
            <w:pPr>
              <w:bidi w:val="0"/>
              <w:ind w:left="0" w:leftChars="0" w:firstLine="480" w:firstLineChars="200"/>
              <w:rPr>
                <w:rFonts w:hint="eastAsia"/>
                <w:color w:val="auto"/>
                <w:lang w:val="en-US" w:eastAsia="zh-CN"/>
              </w:rPr>
            </w:pPr>
            <w:r>
              <w:rPr>
                <w:rFonts w:hint="eastAsia" w:ascii="Times New Roman" w:hAnsi="Times New Roman" w:eastAsia="宋体" w:cs="Times New Roman"/>
                <w:color w:val="auto"/>
                <w:lang w:val="en-US" w:eastAsia="zh-CN"/>
              </w:rPr>
              <w:t>停车场围绕游服中心北侧、东侧和南侧三面布置，共设</w:t>
            </w:r>
            <w:r>
              <w:rPr>
                <w:rFonts w:hint="eastAsia"/>
                <w:color w:val="auto"/>
                <w:lang w:val="en-US" w:eastAsia="zh-CN"/>
              </w:rPr>
              <w:t>机动车停车位1000个。</w:t>
            </w:r>
          </w:p>
          <w:p>
            <w:pPr>
              <w:pStyle w:val="2"/>
              <w:ind w:left="723" w:hanging="723" w:hangingChars="300"/>
              <w:jc w:val="both"/>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1.2 金顶地块</w:t>
            </w:r>
          </w:p>
          <w:p>
            <w:pPr>
              <w:bidi w:val="0"/>
              <w:ind w:left="0" w:leftChars="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（1）景点</w:t>
            </w:r>
          </w:p>
          <w:p>
            <w:pPr>
              <w:bidi w:val="0"/>
              <w:ind w:left="0" w:leftChars="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建设赛里木台观景平台、阿力麻里景观地标和文化展陈以及艺术品构筑物。</w:t>
            </w:r>
          </w:p>
          <w:p>
            <w:pPr>
              <w:bidi w:val="0"/>
              <w:ind w:left="0" w:leftChars="0"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（2）商业</w:t>
            </w:r>
          </w:p>
          <w:p>
            <w:pPr>
              <w:bidi w:val="0"/>
              <w:ind w:left="720" w:leftChars="200" w:hanging="240" w:hangingChars="100"/>
              <w:rPr>
                <w:rFonts w:hint="eastAsia"/>
                <w:color w:val="auto"/>
                <w:lang w:val="en-US" w:eastAsia="zh-CN"/>
              </w:rPr>
            </w:pPr>
            <w:r>
              <w:rPr>
                <w:rFonts w:hint="eastAsia" w:ascii="Times New Roman" w:hAnsi="Times New Roman" w:eastAsia="宋体" w:cs="Times New Roman"/>
                <w:color w:val="auto"/>
                <w:lang w:val="en-US" w:eastAsia="zh-CN"/>
              </w:rPr>
              <w:t>建设茶咖馆1座、毡房休闲商业及配套后勤</w:t>
            </w:r>
            <w:r>
              <w:rPr>
                <w:rFonts w:hint="eastAsia"/>
                <w:color w:val="auto"/>
                <w:lang w:val="en-US" w:eastAsia="zh-CN"/>
              </w:rPr>
              <w:t>。</w:t>
            </w:r>
          </w:p>
          <w:p>
            <w:pPr>
              <w:numPr>
                <w:ilvl w:val="0"/>
                <w:numId w:val="0"/>
              </w:numPr>
              <w:bidi w:val="0"/>
              <w:ind w:leftChars="200"/>
              <w:rPr>
                <w:rFonts w:hint="eastAsia"/>
                <w:color w:val="auto"/>
                <w:lang w:val="en-US" w:eastAsia="zh-CN"/>
              </w:rPr>
            </w:pPr>
            <w:r>
              <w:rPr>
                <w:rFonts w:hint="eastAsia"/>
                <w:color w:val="auto"/>
                <w:lang w:val="en-US" w:eastAsia="zh-CN"/>
              </w:rPr>
              <w:t>（3）游客服务配套</w:t>
            </w:r>
          </w:p>
          <w:p>
            <w:pPr>
              <w:numPr>
                <w:ilvl w:val="0"/>
                <w:numId w:val="0"/>
              </w:numPr>
              <w:bidi w:val="0"/>
              <w:ind w:firstLine="480" w:firstLineChars="200"/>
              <w:rPr>
                <w:rFonts w:hint="eastAsia" w:ascii="Times New Roman" w:hAnsi="Times New Roman" w:eastAsia="宋体" w:cs="Times New Roman"/>
                <w:color w:val="auto"/>
                <w:lang w:val="en-US" w:eastAsia="zh-CN"/>
              </w:rPr>
            </w:pPr>
            <w:r>
              <w:rPr>
                <w:rFonts w:hint="eastAsia"/>
                <w:color w:val="auto"/>
                <w:lang w:val="en-US" w:eastAsia="zh-CN"/>
              </w:rPr>
              <w:t>建设生态卫生间1座及</w:t>
            </w:r>
            <w:r>
              <w:rPr>
                <w:rFonts w:hint="eastAsia" w:ascii="Times New Roman" w:hAnsi="Times New Roman" w:eastAsia="宋体" w:cs="Times New Roman"/>
                <w:color w:val="auto"/>
                <w:lang w:val="en-US" w:eastAsia="zh-CN"/>
              </w:rPr>
              <w:t>垃圾收集间1座，以及设备用房1座（包含生活水泵房、消防水泵房和弱电机房）。</w:t>
            </w:r>
          </w:p>
          <w:p>
            <w:pPr>
              <w:pStyle w:val="2"/>
              <w:ind w:left="723" w:hanging="723" w:hangingChars="300"/>
              <w:jc w:val="both"/>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1.3 G地块</w:t>
            </w:r>
          </w:p>
          <w:p>
            <w:pPr>
              <w:bidi w:val="0"/>
              <w:ind w:left="0" w:leftChars="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（1）商业</w:t>
            </w:r>
          </w:p>
          <w:p>
            <w:pPr>
              <w:bidi w:val="0"/>
              <w:ind w:left="0" w:leftChars="0" w:firstLine="480" w:firstLineChars="200"/>
              <w:rPr>
                <w:rFonts w:hint="eastAsia"/>
                <w:color w:val="auto"/>
                <w:lang w:val="en-US" w:eastAsia="zh-CN"/>
              </w:rPr>
            </w:pPr>
            <w:r>
              <w:rPr>
                <w:rFonts w:hint="eastAsia" w:ascii="Times New Roman" w:hAnsi="Times New Roman" w:eastAsia="宋体" w:cs="Times New Roman"/>
                <w:color w:val="auto"/>
                <w:lang w:val="en-US" w:eastAsia="zh-CN"/>
              </w:rPr>
              <w:t>建设百果盛筵中餐厅1座</w:t>
            </w:r>
            <w:r>
              <w:rPr>
                <w:rFonts w:hint="eastAsia"/>
                <w:color w:val="auto"/>
                <w:lang w:val="en-US" w:eastAsia="zh-CN"/>
              </w:rPr>
              <w:t>以及</w:t>
            </w:r>
            <w:r>
              <w:rPr>
                <w:rFonts w:hint="eastAsia" w:ascii="Times New Roman" w:hAnsi="Times New Roman" w:eastAsia="宋体" w:cs="Times New Roman"/>
                <w:color w:val="auto"/>
                <w:lang w:val="en-US" w:eastAsia="zh-CN"/>
              </w:rPr>
              <w:t>露华馆1座（包含毡房、换装馆）。</w:t>
            </w:r>
          </w:p>
          <w:p>
            <w:pPr>
              <w:bidi w:val="0"/>
              <w:ind w:left="720" w:leftChars="200" w:hanging="240" w:hangingChars="1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（2）游客服务配套</w:t>
            </w:r>
          </w:p>
          <w:p>
            <w:pPr>
              <w:bidi w:val="0"/>
              <w:ind w:left="0" w:leftChars="0"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建设区间车站、后勤配套用房1座、配套毡房1座、生态卫生间1座及垃圾收集间1座，以及设备用房（包含生活水泵房、消防水泵房和弱电机房）。</w:t>
            </w:r>
          </w:p>
          <w:p>
            <w:pPr>
              <w:pStyle w:val="2"/>
              <w:ind w:left="723" w:hanging="723" w:hangingChars="300"/>
              <w:jc w:val="both"/>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1.4D地块</w:t>
            </w:r>
          </w:p>
          <w:p>
            <w:pPr>
              <w:bidi w:val="0"/>
              <w:ind w:left="720" w:leftChars="200" w:hanging="240" w:hangingChars="1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（1）景点</w:t>
            </w:r>
          </w:p>
          <w:p>
            <w:pPr>
              <w:bidi w:val="0"/>
              <w:ind w:left="720" w:leftChars="200" w:hanging="240" w:hangingChars="1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建设林下可拆卸可移动等户外拓展产品。</w:t>
            </w:r>
          </w:p>
          <w:p>
            <w:pPr>
              <w:bidi w:val="0"/>
              <w:ind w:left="720" w:leftChars="200" w:hanging="240" w:hangingChars="1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（2）商业</w:t>
            </w:r>
          </w:p>
          <w:p>
            <w:pPr>
              <w:bidi w:val="0"/>
              <w:ind w:left="0" w:leftChars="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建设哈风马茶馆1座（主要为轻食简餐、咖啡水吧），以及休闲商业休憩点位。</w:t>
            </w:r>
          </w:p>
          <w:p>
            <w:pPr>
              <w:bidi w:val="0"/>
              <w:ind w:left="720" w:leftChars="200" w:hanging="240" w:hangingChars="1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（3）游客服务配套</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建设区丹枫馆（游客服务）1座、区间车站、后勤配套用房1座、生态卫生间1座及垃圾收集间1座，以及设备用房（包含生活水泵房、消防水泵房和弱电机房）。</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r>
              <w:rPr>
                <w:rFonts w:hint="eastAsia"/>
                <w:color w:val="auto"/>
                <w:lang w:val="en-US" w:eastAsia="zh-CN"/>
              </w:rPr>
              <w:t>停车场及室外景观</w:t>
            </w:r>
          </w:p>
          <w:p>
            <w:pPr>
              <w:bidi w:val="0"/>
              <w:ind w:left="720" w:leftChars="200" w:hanging="240" w:hangingChars="100"/>
              <w:rPr>
                <w:rFonts w:hint="eastAsia"/>
                <w:color w:val="auto"/>
                <w:lang w:val="en-US" w:eastAsia="zh-CN"/>
              </w:rPr>
            </w:pPr>
            <w:r>
              <w:rPr>
                <w:rFonts w:hint="eastAsia"/>
                <w:color w:val="auto"/>
                <w:lang w:val="en-US" w:eastAsia="zh-CN"/>
              </w:rPr>
              <w:t>新建机动车停车位400个、天桥1座、室外绿化景观。</w:t>
            </w:r>
          </w:p>
          <w:p>
            <w:pPr>
              <w:bidi w:val="0"/>
              <w:ind w:left="0" w:leftChars="0" w:firstLine="0" w:firstLineChars="0"/>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 xml:space="preserve">2 </w:t>
            </w:r>
            <w:r>
              <w:rPr>
                <w:rFonts w:hint="default" w:ascii="Times New Roman" w:hAnsi="Times New Roman" w:eastAsia="宋体" w:cs="Times New Roman"/>
                <w:b/>
                <w:bCs/>
                <w:color w:val="auto"/>
                <w:kern w:val="2"/>
                <w:sz w:val="24"/>
                <w:szCs w:val="24"/>
                <w:lang w:val="en-US" w:eastAsia="zh-CN" w:bidi="ar-SA"/>
              </w:rPr>
              <w:t>索道及站点工程</w:t>
            </w:r>
          </w:p>
          <w:p>
            <w:pPr>
              <w:bidi w:val="0"/>
              <w:ind w:left="0" w:leftChars="0" w:firstLine="0" w:firstLineChars="0"/>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.1索道工程</w:t>
            </w:r>
          </w:p>
          <w:p>
            <w:pPr>
              <w:bidi w:val="0"/>
              <w:ind w:left="0" w:leftChars="0" w:firstLine="0" w:firstLineChars="0"/>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.1.1索道型式</w:t>
            </w:r>
          </w:p>
          <w:p>
            <w:pPr>
              <w:bidi w:val="0"/>
              <w:rPr>
                <w:rFonts w:hint="default"/>
                <w:color w:val="auto"/>
                <w:lang w:val="en-US" w:eastAsia="zh-CN"/>
              </w:rPr>
            </w:pPr>
            <w:r>
              <w:rPr>
                <w:rFonts w:hint="default" w:ascii="Times New Roman" w:hAnsi="Times New Roman" w:eastAsia="宋体" w:cs="Times New Roman"/>
                <w:b w:val="0"/>
                <w:bCs w:val="0"/>
                <w:color w:val="auto"/>
                <w:kern w:val="2"/>
                <w:sz w:val="24"/>
                <w:szCs w:val="24"/>
                <w:lang w:val="en-US" w:eastAsia="zh-CN" w:bidi="ar-SA"/>
              </w:rPr>
              <w:t>该工程拟选用单线循环脱挂抱索器八人吊厢索道型式索道，最高运行速度为6m/s。其</w:t>
            </w:r>
            <w:r>
              <w:rPr>
                <w:rFonts w:hint="default"/>
                <w:color w:val="auto"/>
                <w:lang w:val="en-US" w:eastAsia="zh-CN"/>
              </w:rPr>
              <w:t>主要特点如下：</w:t>
            </w:r>
          </w:p>
          <w:p>
            <w:pPr>
              <w:bidi w:val="0"/>
              <w:rPr>
                <w:rFonts w:hint="default"/>
                <w:color w:val="auto"/>
                <w:lang w:val="en-US" w:eastAsia="zh-CN"/>
              </w:rPr>
            </w:pPr>
            <w:r>
              <w:rPr>
                <w:rFonts w:hint="default"/>
                <w:color w:val="auto"/>
                <w:lang w:val="en-US" w:eastAsia="zh-CN"/>
              </w:rPr>
              <w:t>（1）运行速度快，线路运行时间短。索道最快运行速度可达6米/秒。</w:t>
            </w:r>
          </w:p>
          <w:p>
            <w:pPr>
              <w:bidi w:val="0"/>
              <w:rPr>
                <w:rFonts w:hint="default"/>
                <w:color w:val="auto"/>
                <w:lang w:val="en-US" w:eastAsia="zh-CN"/>
              </w:rPr>
            </w:pPr>
            <w:r>
              <w:rPr>
                <w:rFonts w:hint="default"/>
                <w:color w:val="auto"/>
                <w:lang w:val="en-US" w:eastAsia="zh-CN"/>
              </w:rPr>
              <w:t>（2）索道吊厢可全部回收至站内，索道抵御恶劣气候能力较强。索道由于采用先进的脱开挂结技术，索道下班停运后，全部吊厢可回收至站内的车库。便于车厢的保存。在极端恶劣天气条件下，索道可保持停运状态，线路上只有钢丝绳，可以抵御较恶劣的天气。而固定抱索器索道的吊具始终都在线路上，极端恶劣天气下，风雪对索道的影响较大，容易引起索道脱索的事故。</w:t>
            </w:r>
          </w:p>
          <w:p>
            <w:pPr>
              <w:bidi w:val="0"/>
              <w:rPr>
                <w:rFonts w:hint="default"/>
                <w:color w:val="auto"/>
                <w:lang w:val="en-US" w:eastAsia="zh-CN"/>
              </w:rPr>
            </w:pPr>
            <w:r>
              <w:rPr>
                <w:rFonts w:hint="default"/>
                <w:color w:val="auto"/>
                <w:lang w:val="en-US" w:eastAsia="zh-CN"/>
              </w:rPr>
              <w:t>（</w:t>
            </w:r>
            <w:r>
              <w:rPr>
                <w:rFonts w:hint="eastAsia"/>
                <w:color w:val="auto"/>
                <w:lang w:val="en-US" w:eastAsia="zh-CN"/>
              </w:rPr>
              <w:t>3</w:t>
            </w:r>
            <w:r>
              <w:rPr>
                <w:rFonts w:hint="default"/>
                <w:color w:val="auto"/>
                <w:lang w:val="en-US" w:eastAsia="zh-CN"/>
              </w:rPr>
              <w:t>）索道运量大，可以在短时间内，把集中到来的乘客，快速运送到上站，避免游客的积聚，适应团队旅游的特点，降低了景区管理难度，可以避免诸多由于游客过度聚集产生的治安问题。</w:t>
            </w:r>
          </w:p>
          <w:p>
            <w:pPr>
              <w:bidi w:val="0"/>
              <w:rPr>
                <w:rFonts w:hint="default"/>
                <w:color w:val="auto"/>
                <w:lang w:val="en-US" w:eastAsia="zh-CN"/>
              </w:rPr>
            </w:pPr>
            <w:r>
              <w:rPr>
                <w:rFonts w:hint="default"/>
                <w:color w:val="auto"/>
                <w:lang w:val="en-US" w:eastAsia="zh-CN"/>
              </w:rPr>
              <w:t>（</w:t>
            </w:r>
            <w:r>
              <w:rPr>
                <w:rFonts w:hint="eastAsia"/>
                <w:color w:val="auto"/>
                <w:lang w:val="en-US" w:eastAsia="zh-CN"/>
              </w:rPr>
              <w:t>4</w:t>
            </w:r>
            <w:r>
              <w:rPr>
                <w:rFonts w:hint="default"/>
                <w:color w:val="auto"/>
                <w:lang w:val="en-US" w:eastAsia="zh-CN"/>
              </w:rPr>
              <w:t>）索道的吊具较少，运行状态时，线路的游客较少，当极特殊条件下，索道停运时，对线路上的游客救助比较容易。</w:t>
            </w:r>
          </w:p>
          <w:p>
            <w:pPr>
              <w:bidi w:val="0"/>
              <w:rPr>
                <w:rFonts w:hint="default"/>
                <w:color w:val="auto"/>
                <w:lang w:val="en-US" w:eastAsia="zh-CN"/>
              </w:rPr>
            </w:pPr>
            <w:r>
              <w:rPr>
                <w:rFonts w:hint="default"/>
                <w:color w:val="auto"/>
                <w:lang w:val="en-US" w:eastAsia="zh-CN"/>
              </w:rPr>
              <w:t>（</w:t>
            </w:r>
            <w:r>
              <w:rPr>
                <w:rFonts w:hint="eastAsia"/>
                <w:color w:val="auto"/>
                <w:lang w:val="en-US" w:eastAsia="zh-CN"/>
              </w:rPr>
              <w:t>5</w:t>
            </w:r>
            <w:r>
              <w:rPr>
                <w:rFonts w:hint="default"/>
                <w:color w:val="auto"/>
                <w:lang w:val="en-US" w:eastAsia="zh-CN"/>
              </w:rPr>
              <w:t>）索道工艺性好，外形美观，线路负荷低，设备体量较轻巧。</w:t>
            </w:r>
          </w:p>
          <w:p>
            <w:pPr>
              <w:bidi w:val="0"/>
              <w:rPr>
                <w:rFonts w:hint="default"/>
                <w:color w:val="auto"/>
                <w:lang w:val="en-US" w:eastAsia="zh-CN"/>
              </w:rPr>
            </w:pPr>
            <w:r>
              <w:rPr>
                <w:rFonts w:hint="default"/>
                <w:color w:val="auto"/>
                <w:lang w:val="en-US" w:eastAsia="zh-CN"/>
              </w:rPr>
              <w:t>（</w:t>
            </w:r>
            <w:r>
              <w:rPr>
                <w:rFonts w:hint="eastAsia"/>
                <w:color w:val="auto"/>
                <w:lang w:val="en-US" w:eastAsia="zh-CN"/>
              </w:rPr>
              <w:t>6</w:t>
            </w:r>
            <w:r>
              <w:rPr>
                <w:rFonts w:hint="default"/>
                <w:color w:val="auto"/>
                <w:lang w:val="en-US" w:eastAsia="zh-CN"/>
              </w:rPr>
              <w:t>）索道的跨度大，适应地形的能力较强。</w:t>
            </w:r>
          </w:p>
          <w:p>
            <w:pPr>
              <w:pStyle w:val="4"/>
              <w:bidi w:val="0"/>
              <w:rPr>
                <w:rFonts w:hint="default"/>
                <w:color w:val="auto"/>
                <w:lang w:val="en-US" w:eastAsia="zh-CN"/>
              </w:rPr>
            </w:pPr>
            <w:r>
              <w:rPr>
                <w:rFonts w:hint="eastAsia"/>
                <w:color w:val="auto"/>
                <w:lang w:val="en-US" w:eastAsia="zh-CN"/>
              </w:rPr>
              <w:t>2</w:t>
            </w:r>
            <w:r>
              <w:rPr>
                <w:rFonts w:hint="default"/>
                <w:color w:val="auto"/>
                <w:lang w:val="en-US" w:eastAsia="zh-CN"/>
              </w:rPr>
              <w:t>.1.2索道设备</w:t>
            </w:r>
          </w:p>
          <w:p>
            <w:pPr>
              <w:bidi w:val="0"/>
              <w:rPr>
                <w:rFonts w:hint="default"/>
                <w:color w:val="auto"/>
                <w:lang w:val="en-US" w:eastAsia="zh-CN"/>
              </w:rPr>
            </w:pPr>
            <w:r>
              <w:rPr>
                <w:rFonts w:hint="default"/>
                <w:color w:val="auto"/>
                <w:lang w:val="en-US" w:eastAsia="zh-CN"/>
              </w:rPr>
              <w:t>（1）站房设备</w:t>
            </w:r>
          </w:p>
          <w:p>
            <w:pPr>
              <w:bidi w:val="0"/>
              <w:rPr>
                <w:rFonts w:hint="default"/>
                <w:color w:val="auto"/>
                <w:lang w:val="en-US" w:eastAsia="zh-CN"/>
              </w:rPr>
            </w:pPr>
            <w:r>
              <w:rPr>
                <w:rFonts w:hint="eastAsia"/>
                <w:color w:val="auto"/>
                <w:lang w:val="en-US" w:eastAsia="zh-CN"/>
              </w:rPr>
              <w:t>上站</w:t>
            </w:r>
            <w:r>
              <w:rPr>
                <w:rFonts w:hint="default"/>
                <w:color w:val="auto"/>
                <w:lang w:val="en-US" w:eastAsia="zh-CN"/>
              </w:rPr>
              <w:t>为索道驱动站，上站、下站为迂回张紧站。设备由站内设备和驱动设备组成。为减少驱动设备噪声的影响，将驱动系统的主电动机、减速器等加隔音措施。</w:t>
            </w:r>
          </w:p>
          <w:p>
            <w:pPr>
              <w:bidi w:val="0"/>
              <w:rPr>
                <w:rFonts w:hint="default"/>
                <w:color w:val="auto"/>
                <w:lang w:val="en-US" w:eastAsia="zh-CN"/>
              </w:rPr>
            </w:pPr>
            <w:r>
              <w:rPr>
                <w:rFonts w:hint="default"/>
                <w:color w:val="auto"/>
                <w:lang w:val="en-US" w:eastAsia="zh-CN"/>
              </w:rPr>
              <w:t>（2）车库设备</w:t>
            </w:r>
          </w:p>
          <w:p>
            <w:pPr>
              <w:bidi w:val="0"/>
              <w:rPr>
                <w:rFonts w:hint="default"/>
                <w:color w:val="auto"/>
                <w:lang w:val="en-US" w:eastAsia="zh-CN"/>
              </w:rPr>
            </w:pPr>
            <w:r>
              <w:rPr>
                <w:rFonts w:hint="default"/>
                <w:color w:val="auto"/>
                <w:lang w:val="en-US" w:eastAsia="zh-CN"/>
              </w:rPr>
              <w:t>车库设在索道下站，车库轨道和站内轨道的衔接用电动道岔完成。在车库和站台之间设有电动升降平台。在车库内还设有吊厢和抱索器的检查维修工作平台。</w:t>
            </w:r>
          </w:p>
          <w:p>
            <w:pPr>
              <w:bidi w:val="0"/>
              <w:rPr>
                <w:rFonts w:hint="default"/>
                <w:color w:val="auto"/>
                <w:lang w:val="en-US" w:eastAsia="zh-CN"/>
              </w:rPr>
            </w:pPr>
            <w:r>
              <w:rPr>
                <w:rFonts w:hint="default"/>
                <w:color w:val="auto"/>
                <w:lang w:val="en-US" w:eastAsia="zh-CN"/>
              </w:rPr>
              <w:t>（3）索道线路设备</w:t>
            </w:r>
          </w:p>
          <w:p>
            <w:pPr>
              <w:bidi w:val="0"/>
              <w:rPr>
                <w:rFonts w:hint="default"/>
                <w:color w:val="auto"/>
                <w:lang w:val="en-US" w:eastAsia="zh-CN"/>
              </w:rPr>
            </w:pPr>
            <w:r>
              <w:rPr>
                <w:rFonts w:hint="default"/>
                <w:color w:val="auto"/>
                <w:lang w:val="en-US" w:eastAsia="zh-CN"/>
              </w:rPr>
              <w:t>索道线路由</w:t>
            </w:r>
            <w:r>
              <w:rPr>
                <w:rFonts w:hint="eastAsia"/>
                <w:color w:val="auto"/>
                <w:lang w:val="en-US" w:eastAsia="zh-CN"/>
              </w:rPr>
              <w:t>7座</w:t>
            </w:r>
            <w:r>
              <w:rPr>
                <w:rFonts w:hint="default"/>
                <w:color w:val="auto"/>
                <w:lang w:val="en-US" w:eastAsia="zh-CN"/>
              </w:rPr>
              <w:t>钢支架和线路托（压）索轮组和其他设备组成。索道吊厢由吊厢、吊架和抱索器组成。本索道选用单侧开门的水平行进封闭式吊厢。主要设备情况介绍如下表所示：</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lang w:val="en-US" w:eastAsia="zh-CN"/>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lang w:val="en-US" w:eastAsia="zh-CN"/>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lang w:val="en-US" w:eastAsia="zh-CN"/>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lang w:val="en-US" w:eastAsia="zh-CN"/>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lang w:val="en-US" w:eastAsia="zh-CN"/>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lang w:val="en-US" w:eastAsia="zh-CN"/>
              </w:rPr>
            </w:pPr>
            <w:r>
              <w:rPr>
                <w:rFonts w:hint="default"/>
                <w:color w:val="auto"/>
                <w:sz w:val="24"/>
                <w:szCs w:val="24"/>
                <w:lang w:val="en-US" w:eastAsia="zh-CN"/>
              </w:rPr>
              <w:t>表</w:t>
            </w:r>
            <w:r>
              <w:rPr>
                <w:rFonts w:hint="eastAsia"/>
                <w:color w:val="auto"/>
                <w:sz w:val="24"/>
                <w:szCs w:val="24"/>
                <w:lang w:val="en-US" w:eastAsia="zh-CN"/>
              </w:rPr>
              <w:t xml:space="preserve">2-1  </w:t>
            </w:r>
            <w:r>
              <w:rPr>
                <w:rFonts w:hint="default"/>
                <w:color w:val="auto"/>
                <w:sz w:val="24"/>
                <w:szCs w:val="24"/>
                <w:lang w:val="en-US" w:eastAsia="zh-CN"/>
              </w:rPr>
              <w:t>项目设备情况一览表</w:t>
            </w:r>
          </w:p>
          <w:tbl>
            <w:tblPr>
              <w:tblStyle w:val="19"/>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19"/>
              <w:gridCol w:w="972"/>
              <w:gridCol w:w="627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394"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序号</w:t>
                  </w:r>
                </w:p>
              </w:tc>
              <w:tc>
                <w:tcPr>
                  <w:tcW w:w="61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设备名称</w:t>
                  </w:r>
                </w:p>
              </w:tc>
              <w:tc>
                <w:tcPr>
                  <w:tcW w:w="3987"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设备介绍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64" w:hRule="atLeast"/>
              </w:trPr>
              <w:tc>
                <w:tcPr>
                  <w:tcW w:w="394"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1</w:t>
                  </w:r>
                </w:p>
              </w:tc>
              <w:tc>
                <w:tcPr>
                  <w:tcW w:w="61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驱动机</w:t>
                  </w:r>
                </w:p>
              </w:tc>
              <w:tc>
                <w:tcPr>
                  <w:tcW w:w="3987"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驱动轮直径5.2m，运行速度0.0～6m/s。主要由变频电机、液压工作闸、万向联轴节、行星减速器、驱动轮、钳式制动器、液压站、机架等组成。动力由直流电机经万向联轴节、行星减速器、传至驱动轮，牵引索依靠驱动轮槽与牵引索之间的摩擦力驱动牵引索，驱动机的工作制动器依靠液压工作闸实现。安全制动及紧急制动由钳式制动器来实现。驱动轮是驱动机的主要部分，主要由轮体、心轴和轴承组成，为了使减速器不受弯距，只传受扭矩，在转轴外面加了套管，驱动轮的轮槽里镶有橡胶衬垫，用以提高摩擦系数，减少牵引索磨损，驱动轮采用组合式焊接结构，减轻了重量并降低了成本。钳式制动器主要由支承架、油缸、活塞、盘型弹簧、刹车片等组成，当压力油进入油缸时，活塞将向着压缩碟型弹簧的方向移动，钳口板和刹车片离开制动盘，造成松闸状态，反之，当油压下降时，在碟型弹簧的弹性下，上述各件将向相反的方向移动，使刹车片的摩擦面以一定的正压力贴合在制动盘上，达到摩擦制动的效果，两对制动器通过节流阀控制其先后动作，以保证机器的平稳制动。辅助驱动机为液压马达驱动，开式齿轮传动。主要由液压站、电机、齿轮泵、马达和小齿轮装置组成。由电机通过齿轮泵、马达、带动小齿轮、驱动轮转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394"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2</w:t>
                  </w:r>
                </w:p>
              </w:tc>
              <w:tc>
                <w:tcPr>
                  <w:tcW w:w="61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迂回张紧装置</w:t>
                  </w:r>
                </w:p>
              </w:tc>
              <w:tc>
                <w:tcPr>
                  <w:tcW w:w="3987"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运载索采用液压张紧。由设于下站的迂回轮、油缸、控制液压站和机架组成，张紧装置可沿着轨道前后移动，确保运载索的张力保持恒定。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394"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3</w:t>
                  </w:r>
                </w:p>
              </w:tc>
              <w:tc>
                <w:tcPr>
                  <w:tcW w:w="61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吊厢</w:t>
                  </w:r>
                </w:p>
              </w:tc>
              <w:tc>
                <w:tcPr>
                  <w:tcW w:w="3987"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客车容量为8人，主要由吊架、脱挂抱索器、客厢和开关门机构等几个部分组成。吊架形状确保客车运行在线路上最大爬角度时作最大纵向或横向摆动而不与运载索和托压索轮组以及支架走台相碰。客厢采用铝合金结构，重量轻、外型美观、乘坐舒适。车厢底部设有进站导向装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918" w:hRule="atLeast"/>
              </w:trPr>
              <w:tc>
                <w:tcPr>
                  <w:tcW w:w="394"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4</w:t>
                  </w:r>
                </w:p>
              </w:tc>
              <w:tc>
                <w:tcPr>
                  <w:tcW w:w="61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减速装置</w:t>
                  </w:r>
                </w:p>
              </w:tc>
              <w:tc>
                <w:tcPr>
                  <w:tcW w:w="3987"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加减速装置是由一组相同外径的充气轮胎固定在不同外径的皮带轮组成，轮胎之间通过张紧皮带传动，轮胎压在抱索器的摩擦板上，通过摩擦力和抱索器上的行走轮带动抱索器和吊厢在站内轨道上行走。皮带轮的直径在站口有8个是一致的，钢索与吊厢分离后，随后往站内其直径依次加大，与其固定一起的轮胎的转速依次减小。吊厢进站，经过加减速装置后，通过抱索器上的摩擦板的摩擦力和轮胎的不同转速产生进行强制性减速。出站情况与之相反，因为轮胎的转速是逐渐增加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54" w:hRule="atLeast"/>
              </w:trPr>
              <w:tc>
                <w:tcPr>
                  <w:tcW w:w="394"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5</w:t>
                  </w:r>
                </w:p>
              </w:tc>
              <w:tc>
                <w:tcPr>
                  <w:tcW w:w="61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脱开挂结装置</w:t>
                  </w:r>
                </w:p>
              </w:tc>
              <w:tc>
                <w:tcPr>
                  <w:tcW w:w="3987"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抱索器的脱挂设施位于加减速段前后，脱开器位于等速轮胎和减速轮胎间，即钢丝绳与抱索器脱开后开始减速，挂结器则位于轮胎加速到钢丝绳速度之后。脱开挂接装置是脱挂索道的核心装置，为此，脱开挂接装置设置有多重的挂接力和抱索器形状位置监测装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54" w:hRule="atLeast"/>
              </w:trPr>
              <w:tc>
                <w:tcPr>
                  <w:tcW w:w="394" w:type="pct"/>
                  <w:tcBorders>
                    <w:tl2br w:val="nil"/>
                    <w:tr2bl w:val="nil"/>
                  </w:tcBorders>
                  <w:vAlign w:val="center"/>
                </w:tcPr>
                <w:p>
                  <w:pPr>
                    <w:pStyle w:val="17"/>
                    <w:bidi w:val="0"/>
                    <w:jc w:val="center"/>
                    <w:rPr>
                      <w:rFonts w:hint="default"/>
                      <w:color w:val="auto"/>
                      <w:lang w:val="en-US" w:eastAsia="zh-CN"/>
                    </w:rPr>
                  </w:pPr>
                  <w:r>
                    <w:rPr>
                      <w:color w:val="auto"/>
                    </w:rPr>
                    <w:t>6</w:t>
                  </w:r>
                </w:p>
              </w:tc>
              <w:tc>
                <w:tcPr>
                  <w:tcW w:w="618" w:type="pct"/>
                  <w:tcBorders>
                    <w:tl2br w:val="nil"/>
                    <w:tr2bl w:val="nil"/>
                  </w:tcBorders>
                  <w:vAlign w:val="center"/>
                </w:tcPr>
                <w:p>
                  <w:pPr>
                    <w:pStyle w:val="17"/>
                    <w:bidi w:val="0"/>
                    <w:jc w:val="center"/>
                    <w:rPr>
                      <w:rFonts w:hint="default"/>
                      <w:color w:val="auto"/>
                      <w:lang w:val="en-US" w:eastAsia="zh-CN"/>
                    </w:rPr>
                  </w:pPr>
                  <w:r>
                    <w:rPr>
                      <w:color w:val="auto"/>
                    </w:rPr>
                    <w:t>支架和托压索轮</w:t>
                  </w:r>
                </w:p>
              </w:tc>
              <w:tc>
                <w:tcPr>
                  <w:tcW w:w="3987" w:type="pct"/>
                  <w:tcBorders>
                    <w:tl2br w:val="nil"/>
                    <w:tr2bl w:val="nil"/>
                  </w:tcBorders>
                  <w:vAlign w:val="center"/>
                </w:tcPr>
                <w:p>
                  <w:pPr>
                    <w:pStyle w:val="17"/>
                    <w:bidi w:val="0"/>
                    <w:jc w:val="center"/>
                    <w:rPr>
                      <w:rFonts w:hint="default"/>
                      <w:color w:val="auto"/>
                      <w:lang w:val="en-US" w:eastAsia="zh-CN"/>
                    </w:rPr>
                  </w:pPr>
                  <w:r>
                    <w:rPr>
                      <w:color w:val="auto"/>
                    </w:rPr>
                    <w:t>支架由柱体、横担、起吊架、走台和爬梯组成，托压索轮固定在线路支架的横档上。托（压）索轮组由托（压）索轮、底座、大小夹板、支承轴、捕捉器、针形开关等组成。安装在托</w:t>
                  </w:r>
                  <w:r>
                    <w:rPr>
                      <w:rFonts w:hint="eastAsia"/>
                      <w:color w:val="auto"/>
                      <w:lang w:eastAsia="zh-CN"/>
                    </w:rPr>
                    <w:t>（</w:t>
                  </w:r>
                  <w:r>
                    <w:rPr>
                      <w:color w:val="auto"/>
                    </w:rPr>
                    <w:t>压</w:t>
                  </w:r>
                  <w:r>
                    <w:rPr>
                      <w:rFonts w:hint="eastAsia"/>
                      <w:color w:val="auto"/>
                      <w:lang w:eastAsia="zh-CN"/>
                    </w:rPr>
                    <w:t>）</w:t>
                  </w:r>
                  <w:r>
                    <w:rPr>
                      <w:color w:val="auto"/>
                    </w:rPr>
                    <w:t>索轮组上的针形开关及捕捉器是为了钢丝绳跳出托索轮</w:t>
                  </w:r>
                  <w:r>
                    <w:rPr>
                      <w:rFonts w:hint="eastAsia"/>
                      <w:color w:val="auto"/>
                      <w:lang w:eastAsia="zh-CN"/>
                    </w:rPr>
                    <w:t>（</w:t>
                  </w:r>
                  <w:r>
                    <w:rPr>
                      <w:color w:val="auto"/>
                    </w:rPr>
                    <w:t>压索轮</w:t>
                  </w:r>
                  <w:r>
                    <w:rPr>
                      <w:rFonts w:hint="eastAsia"/>
                      <w:color w:val="auto"/>
                      <w:lang w:eastAsia="zh-CN"/>
                    </w:rPr>
                    <w:t>）</w:t>
                  </w:r>
                  <w:r>
                    <w:rPr>
                      <w:color w:val="auto"/>
                    </w:rPr>
                    <w:t>时，打断针形开关，使索道紧急停车，防止事故扩大，而捕捉器是为了托住钢丝绳，挡板可防止钢丝绳向内侧跳。托索轮的轮毂采用铸铝结构，重量轻，拆装方便，维护简单。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54" w:hRule="atLeast"/>
              </w:trPr>
              <w:tc>
                <w:tcPr>
                  <w:tcW w:w="394" w:type="pct"/>
                  <w:tcBorders>
                    <w:tl2br w:val="nil"/>
                    <w:tr2bl w:val="nil"/>
                  </w:tcBorders>
                  <w:vAlign w:val="center"/>
                </w:tcPr>
                <w:p>
                  <w:pPr>
                    <w:pStyle w:val="17"/>
                    <w:bidi w:val="0"/>
                    <w:jc w:val="center"/>
                    <w:rPr>
                      <w:rFonts w:hint="default"/>
                      <w:color w:val="auto"/>
                      <w:lang w:val="en-US" w:eastAsia="zh-CN"/>
                    </w:rPr>
                  </w:pPr>
                  <w:r>
                    <w:rPr>
                      <w:color w:val="auto"/>
                    </w:rPr>
                    <w:t>7</w:t>
                  </w:r>
                </w:p>
              </w:tc>
              <w:tc>
                <w:tcPr>
                  <w:tcW w:w="618" w:type="pct"/>
                  <w:tcBorders>
                    <w:tl2br w:val="nil"/>
                    <w:tr2bl w:val="nil"/>
                  </w:tcBorders>
                  <w:vAlign w:val="center"/>
                </w:tcPr>
                <w:p>
                  <w:pPr>
                    <w:pStyle w:val="17"/>
                    <w:bidi w:val="0"/>
                    <w:jc w:val="center"/>
                    <w:rPr>
                      <w:rFonts w:hint="default"/>
                      <w:color w:val="auto"/>
                      <w:lang w:val="en-US" w:eastAsia="zh-CN"/>
                    </w:rPr>
                  </w:pPr>
                  <w:r>
                    <w:rPr>
                      <w:color w:val="auto"/>
                    </w:rPr>
                    <w:t>电气设备</w:t>
                  </w:r>
                </w:p>
              </w:tc>
              <w:tc>
                <w:tcPr>
                  <w:tcW w:w="3987" w:type="pct"/>
                  <w:tcBorders>
                    <w:tl2br w:val="nil"/>
                    <w:tr2bl w:val="nil"/>
                  </w:tcBorders>
                  <w:vAlign w:val="center"/>
                </w:tcPr>
                <w:p>
                  <w:pPr>
                    <w:pStyle w:val="17"/>
                    <w:bidi w:val="0"/>
                    <w:jc w:val="center"/>
                    <w:rPr>
                      <w:rFonts w:hint="default"/>
                      <w:color w:val="auto"/>
                      <w:lang w:val="en-US" w:eastAsia="zh-CN"/>
                    </w:rPr>
                  </w:pPr>
                  <w:r>
                    <w:rPr>
                      <w:color w:val="auto"/>
                    </w:rPr>
                    <w:t>电控系统由传动装置、控制设备、安全保护装置及通信设备组成。直流传动装置选用进口数字直流传动装置，该装置具有快速信号处理能力，参数能自动进行优化处理，保证优良的控制性能，缩短调试时间，各种参数可以方便的存储或调用，有存取密码，可防止整定的参数意外改变。有完善的故障自诊断及故障性质的记忆功能，便于维护及故障排除。控制设备由可编程序控制器加少量中间继电器组成，布线简单，修改容易。可编程序控制器采用了多种抗干扰措施，提高了系统的安全可靠性。液晶触摸屏显示车厢线路上的运行位置，以便操作人员观察。</w:t>
                  </w:r>
                </w:p>
              </w:tc>
            </w:tr>
          </w:tbl>
          <w:p>
            <w:pPr>
              <w:pStyle w:val="4"/>
              <w:bidi w:val="0"/>
              <w:rPr>
                <w:rFonts w:hint="default"/>
                <w:color w:val="auto"/>
                <w:lang w:val="en-US" w:eastAsia="zh-CN"/>
              </w:rPr>
            </w:pPr>
            <w:r>
              <w:rPr>
                <w:rFonts w:hint="eastAsia"/>
                <w:color w:val="auto"/>
                <w:lang w:val="en-US" w:eastAsia="zh-CN"/>
              </w:rPr>
              <w:t>2</w:t>
            </w:r>
            <w:r>
              <w:rPr>
                <w:rFonts w:hint="default"/>
                <w:color w:val="auto"/>
                <w:lang w:val="en-US" w:eastAsia="zh-CN"/>
              </w:rPr>
              <w:t>.1.3运行过程</w:t>
            </w:r>
          </w:p>
          <w:p>
            <w:pPr>
              <w:bidi w:val="0"/>
              <w:rPr>
                <w:rFonts w:hint="default"/>
                <w:color w:val="auto"/>
                <w:lang w:val="en-US" w:eastAsia="zh-CN"/>
              </w:rPr>
            </w:pPr>
            <w:r>
              <w:rPr>
                <w:rFonts w:hint="default"/>
                <w:color w:val="auto"/>
                <w:lang w:val="en-US" w:eastAsia="zh-CN"/>
              </w:rPr>
              <w:t>脱挂索道工作是用一条无极的钢丝绳在索道两端的驱动轮及迂回轮上缠绕一圈，通过张紧机构使之保证有一定的张力，线路中间设有支架，支架上装有托或压索轮组，将钢丝绳托起或压下使之保证一定的离地高度。钢丝绳每隔一定间距通过抱索器挂上一个吊厢，驱动轮带动钢丝绳按6.0m/s速度运行。吊厢进站后，脱挂式抱索器通过脱开器将吊厢与运载索自动脱开并通过轮胎式减速器自动降到0.35m/s，随后开关门机构将吊厢车门自动打开，乘客在指定区域下车。推车机构自动将吊厢迂回至索道另一侧，待乘客上车后，车门自动关闭，然后进入加速段通过轮胎式加速器加速至与运载索等速，设在站口的挂结器将抱索器挂结到运载索上。整个脱挂过程经过一系列开关监测，确保吊厢安全无误的进出站。这样，每隔一时间进入站内一个吊厢，同时又发出一个吊厢，如此循环运行，达到输送游客的目的。段以上索道的全部运行过程均为全自动进行的，工作人员仅在站内监视仪表情况，判断索道运行是否正常，站台服务员负责照料乘客上下车，为乘客服务。这种形式索道运行的工艺过程机械化、自动化程度高，并有诸多技术措施来保证索道的安全运行。</w:t>
            </w:r>
          </w:p>
          <w:p>
            <w:pPr>
              <w:pStyle w:val="4"/>
              <w:bidi w:val="0"/>
              <w:rPr>
                <w:rFonts w:hint="default"/>
                <w:color w:val="auto"/>
                <w:lang w:val="en-US" w:eastAsia="zh-CN"/>
              </w:rPr>
            </w:pPr>
            <w:r>
              <w:rPr>
                <w:rFonts w:hint="eastAsia"/>
                <w:color w:val="auto"/>
                <w:lang w:val="en-US" w:eastAsia="zh-CN"/>
              </w:rPr>
              <w:t>2</w:t>
            </w:r>
            <w:r>
              <w:rPr>
                <w:rFonts w:hint="default"/>
                <w:color w:val="auto"/>
                <w:lang w:val="en-US" w:eastAsia="zh-CN"/>
              </w:rPr>
              <w:t>.1.4索道主要经济技术指标</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lang w:val="en-US" w:eastAsia="zh-CN"/>
              </w:rPr>
            </w:pPr>
            <w:r>
              <w:rPr>
                <w:rFonts w:hint="default"/>
                <w:color w:val="auto"/>
                <w:sz w:val="24"/>
                <w:szCs w:val="24"/>
                <w:lang w:val="en-US" w:eastAsia="zh-CN"/>
              </w:rPr>
              <w:t>表2-</w:t>
            </w:r>
            <w:r>
              <w:rPr>
                <w:rFonts w:hint="eastAsia"/>
                <w:color w:val="auto"/>
                <w:sz w:val="24"/>
                <w:szCs w:val="24"/>
                <w:lang w:val="en-US" w:eastAsia="zh-CN"/>
              </w:rPr>
              <w:t xml:space="preserve">2  </w:t>
            </w:r>
            <w:r>
              <w:rPr>
                <w:rFonts w:hint="default"/>
                <w:color w:val="auto"/>
                <w:sz w:val="24"/>
                <w:szCs w:val="24"/>
                <w:lang w:val="en-US" w:eastAsia="zh-CN"/>
              </w:rPr>
              <w:t>索道主要经济技术指标</w:t>
            </w:r>
          </w:p>
          <w:tbl>
            <w:tblPr>
              <w:tblStyle w:val="19"/>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14"/>
              <w:gridCol w:w="2659"/>
              <w:gridCol w:w="438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518" w:type="pct"/>
                  <w:tcBorders>
                    <w:tl2br w:val="nil"/>
                    <w:tr2bl w:val="nil"/>
                  </w:tcBorders>
                  <w:vAlign w:val="center"/>
                </w:tcPr>
                <w:p>
                  <w:pPr>
                    <w:pStyle w:val="17"/>
                    <w:bidi w:val="0"/>
                    <w:jc w:val="center"/>
                    <w:rPr>
                      <w:color w:val="auto"/>
                    </w:rPr>
                  </w:pPr>
                  <w:r>
                    <w:rPr>
                      <w:color w:val="auto"/>
                    </w:rPr>
                    <w:t>序号</w:t>
                  </w:r>
                </w:p>
              </w:tc>
              <w:tc>
                <w:tcPr>
                  <w:tcW w:w="1691" w:type="pct"/>
                  <w:tcBorders>
                    <w:tl2br w:val="nil"/>
                    <w:tr2bl w:val="nil"/>
                  </w:tcBorders>
                  <w:vAlign w:val="center"/>
                </w:tcPr>
                <w:p>
                  <w:pPr>
                    <w:pStyle w:val="17"/>
                    <w:bidi w:val="0"/>
                    <w:jc w:val="center"/>
                    <w:rPr>
                      <w:color w:val="auto"/>
                    </w:rPr>
                  </w:pPr>
                  <w:r>
                    <w:rPr>
                      <w:color w:val="auto"/>
                    </w:rPr>
                    <w:t>项目</w:t>
                  </w:r>
                </w:p>
              </w:tc>
              <w:tc>
                <w:tcPr>
                  <w:tcW w:w="2790" w:type="pct"/>
                  <w:tcBorders>
                    <w:tl2br w:val="nil"/>
                    <w:tr2bl w:val="nil"/>
                  </w:tcBorders>
                  <w:vAlign w:val="center"/>
                </w:tcPr>
                <w:p>
                  <w:pPr>
                    <w:pStyle w:val="17"/>
                    <w:bidi w:val="0"/>
                    <w:jc w:val="center"/>
                    <w:rPr>
                      <w:color w:val="auto"/>
                    </w:rPr>
                  </w:pPr>
                  <w:r>
                    <w:rPr>
                      <w:color w:val="auto"/>
                    </w:rPr>
                    <w:t>单线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18" w:type="pct"/>
                  <w:tcBorders>
                    <w:tl2br w:val="nil"/>
                    <w:tr2bl w:val="nil"/>
                  </w:tcBorders>
                  <w:vAlign w:val="center"/>
                </w:tcPr>
                <w:p>
                  <w:pPr>
                    <w:pStyle w:val="17"/>
                    <w:bidi w:val="0"/>
                    <w:jc w:val="center"/>
                    <w:rPr>
                      <w:color w:val="auto"/>
                    </w:rPr>
                  </w:pPr>
                  <w:r>
                    <w:rPr>
                      <w:color w:val="auto"/>
                    </w:rPr>
                    <w:t>1</w:t>
                  </w:r>
                </w:p>
              </w:tc>
              <w:tc>
                <w:tcPr>
                  <w:tcW w:w="1691" w:type="pct"/>
                  <w:tcBorders>
                    <w:tl2br w:val="nil"/>
                    <w:tr2bl w:val="nil"/>
                  </w:tcBorders>
                  <w:vAlign w:val="center"/>
                </w:tcPr>
                <w:p>
                  <w:pPr>
                    <w:pStyle w:val="17"/>
                    <w:bidi w:val="0"/>
                    <w:jc w:val="center"/>
                    <w:rPr>
                      <w:color w:val="auto"/>
                    </w:rPr>
                  </w:pPr>
                  <w:r>
                    <w:rPr>
                      <w:color w:val="auto"/>
                    </w:rPr>
                    <w:t>索道型式</w:t>
                  </w:r>
                </w:p>
              </w:tc>
              <w:tc>
                <w:tcPr>
                  <w:tcW w:w="2790" w:type="pct"/>
                  <w:tcBorders>
                    <w:tl2br w:val="nil"/>
                    <w:tr2bl w:val="nil"/>
                  </w:tcBorders>
                  <w:vAlign w:val="center"/>
                </w:tcPr>
                <w:p>
                  <w:pPr>
                    <w:pStyle w:val="17"/>
                    <w:bidi w:val="0"/>
                    <w:jc w:val="center"/>
                    <w:rPr>
                      <w:color w:val="auto"/>
                    </w:rPr>
                  </w:pPr>
                  <w:r>
                    <w:rPr>
                      <w:color w:val="auto"/>
                    </w:rPr>
                    <w:t>单线循环脱挂抱索器8人吊厢式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9" w:hRule="atLeast"/>
              </w:trPr>
              <w:tc>
                <w:tcPr>
                  <w:tcW w:w="518" w:type="pct"/>
                  <w:tcBorders>
                    <w:tl2br w:val="nil"/>
                    <w:tr2bl w:val="nil"/>
                  </w:tcBorders>
                  <w:vAlign w:val="center"/>
                </w:tcPr>
                <w:p>
                  <w:pPr>
                    <w:pStyle w:val="17"/>
                    <w:bidi w:val="0"/>
                    <w:jc w:val="center"/>
                    <w:rPr>
                      <w:color w:val="auto"/>
                    </w:rPr>
                  </w:pPr>
                  <w:r>
                    <w:rPr>
                      <w:color w:val="auto"/>
                    </w:rPr>
                    <w:t>2</w:t>
                  </w:r>
                </w:p>
              </w:tc>
              <w:tc>
                <w:tcPr>
                  <w:tcW w:w="1691" w:type="pct"/>
                  <w:tcBorders>
                    <w:tl2br w:val="nil"/>
                    <w:tr2bl w:val="nil"/>
                  </w:tcBorders>
                  <w:vAlign w:val="center"/>
                </w:tcPr>
                <w:p>
                  <w:pPr>
                    <w:pStyle w:val="17"/>
                    <w:bidi w:val="0"/>
                    <w:jc w:val="center"/>
                    <w:rPr>
                      <w:color w:val="auto"/>
                    </w:rPr>
                  </w:pPr>
                  <w:r>
                    <w:rPr>
                      <w:color w:val="auto"/>
                    </w:rPr>
                    <w:t>线路水平距离</w:t>
                  </w:r>
                </w:p>
              </w:tc>
              <w:tc>
                <w:tcPr>
                  <w:tcW w:w="2790" w:type="pct"/>
                  <w:tcBorders>
                    <w:tl2br w:val="nil"/>
                    <w:tr2bl w:val="nil"/>
                  </w:tcBorders>
                  <w:vAlign w:val="center"/>
                </w:tcPr>
                <w:p>
                  <w:pPr>
                    <w:pStyle w:val="17"/>
                    <w:bidi w:val="0"/>
                    <w:jc w:val="center"/>
                    <w:rPr>
                      <w:color w:val="auto"/>
                    </w:rPr>
                  </w:pPr>
                  <w:r>
                    <w:rPr>
                      <w:rFonts w:hint="eastAsia"/>
                      <w:color w:val="auto"/>
                      <w:lang w:val="en-US" w:eastAsia="zh-CN"/>
                    </w:rPr>
                    <w:t>1380</w:t>
                  </w:r>
                  <w:r>
                    <w:rPr>
                      <w:color w:val="auto"/>
                    </w:rPr>
                    <w:t>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18" w:type="pct"/>
                  <w:tcBorders>
                    <w:tl2br w:val="nil"/>
                    <w:tr2bl w:val="nil"/>
                  </w:tcBorders>
                  <w:vAlign w:val="center"/>
                </w:tcPr>
                <w:p>
                  <w:pPr>
                    <w:pStyle w:val="17"/>
                    <w:bidi w:val="0"/>
                    <w:jc w:val="center"/>
                    <w:rPr>
                      <w:color w:val="auto"/>
                    </w:rPr>
                  </w:pPr>
                  <w:r>
                    <w:rPr>
                      <w:color w:val="auto"/>
                    </w:rPr>
                    <w:t>3</w:t>
                  </w:r>
                </w:p>
              </w:tc>
              <w:tc>
                <w:tcPr>
                  <w:tcW w:w="1691" w:type="pct"/>
                  <w:tcBorders>
                    <w:tl2br w:val="nil"/>
                    <w:tr2bl w:val="nil"/>
                  </w:tcBorders>
                  <w:vAlign w:val="center"/>
                </w:tcPr>
                <w:p>
                  <w:pPr>
                    <w:pStyle w:val="17"/>
                    <w:bidi w:val="0"/>
                    <w:jc w:val="center"/>
                    <w:rPr>
                      <w:color w:val="auto"/>
                    </w:rPr>
                  </w:pPr>
                  <w:r>
                    <w:rPr>
                      <w:color w:val="auto"/>
                    </w:rPr>
                    <w:t>线路斜长</w:t>
                  </w:r>
                </w:p>
              </w:tc>
              <w:tc>
                <w:tcPr>
                  <w:tcW w:w="2790" w:type="pct"/>
                  <w:tcBorders>
                    <w:tl2br w:val="nil"/>
                    <w:tr2bl w:val="nil"/>
                  </w:tcBorders>
                  <w:vAlign w:val="center"/>
                </w:tcPr>
                <w:p>
                  <w:pPr>
                    <w:pStyle w:val="17"/>
                    <w:bidi w:val="0"/>
                    <w:jc w:val="center"/>
                    <w:rPr>
                      <w:color w:val="auto"/>
                    </w:rPr>
                  </w:pPr>
                  <w:r>
                    <w:rPr>
                      <w:rFonts w:hint="eastAsia"/>
                      <w:color w:val="auto"/>
                      <w:lang w:val="en-US" w:eastAsia="zh-CN"/>
                    </w:rPr>
                    <w:t>1400</w:t>
                  </w:r>
                  <w:r>
                    <w:rPr>
                      <w:color w:val="auto"/>
                    </w:rPr>
                    <w:t>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9" w:hRule="atLeast"/>
              </w:trPr>
              <w:tc>
                <w:tcPr>
                  <w:tcW w:w="518" w:type="pct"/>
                  <w:tcBorders>
                    <w:tl2br w:val="nil"/>
                    <w:tr2bl w:val="nil"/>
                  </w:tcBorders>
                  <w:vAlign w:val="center"/>
                </w:tcPr>
                <w:p>
                  <w:pPr>
                    <w:pStyle w:val="17"/>
                    <w:bidi w:val="0"/>
                    <w:jc w:val="center"/>
                    <w:rPr>
                      <w:color w:val="auto"/>
                    </w:rPr>
                  </w:pPr>
                  <w:r>
                    <w:rPr>
                      <w:color w:val="auto"/>
                    </w:rPr>
                    <w:t>4</w:t>
                  </w:r>
                </w:p>
              </w:tc>
              <w:tc>
                <w:tcPr>
                  <w:tcW w:w="1691" w:type="pct"/>
                  <w:tcBorders>
                    <w:tl2br w:val="nil"/>
                    <w:tr2bl w:val="nil"/>
                  </w:tcBorders>
                  <w:vAlign w:val="center"/>
                </w:tcPr>
                <w:p>
                  <w:pPr>
                    <w:pStyle w:val="17"/>
                    <w:bidi w:val="0"/>
                    <w:jc w:val="center"/>
                    <w:rPr>
                      <w:color w:val="auto"/>
                    </w:rPr>
                  </w:pPr>
                  <w:r>
                    <w:rPr>
                      <w:color w:val="auto"/>
                    </w:rPr>
                    <w:t>线路高差</w:t>
                  </w:r>
                </w:p>
              </w:tc>
              <w:tc>
                <w:tcPr>
                  <w:tcW w:w="2790" w:type="pct"/>
                  <w:tcBorders>
                    <w:tl2br w:val="nil"/>
                    <w:tr2bl w:val="nil"/>
                  </w:tcBorders>
                  <w:vAlign w:val="center"/>
                </w:tcPr>
                <w:p>
                  <w:pPr>
                    <w:pStyle w:val="17"/>
                    <w:bidi w:val="0"/>
                    <w:jc w:val="center"/>
                    <w:rPr>
                      <w:color w:val="auto"/>
                    </w:rPr>
                  </w:pPr>
                  <w:r>
                    <w:rPr>
                      <w:rFonts w:hint="eastAsia"/>
                      <w:color w:val="auto"/>
                      <w:lang w:val="en-US" w:eastAsia="zh-CN"/>
                    </w:rPr>
                    <w:t>233</w:t>
                  </w:r>
                  <w:r>
                    <w:rPr>
                      <w:color w:val="auto"/>
                    </w:rPr>
                    <w:t>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18" w:type="pct"/>
                  <w:tcBorders>
                    <w:tl2br w:val="nil"/>
                    <w:tr2bl w:val="nil"/>
                  </w:tcBorders>
                  <w:vAlign w:val="center"/>
                </w:tcPr>
                <w:p>
                  <w:pPr>
                    <w:pStyle w:val="17"/>
                    <w:bidi w:val="0"/>
                    <w:jc w:val="center"/>
                    <w:rPr>
                      <w:color w:val="auto"/>
                    </w:rPr>
                  </w:pPr>
                  <w:r>
                    <w:rPr>
                      <w:color w:val="auto"/>
                    </w:rPr>
                    <w:t>5</w:t>
                  </w:r>
                </w:p>
              </w:tc>
              <w:tc>
                <w:tcPr>
                  <w:tcW w:w="1691" w:type="pct"/>
                  <w:tcBorders>
                    <w:tl2br w:val="nil"/>
                    <w:tr2bl w:val="nil"/>
                  </w:tcBorders>
                  <w:vAlign w:val="center"/>
                </w:tcPr>
                <w:p>
                  <w:pPr>
                    <w:pStyle w:val="17"/>
                    <w:bidi w:val="0"/>
                    <w:jc w:val="center"/>
                    <w:rPr>
                      <w:color w:val="auto"/>
                    </w:rPr>
                  </w:pPr>
                  <w:r>
                    <w:rPr>
                      <w:color w:val="auto"/>
                    </w:rPr>
                    <w:t>最大线路倾角</w:t>
                  </w:r>
                </w:p>
              </w:tc>
              <w:tc>
                <w:tcPr>
                  <w:tcW w:w="2790" w:type="pct"/>
                  <w:tcBorders>
                    <w:tl2br w:val="nil"/>
                    <w:tr2bl w:val="nil"/>
                  </w:tcBorders>
                  <w:vAlign w:val="center"/>
                </w:tcPr>
                <w:p>
                  <w:pPr>
                    <w:pStyle w:val="17"/>
                    <w:bidi w:val="0"/>
                    <w:jc w:val="center"/>
                    <w:rPr>
                      <w:color w:val="auto"/>
                    </w:rPr>
                  </w:pPr>
                  <w:r>
                    <w:rPr>
                      <w:rFonts w:hint="eastAsia"/>
                      <w:color w:val="auto"/>
                      <w:lang w:val="en-US" w:eastAsia="zh-CN"/>
                    </w:rPr>
                    <w:t>25</w:t>
                  </w:r>
                  <w:r>
                    <w:rPr>
                      <w:color w:val="auto"/>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9" w:hRule="atLeast"/>
              </w:trPr>
              <w:tc>
                <w:tcPr>
                  <w:tcW w:w="518" w:type="pct"/>
                  <w:tcBorders>
                    <w:tl2br w:val="nil"/>
                    <w:tr2bl w:val="nil"/>
                  </w:tcBorders>
                  <w:vAlign w:val="center"/>
                </w:tcPr>
                <w:p>
                  <w:pPr>
                    <w:pStyle w:val="17"/>
                    <w:bidi w:val="0"/>
                    <w:jc w:val="center"/>
                    <w:rPr>
                      <w:color w:val="auto"/>
                    </w:rPr>
                  </w:pPr>
                  <w:r>
                    <w:rPr>
                      <w:color w:val="auto"/>
                    </w:rPr>
                    <w:t>6</w:t>
                  </w:r>
                </w:p>
              </w:tc>
              <w:tc>
                <w:tcPr>
                  <w:tcW w:w="1691" w:type="pct"/>
                  <w:tcBorders>
                    <w:tl2br w:val="nil"/>
                    <w:tr2bl w:val="nil"/>
                  </w:tcBorders>
                  <w:vAlign w:val="center"/>
                </w:tcPr>
                <w:p>
                  <w:pPr>
                    <w:pStyle w:val="17"/>
                    <w:bidi w:val="0"/>
                    <w:jc w:val="center"/>
                    <w:rPr>
                      <w:color w:val="auto"/>
                    </w:rPr>
                  </w:pPr>
                  <w:r>
                    <w:rPr>
                      <w:color w:val="auto"/>
                    </w:rPr>
                    <w:t>吊厢（具）型式</w:t>
                  </w:r>
                </w:p>
              </w:tc>
              <w:tc>
                <w:tcPr>
                  <w:tcW w:w="2790" w:type="pct"/>
                  <w:tcBorders>
                    <w:tl2br w:val="nil"/>
                    <w:tr2bl w:val="nil"/>
                  </w:tcBorders>
                  <w:vAlign w:val="center"/>
                </w:tcPr>
                <w:p>
                  <w:pPr>
                    <w:pStyle w:val="17"/>
                    <w:bidi w:val="0"/>
                    <w:jc w:val="center"/>
                    <w:rPr>
                      <w:color w:val="auto"/>
                    </w:rPr>
                  </w:pPr>
                  <w:r>
                    <w:rPr>
                      <w:color w:val="auto"/>
                    </w:rPr>
                    <w:t>8人吊厢</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18" w:type="pct"/>
                  <w:tcBorders>
                    <w:tl2br w:val="nil"/>
                    <w:tr2bl w:val="nil"/>
                  </w:tcBorders>
                  <w:vAlign w:val="center"/>
                </w:tcPr>
                <w:p>
                  <w:pPr>
                    <w:pStyle w:val="17"/>
                    <w:bidi w:val="0"/>
                    <w:jc w:val="center"/>
                    <w:rPr>
                      <w:color w:val="auto"/>
                    </w:rPr>
                  </w:pPr>
                  <w:r>
                    <w:rPr>
                      <w:color w:val="auto"/>
                    </w:rPr>
                    <w:t>7</w:t>
                  </w:r>
                </w:p>
              </w:tc>
              <w:tc>
                <w:tcPr>
                  <w:tcW w:w="1691" w:type="pct"/>
                  <w:tcBorders>
                    <w:tl2br w:val="nil"/>
                    <w:tr2bl w:val="nil"/>
                  </w:tcBorders>
                  <w:vAlign w:val="center"/>
                </w:tcPr>
                <w:p>
                  <w:pPr>
                    <w:pStyle w:val="17"/>
                    <w:bidi w:val="0"/>
                    <w:jc w:val="center"/>
                    <w:rPr>
                      <w:color w:val="auto"/>
                    </w:rPr>
                  </w:pPr>
                  <w:r>
                    <w:rPr>
                      <w:color w:val="auto"/>
                    </w:rPr>
                    <w:t>吊厢（具）数量</w:t>
                  </w:r>
                </w:p>
              </w:tc>
              <w:tc>
                <w:tcPr>
                  <w:tcW w:w="2790" w:type="pct"/>
                  <w:tcBorders>
                    <w:tl2br w:val="nil"/>
                    <w:tr2bl w:val="nil"/>
                  </w:tcBorders>
                  <w:vAlign w:val="center"/>
                </w:tcPr>
                <w:p>
                  <w:pPr>
                    <w:pStyle w:val="17"/>
                    <w:bidi w:val="0"/>
                    <w:jc w:val="center"/>
                    <w:rPr>
                      <w:color w:val="auto"/>
                    </w:rPr>
                  </w:pPr>
                  <w:r>
                    <w:rPr>
                      <w:rFonts w:hint="eastAsia"/>
                      <w:color w:val="auto"/>
                      <w:lang w:val="en-US" w:eastAsia="zh-CN"/>
                    </w:rPr>
                    <w:t>31</w:t>
                  </w:r>
                  <w:r>
                    <w:rPr>
                      <w:color w:val="auto"/>
                    </w:rPr>
                    <w:t>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18" w:type="pct"/>
                  <w:tcBorders>
                    <w:tl2br w:val="nil"/>
                    <w:tr2bl w:val="nil"/>
                  </w:tcBorders>
                  <w:vAlign w:val="center"/>
                </w:tcPr>
                <w:p>
                  <w:pPr>
                    <w:pStyle w:val="17"/>
                    <w:bidi w:val="0"/>
                    <w:jc w:val="center"/>
                    <w:rPr>
                      <w:color w:val="auto"/>
                    </w:rPr>
                  </w:pPr>
                  <w:r>
                    <w:rPr>
                      <w:color w:val="auto"/>
                    </w:rPr>
                    <w:t>8</w:t>
                  </w:r>
                </w:p>
              </w:tc>
              <w:tc>
                <w:tcPr>
                  <w:tcW w:w="1691" w:type="pct"/>
                  <w:tcBorders>
                    <w:tl2br w:val="nil"/>
                    <w:tr2bl w:val="nil"/>
                  </w:tcBorders>
                  <w:vAlign w:val="center"/>
                </w:tcPr>
                <w:p>
                  <w:pPr>
                    <w:pStyle w:val="17"/>
                    <w:bidi w:val="0"/>
                    <w:jc w:val="center"/>
                    <w:rPr>
                      <w:color w:val="auto"/>
                    </w:rPr>
                  </w:pPr>
                  <w:r>
                    <w:rPr>
                      <w:color w:val="auto"/>
                    </w:rPr>
                    <w:t>吊厢间距距离</w:t>
                  </w:r>
                </w:p>
              </w:tc>
              <w:tc>
                <w:tcPr>
                  <w:tcW w:w="2790" w:type="pct"/>
                  <w:tcBorders>
                    <w:tl2br w:val="nil"/>
                    <w:tr2bl w:val="nil"/>
                  </w:tcBorders>
                  <w:vAlign w:val="center"/>
                </w:tcPr>
                <w:p>
                  <w:pPr>
                    <w:pStyle w:val="17"/>
                    <w:bidi w:val="0"/>
                    <w:jc w:val="center"/>
                    <w:rPr>
                      <w:color w:val="auto"/>
                    </w:rPr>
                  </w:pPr>
                  <w:r>
                    <w:rPr>
                      <w:color w:val="auto"/>
                    </w:rPr>
                    <w:t>85.1m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8" w:type="pct"/>
                  <w:tcBorders>
                    <w:tl2br w:val="nil"/>
                    <w:tr2bl w:val="nil"/>
                  </w:tcBorders>
                  <w:vAlign w:val="center"/>
                </w:tcPr>
                <w:p>
                  <w:pPr>
                    <w:pStyle w:val="17"/>
                    <w:bidi w:val="0"/>
                    <w:jc w:val="center"/>
                    <w:rPr>
                      <w:color w:val="auto"/>
                    </w:rPr>
                  </w:pPr>
                  <w:r>
                    <w:rPr>
                      <w:color w:val="auto"/>
                    </w:rPr>
                    <w:t>9</w:t>
                  </w:r>
                </w:p>
              </w:tc>
              <w:tc>
                <w:tcPr>
                  <w:tcW w:w="1691" w:type="pct"/>
                  <w:tcBorders>
                    <w:tl2br w:val="nil"/>
                    <w:tr2bl w:val="nil"/>
                  </w:tcBorders>
                  <w:vAlign w:val="center"/>
                </w:tcPr>
                <w:p>
                  <w:pPr>
                    <w:pStyle w:val="17"/>
                    <w:bidi w:val="0"/>
                    <w:jc w:val="center"/>
                    <w:rPr>
                      <w:color w:val="auto"/>
                    </w:rPr>
                  </w:pPr>
                  <w:r>
                    <w:rPr>
                      <w:color w:val="auto"/>
                    </w:rPr>
                    <w:t>线路运行速度（可调）</w:t>
                  </w:r>
                </w:p>
              </w:tc>
              <w:tc>
                <w:tcPr>
                  <w:tcW w:w="2790" w:type="pct"/>
                  <w:tcBorders>
                    <w:tl2br w:val="nil"/>
                    <w:tr2bl w:val="nil"/>
                  </w:tcBorders>
                  <w:vAlign w:val="center"/>
                </w:tcPr>
                <w:p>
                  <w:pPr>
                    <w:pStyle w:val="17"/>
                    <w:bidi w:val="0"/>
                    <w:jc w:val="center"/>
                    <w:rPr>
                      <w:color w:val="auto"/>
                    </w:rPr>
                  </w:pPr>
                  <w:r>
                    <w:rPr>
                      <w:color w:val="auto"/>
                    </w:rPr>
                    <w:t>0~6m/s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8" w:type="pct"/>
                  <w:tcBorders>
                    <w:tl2br w:val="nil"/>
                    <w:tr2bl w:val="nil"/>
                  </w:tcBorders>
                  <w:vAlign w:val="center"/>
                </w:tcPr>
                <w:p>
                  <w:pPr>
                    <w:pStyle w:val="17"/>
                    <w:bidi w:val="0"/>
                    <w:jc w:val="center"/>
                    <w:rPr>
                      <w:color w:val="auto"/>
                    </w:rPr>
                  </w:pPr>
                  <w:r>
                    <w:rPr>
                      <w:color w:val="auto"/>
                    </w:rPr>
                    <w:t>10</w:t>
                  </w:r>
                </w:p>
              </w:tc>
              <w:tc>
                <w:tcPr>
                  <w:tcW w:w="1691" w:type="pct"/>
                  <w:tcBorders>
                    <w:tl2br w:val="nil"/>
                    <w:tr2bl w:val="nil"/>
                  </w:tcBorders>
                  <w:vAlign w:val="center"/>
                </w:tcPr>
                <w:p>
                  <w:pPr>
                    <w:pStyle w:val="17"/>
                    <w:bidi w:val="0"/>
                    <w:jc w:val="center"/>
                    <w:rPr>
                      <w:color w:val="auto"/>
                    </w:rPr>
                  </w:pPr>
                  <w:r>
                    <w:rPr>
                      <w:color w:val="auto"/>
                    </w:rPr>
                    <w:t>单程运行时间</w:t>
                  </w:r>
                </w:p>
              </w:tc>
              <w:tc>
                <w:tcPr>
                  <w:tcW w:w="2790" w:type="pct"/>
                  <w:tcBorders>
                    <w:tl2br w:val="nil"/>
                    <w:tr2bl w:val="nil"/>
                  </w:tcBorders>
                  <w:vAlign w:val="center"/>
                </w:tcPr>
                <w:p>
                  <w:pPr>
                    <w:pStyle w:val="17"/>
                    <w:bidi w:val="0"/>
                    <w:jc w:val="center"/>
                    <w:rPr>
                      <w:color w:val="auto"/>
                    </w:rPr>
                  </w:pPr>
                  <w:r>
                    <w:rPr>
                      <w:rFonts w:hint="eastAsia"/>
                      <w:color w:val="auto"/>
                      <w:lang w:val="en-US" w:eastAsia="zh-CN"/>
                    </w:rPr>
                    <w:t>4</w:t>
                  </w:r>
                  <w:r>
                    <w:rPr>
                      <w:color w:val="auto"/>
                    </w:rPr>
                    <w:t>min</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8" w:type="pct"/>
                  <w:tcBorders>
                    <w:tl2br w:val="nil"/>
                    <w:tr2bl w:val="nil"/>
                  </w:tcBorders>
                  <w:vAlign w:val="center"/>
                </w:tcPr>
                <w:p>
                  <w:pPr>
                    <w:pStyle w:val="17"/>
                    <w:bidi w:val="0"/>
                    <w:jc w:val="center"/>
                    <w:rPr>
                      <w:color w:val="auto"/>
                    </w:rPr>
                  </w:pPr>
                  <w:r>
                    <w:rPr>
                      <w:color w:val="auto"/>
                    </w:rPr>
                    <w:t>11</w:t>
                  </w:r>
                </w:p>
              </w:tc>
              <w:tc>
                <w:tcPr>
                  <w:tcW w:w="1691" w:type="pct"/>
                  <w:tcBorders>
                    <w:tl2br w:val="nil"/>
                    <w:tr2bl w:val="nil"/>
                  </w:tcBorders>
                  <w:vAlign w:val="center"/>
                </w:tcPr>
                <w:p>
                  <w:pPr>
                    <w:pStyle w:val="17"/>
                    <w:bidi w:val="0"/>
                    <w:jc w:val="center"/>
                    <w:rPr>
                      <w:color w:val="auto"/>
                    </w:rPr>
                  </w:pPr>
                  <w:r>
                    <w:rPr>
                      <w:color w:val="auto"/>
                    </w:rPr>
                    <w:t>单向运输能力</w:t>
                  </w:r>
                </w:p>
              </w:tc>
              <w:tc>
                <w:tcPr>
                  <w:tcW w:w="2790" w:type="pct"/>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1500人/小时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0" w:hRule="atLeast"/>
              </w:trPr>
              <w:tc>
                <w:tcPr>
                  <w:tcW w:w="518" w:type="pct"/>
                  <w:tcBorders>
                    <w:tl2br w:val="nil"/>
                    <w:tr2bl w:val="nil"/>
                  </w:tcBorders>
                  <w:vAlign w:val="center"/>
                </w:tcPr>
                <w:p>
                  <w:pPr>
                    <w:pStyle w:val="17"/>
                    <w:bidi w:val="0"/>
                    <w:jc w:val="center"/>
                    <w:rPr>
                      <w:color w:val="auto"/>
                    </w:rPr>
                  </w:pPr>
                  <w:r>
                    <w:rPr>
                      <w:color w:val="auto"/>
                    </w:rPr>
                    <w:t>12</w:t>
                  </w:r>
                </w:p>
              </w:tc>
              <w:tc>
                <w:tcPr>
                  <w:tcW w:w="1691" w:type="pct"/>
                  <w:tcBorders>
                    <w:tl2br w:val="nil"/>
                    <w:tr2bl w:val="nil"/>
                  </w:tcBorders>
                  <w:vAlign w:val="center"/>
                </w:tcPr>
                <w:p>
                  <w:pPr>
                    <w:pStyle w:val="17"/>
                    <w:bidi w:val="0"/>
                    <w:jc w:val="center"/>
                    <w:rPr>
                      <w:color w:val="auto"/>
                    </w:rPr>
                  </w:pPr>
                  <w:r>
                    <w:rPr>
                      <w:color w:val="auto"/>
                    </w:rPr>
                    <w:t>驱动站</w:t>
                  </w:r>
                </w:p>
              </w:tc>
              <w:tc>
                <w:tcPr>
                  <w:tcW w:w="2790" w:type="pct"/>
                  <w:tcBorders>
                    <w:tl2br w:val="nil"/>
                    <w:tr2bl w:val="nil"/>
                  </w:tcBorders>
                  <w:vAlign w:val="center"/>
                </w:tcPr>
                <w:p>
                  <w:pPr>
                    <w:pStyle w:val="17"/>
                    <w:bidi w:val="0"/>
                    <w:jc w:val="center"/>
                    <w:rPr>
                      <w:rFonts w:hint="eastAsia"/>
                      <w:color w:val="auto"/>
                      <w:lang w:eastAsia="zh-CN"/>
                    </w:rPr>
                  </w:pPr>
                  <w:r>
                    <w:rPr>
                      <w:rFonts w:hint="eastAsia"/>
                      <w:color w:val="auto"/>
                      <w:lang w:eastAsia="zh-CN"/>
                    </w:rPr>
                    <w:t>上站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8" w:type="pct"/>
                  <w:tcBorders>
                    <w:tl2br w:val="nil"/>
                    <w:tr2bl w:val="nil"/>
                  </w:tcBorders>
                  <w:vAlign w:val="center"/>
                </w:tcPr>
                <w:p>
                  <w:pPr>
                    <w:pStyle w:val="17"/>
                    <w:bidi w:val="0"/>
                    <w:jc w:val="center"/>
                    <w:rPr>
                      <w:color w:val="auto"/>
                    </w:rPr>
                  </w:pPr>
                  <w:r>
                    <w:rPr>
                      <w:color w:val="auto"/>
                    </w:rPr>
                    <w:t>13</w:t>
                  </w:r>
                </w:p>
              </w:tc>
              <w:tc>
                <w:tcPr>
                  <w:tcW w:w="1691" w:type="pct"/>
                  <w:tcBorders>
                    <w:tl2br w:val="nil"/>
                    <w:tr2bl w:val="nil"/>
                  </w:tcBorders>
                  <w:vAlign w:val="center"/>
                </w:tcPr>
                <w:p>
                  <w:pPr>
                    <w:pStyle w:val="17"/>
                    <w:bidi w:val="0"/>
                    <w:jc w:val="center"/>
                    <w:rPr>
                      <w:color w:val="auto"/>
                    </w:rPr>
                  </w:pPr>
                  <w:r>
                    <w:rPr>
                      <w:color w:val="auto"/>
                    </w:rPr>
                    <w:t>迂回张紧站</w:t>
                  </w:r>
                </w:p>
              </w:tc>
              <w:tc>
                <w:tcPr>
                  <w:tcW w:w="2790" w:type="pct"/>
                  <w:tcBorders>
                    <w:tl2br w:val="nil"/>
                    <w:tr2bl w:val="nil"/>
                  </w:tcBorders>
                  <w:vAlign w:val="center"/>
                </w:tcPr>
                <w:p>
                  <w:pPr>
                    <w:pStyle w:val="17"/>
                    <w:bidi w:val="0"/>
                    <w:jc w:val="center"/>
                    <w:rPr>
                      <w:color w:val="auto"/>
                    </w:rPr>
                  </w:pPr>
                  <w:r>
                    <w:rPr>
                      <w:color w:val="auto"/>
                    </w:rPr>
                    <w:t>上站、下站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0" w:hRule="atLeast"/>
              </w:trPr>
              <w:tc>
                <w:tcPr>
                  <w:tcW w:w="518" w:type="pct"/>
                  <w:tcBorders>
                    <w:tl2br w:val="nil"/>
                    <w:tr2bl w:val="nil"/>
                  </w:tcBorders>
                  <w:vAlign w:val="center"/>
                </w:tcPr>
                <w:p>
                  <w:pPr>
                    <w:pStyle w:val="17"/>
                    <w:bidi w:val="0"/>
                    <w:jc w:val="center"/>
                    <w:rPr>
                      <w:color w:val="auto"/>
                    </w:rPr>
                  </w:pPr>
                  <w:r>
                    <w:rPr>
                      <w:color w:val="auto"/>
                    </w:rPr>
                    <w:t>14</w:t>
                  </w:r>
                </w:p>
              </w:tc>
              <w:tc>
                <w:tcPr>
                  <w:tcW w:w="1691" w:type="pct"/>
                  <w:tcBorders>
                    <w:tl2br w:val="nil"/>
                    <w:tr2bl w:val="nil"/>
                  </w:tcBorders>
                  <w:vAlign w:val="center"/>
                </w:tcPr>
                <w:p>
                  <w:pPr>
                    <w:pStyle w:val="17"/>
                    <w:bidi w:val="0"/>
                    <w:jc w:val="center"/>
                    <w:rPr>
                      <w:color w:val="auto"/>
                    </w:rPr>
                  </w:pPr>
                  <w:r>
                    <w:rPr>
                      <w:color w:val="auto"/>
                    </w:rPr>
                    <w:t>主驱动机功率</w:t>
                  </w:r>
                </w:p>
              </w:tc>
              <w:tc>
                <w:tcPr>
                  <w:tcW w:w="2790" w:type="pct"/>
                  <w:tcBorders>
                    <w:tl2br w:val="nil"/>
                    <w:tr2bl w:val="nil"/>
                  </w:tcBorders>
                  <w:vAlign w:val="center"/>
                </w:tcPr>
                <w:p>
                  <w:pPr>
                    <w:pStyle w:val="17"/>
                    <w:bidi w:val="0"/>
                    <w:jc w:val="center"/>
                    <w:rPr>
                      <w:color w:val="auto"/>
                    </w:rPr>
                  </w:pPr>
                  <w:r>
                    <w:rPr>
                      <w:color w:val="auto"/>
                    </w:rPr>
                    <w:t>4</w:t>
                  </w:r>
                  <w:r>
                    <w:rPr>
                      <w:rFonts w:hint="eastAsia"/>
                      <w:color w:val="auto"/>
                      <w:lang w:val="en-US" w:eastAsia="zh-CN"/>
                    </w:rPr>
                    <w:t>1</w:t>
                  </w:r>
                  <w:r>
                    <w:rPr>
                      <w:color w:val="auto"/>
                    </w:rPr>
                    <w:t>0kW</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8" w:type="pct"/>
                  <w:tcBorders>
                    <w:tl2br w:val="nil"/>
                    <w:tr2bl w:val="nil"/>
                  </w:tcBorders>
                  <w:vAlign w:val="center"/>
                </w:tcPr>
                <w:p>
                  <w:pPr>
                    <w:pStyle w:val="17"/>
                    <w:bidi w:val="0"/>
                    <w:jc w:val="center"/>
                    <w:rPr>
                      <w:color w:val="auto"/>
                    </w:rPr>
                  </w:pPr>
                  <w:r>
                    <w:rPr>
                      <w:color w:val="auto"/>
                    </w:rPr>
                    <w:t>15</w:t>
                  </w:r>
                </w:p>
              </w:tc>
              <w:tc>
                <w:tcPr>
                  <w:tcW w:w="1691" w:type="pct"/>
                  <w:tcBorders>
                    <w:tl2br w:val="nil"/>
                    <w:tr2bl w:val="nil"/>
                  </w:tcBorders>
                  <w:vAlign w:val="center"/>
                </w:tcPr>
                <w:p>
                  <w:pPr>
                    <w:pStyle w:val="17"/>
                    <w:bidi w:val="0"/>
                    <w:jc w:val="center"/>
                    <w:rPr>
                      <w:color w:val="auto"/>
                    </w:rPr>
                  </w:pPr>
                  <w:r>
                    <w:rPr>
                      <w:color w:val="auto"/>
                    </w:rPr>
                    <w:t>支架桩点数</w:t>
                  </w:r>
                </w:p>
              </w:tc>
              <w:tc>
                <w:tcPr>
                  <w:tcW w:w="2790" w:type="pct"/>
                  <w:tcBorders>
                    <w:tl2br w:val="nil"/>
                    <w:tr2bl w:val="nil"/>
                  </w:tcBorders>
                  <w:vAlign w:val="center"/>
                </w:tcPr>
                <w:p>
                  <w:pPr>
                    <w:pStyle w:val="17"/>
                    <w:bidi w:val="0"/>
                    <w:jc w:val="center"/>
                    <w:rPr>
                      <w:color w:val="auto"/>
                    </w:rPr>
                  </w:pPr>
                  <w:r>
                    <w:rPr>
                      <w:rFonts w:hint="eastAsia"/>
                      <w:color w:val="auto"/>
                      <w:lang w:val="en-US" w:eastAsia="zh-CN"/>
                    </w:rPr>
                    <w:t>7</w:t>
                  </w:r>
                  <w:r>
                    <w:rPr>
                      <w:color w:val="auto"/>
                    </w:rPr>
                    <w:t>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0" w:hRule="atLeast"/>
              </w:trPr>
              <w:tc>
                <w:tcPr>
                  <w:tcW w:w="518" w:type="pct"/>
                  <w:tcBorders>
                    <w:tl2br w:val="nil"/>
                    <w:tr2bl w:val="nil"/>
                  </w:tcBorders>
                  <w:vAlign w:val="center"/>
                </w:tcPr>
                <w:p>
                  <w:pPr>
                    <w:pStyle w:val="17"/>
                    <w:bidi w:val="0"/>
                    <w:jc w:val="center"/>
                    <w:rPr>
                      <w:color w:val="auto"/>
                    </w:rPr>
                  </w:pPr>
                  <w:r>
                    <w:rPr>
                      <w:color w:val="auto"/>
                    </w:rPr>
                    <w:t>16</w:t>
                  </w:r>
                </w:p>
              </w:tc>
              <w:tc>
                <w:tcPr>
                  <w:tcW w:w="1691" w:type="pct"/>
                  <w:tcBorders>
                    <w:tl2br w:val="nil"/>
                    <w:tr2bl w:val="nil"/>
                  </w:tcBorders>
                  <w:vAlign w:val="center"/>
                </w:tcPr>
                <w:p>
                  <w:pPr>
                    <w:pStyle w:val="17"/>
                    <w:bidi w:val="0"/>
                    <w:jc w:val="center"/>
                    <w:rPr>
                      <w:color w:val="auto"/>
                    </w:rPr>
                  </w:pPr>
                  <w:r>
                    <w:rPr>
                      <w:color w:val="auto"/>
                    </w:rPr>
                    <w:t>钢绳直径</w:t>
                  </w:r>
                </w:p>
              </w:tc>
              <w:tc>
                <w:tcPr>
                  <w:tcW w:w="2790" w:type="pct"/>
                  <w:tcBorders>
                    <w:tl2br w:val="nil"/>
                    <w:tr2bl w:val="nil"/>
                  </w:tcBorders>
                  <w:vAlign w:val="center"/>
                </w:tcPr>
                <w:p>
                  <w:pPr>
                    <w:pStyle w:val="17"/>
                    <w:bidi w:val="0"/>
                    <w:jc w:val="center"/>
                    <w:rPr>
                      <w:color w:val="auto"/>
                    </w:rPr>
                  </w:pPr>
                  <w:r>
                    <w:rPr>
                      <w:color w:val="auto"/>
                    </w:rPr>
                    <w:t>φ50mm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8" w:type="pct"/>
                  <w:tcBorders>
                    <w:tl2br w:val="nil"/>
                    <w:tr2bl w:val="nil"/>
                  </w:tcBorders>
                  <w:vAlign w:val="center"/>
                </w:tcPr>
                <w:p>
                  <w:pPr>
                    <w:pStyle w:val="17"/>
                    <w:bidi w:val="0"/>
                    <w:jc w:val="center"/>
                    <w:rPr>
                      <w:color w:val="auto"/>
                    </w:rPr>
                  </w:pPr>
                  <w:r>
                    <w:rPr>
                      <w:color w:val="auto"/>
                    </w:rPr>
                    <w:t>17</w:t>
                  </w:r>
                </w:p>
              </w:tc>
              <w:tc>
                <w:tcPr>
                  <w:tcW w:w="1691" w:type="pct"/>
                  <w:tcBorders>
                    <w:tl2br w:val="nil"/>
                    <w:tr2bl w:val="nil"/>
                  </w:tcBorders>
                  <w:vAlign w:val="center"/>
                </w:tcPr>
                <w:p>
                  <w:pPr>
                    <w:pStyle w:val="17"/>
                    <w:bidi w:val="0"/>
                    <w:jc w:val="center"/>
                    <w:rPr>
                      <w:color w:val="auto"/>
                    </w:rPr>
                  </w:pPr>
                  <w:r>
                    <w:rPr>
                      <w:color w:val="auto"/>
                    </w:rPr>
                    <w:t>驱动轮直径</w:t>
                  </w:r>
                </w:p>
              </w:tc>
              <w:tc>
                <w:tcPr>
                  <w:tcW w:w="2790" w:type="pct"/>
                  <w:tcBorders>
                    <w:tl2br w:val="nil"/>
                    <w:tr2bl w:val="nil"/>
                  </w:tcBorders>
                  <w:vAlign w:val="center"/>
                </w:tcPr>
                <w:p>
                  <w:pPr>
                    <w:pStyle w:val="17"/>
                    <w:bidi w:val="0"/>
                    <w:jc w:val="center"/>
                    <w:rPr>
                      <w:color w:val="auto"/>
                    </w:rPr>
                  </w:pPr>
                  <w:r>
                    <w:rPr>
                      <w:color w:val="auto"/>
                    </w:rPr>
                    <w:t>Φ6000mm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8" w:type="pct"/>
                  <w:tcBorders>
                    <w:tl2br w:val="nil"/>
                    <w:tr2bl w:val="nil"/>
                  </w:tcBorders>
                  <w:vAlign w:val="center"/>
                </w:tcPr>
                <w:p>
                  <w:pPr>
                    <w:pStyle w:val="17"/>
                    <w:bidi w:val="0"/>
                    <w:jc w:val="center"/>
                    <w:rPr>
                      <w:color w:val="auto"/>
                    </w:rPr>
                  </w:pPr>
                  <w:r>
                    <w:rPr>
                      <w:color w:val="auto"/>
                    </w:rPr>
                    <w:t>18</w:t>
                  </w:r>
                </w:p>
              </w:tc>
              <w:tc>
                <w:tcPr>
                  <w:tcW w:w="1691" w:type="pct"/>
                  <w:tcBorders>
                    <w:tl2br w:val="nil"/>
                    <w:tr2bl w:val="nil"/>
                  </w:tcBorders>
                  <w:vAlign w:val="center"/>
                </w:tcPr>
                <w:p>
                  <w:pPr>
                    <w:pStyle w:val="17"/>
                    <w:bidi w:val="0"/>
                    <w:jc w:val="center"/>
                    <w:rPr>
                      <w:color w:val="auto"/>
                    </w:rPr>
                  </w:pPr>
                  <w:r>
                    <w:rPr>
                      <w:color w:val="auto"/>
                    </w:rPr>
                    <w:t>索道旋转方向</w:t>
                  </w:r>
                </w:p>
              </w:tc>
              <w:tc>
                <w:tcPr>
                  <w:tcW w:w="2790" w:type="pct"/>
                  <w:tcBorders>
                    <w:tl2br w:val="nil"/>
                    <w:tr2bl w:val="nil"/>
                  </w:tcBorders>
                  <w:vAlign w:val="center"/>
                </w:tcPr>
                <w:p>
                  <w:pPr>
                    <w:pStyle w:val="17"/>
                    <w:bidi w:val="0"/>
                    <w:jc w:val="center"/>
                    <w:rPr>
                      <w:color w:val="auto"/>
                    </w:rPr>
                  </w:pPr>
                  <w:r>
                    <w:rPr>
                      <w:color w:val="auto"/>
                    </w:rPr>
                    <w:t>顺时针</w:t>
                  </w:r>
                </w:p>
              </w:tc>
            </w:tr>
          </w:tbl>
          <w:p>
            <w:pPr>
              <w:pStyle w:val="4"/>
              <w:bidi w:val="0"/>
              <w:rPr>
                <w:rFonts w:hint="default"/>
                <w:color w:val="auto"/>
                <w:lang w:val="en-US" w:eastAsia="zh-CN"/>
              </w:rPr>
            </w:pPr>
            <w:r>
              <w:rPr>
                <w:rFonts w:hint="eastAsia"/>
                <w:color w:val="auto"/>
                <w:lang w:val="en-US" w:eastAsia="zh-CN"/>
              </w:rPr>
              <w:t>2</w:t>
            </w:r>
            <w:r>
              <w:rPr>
                <w:rFonts w:hint="default"/>
                <w:color w:val="auto"/>
                <w:lang w:val="en-US" w:eastAsia="zh-CN"/>
              </w:rPr>
              <w:t>.1.5索道工艺配置</w:t>
            </w:r>
          </w:p>
          <w:p>
            <w:pPr>
              <w:bidi w:val="0"/>
              <w:rPr>
                <w:rFonts w:hint="default"/>
                <w:color w:val="auto"/>
                <w:lang w:val="en-US" w:eastAsia="zh-CN"/>
              </w:rPr>
            </w:pPr>
            <w:r>
              <w:rPr>
                <w:rFonts w:hint="default"/>
                <w:color w:val="auto"/>
                <w:lang w:val="en-US" w:eastAsia="zh-CN"/>
              </w:rPr>
              <w:t>本索道由上站、下站和线路组成：下站是索道位置较低的站房，是索道的起点站。</w:t>
            </w:r>
            <w:r>
              <w:rPr>
                <w:rFonts w:hint="eastAsia"/>
                <w:color w:val="auto"/>
                <w:lang w:val="en-US" w:eastAsia="zh-CN"/>
              </w:rPr>
              <w:t>上站</w:t>
            </w:r>
            <w:r>
              <w:rPr>
                <w:rFonts w:hint="default"/>
                <w:color w:val="auto"/>
                <w:lang w:val="en-US" w:eastAsia="zh-CN"/>
              </w:rPr>
              <w:t>是索道的中点站。上站是位置较高的站房，是索道的终点站。由于运转的需要，索道设有驱动装置、拉紧装置、站内设备、线路设备等。由于索道运行需要，将索道的驱动装置设在</w:t>
            </w:r>
            <w:r>
              <w:rPr>
                <w:rFonts w:hint="eastAsia"/>
                <w:color w:val="auto"/>
                <w:lang w:val="en-US" w:eastAsia="zh-CN"/>
              </w:rPr>
              <w:t>上站</w:t>
            </w:r>
            <w:r>
              <w:rPr>
                <w:rFonts w:hint="default"/>
                <w:color w:val="auto"/>
                <w:lang w:val="en-US" w:eastAsia="zh-CN"/>
              </w:rPr>
              <w:t>，拉紧装置设在下站、上站。索道线路跨越山头和深沟，根据线路地形条件，索道线路共设</w:t>
            </w:r>
            <w:r>
              <w:rPr>
                <w:rFonts w:hint="eastAsia"/>
                <w:color w:val="auto"/>
                <w:lang w:val="en-US" w:eastAsia="zh-CN"/>
              </w:rPr>
              <w:t>7个</w:t>
            </w:r>
            <w:r>
              <w:rPr>
                <w:rFonts w:hint="default"/>
                <w:color w:val="auto"/>
                <w:lang w:val="en-US" w:eastAsia="zh-CN"/>
              </w:rPr>
              <w:t>支架。</w:t>
            </w:r>
          </w:p>
          <w:p>
            <w:pPr>
              <w:pStyle w:val="4"/>
              <w:bidi w:val="0"/>
              <w:rPr>
                <w:rFonts w:hint="default"/>
                <w:color w:val="auto"/>
                <w:lang w:val="en-US" w:eastAsia="zh-CN"/>
              </w:rPr>
            </w:pPr>
            <w:r>
              <w:rPr>
                <w:rFonts w:hint="eastAsia"/>
                <w:color w:val="auto"/>
                <w:lang w:val="en-US" w:eastAsia="zh-CN"/>
              </w:rPr>
              <w:t>2</w:t>
            </w:r>
            <w:r>
              <w:rPr>
                <w:rFonts w:hint="default"/>
                <w:color w:val="auto"/>
                <w:lang w:val="en-US" w:eastAsia="zh-CN"/>
              </w:rPr>
              <w:t>.1.6索道线路</w:t>
            </w:r>
          </w:p>
          <w:p>
            <w:pPr>
              <w:bidi w:val="0"/>
              <w:rPr>
                <w:rFonts w:hint="eastAsia" w:ascii="Times New Roman" w:hAnsi="Times New Roman" w:eastAsia="宋体" w:cs="Times New Roman"/>
                <w:color w:val="auto"/>
                <w:lang w:val="en-US" w:eastAsia="zh-CN"/>
              </w:rPr>
            </w:pPr>
            <w:r>
              <w:rPr>
                <w:rFonts w:hint="default"/>
                <w:color w:val="auto"/>
                <w:lang w:val="en-US" w:eastAsia="zh-CN"/>
              </w:rPr>
              <w:t>为满足索道车厢的距地高度要求，根据线路地形条件，索道线路上共配有</w:t>
            </w:r>
            <w:r>
              <w:rPr>
                <w:rFonts w:hint="eastAsia"/>
                <w:color w:val="auto"/>
                <w:lang w:val="en-US" w:eastAsia="zh-CN"/>
              </w:rPr>
              <w:t>7个</w:t>
            </w:r>
            <w:r>
              <w:rPr>
                <w:rFonts w:hint="default"/>
                <w:color w:val="auto"/>
                <w:lang w:val="en-US" w:eastAsia="zh-CN"/>
              </w:rPr>
              <w:t>支架。为满足线路上两侧车厢交汇时的净空要求，线路索距定为6m。索道承载索直径φ50mm，采用高强度密封钢丝绳。采用双承载的优点是一方面增加索道的抗风能力，减小大风时车厢的横向摇摆，另一方面可减小单根承载索的重量，便于施工。索道采用两个高强度钢丝绳作牵引索，牵引索通过</w:t>
            </w:r>
            <w:r>
              <w:rPr>
                <w:rFonts w:hint="eastAsia"/>
                <w:color w:val="auto"/>
                <w:lang w:val="en-US" w:eastAsia="zh-CN"/>
              </w:rPr>
              <w:t>上站</w:t>
            </w:r>
            <w:r>
              <w:rPr>
                <w:rFonts w:hint="default"/>
                <w:color w:val="auto"/>
                <w:lang w:val="en-US" w:eastAsia="zh-CN"/>
              </w:rPr>
              <w:t>的驱动机和下站的拉紧装置编织成一个闭合环。索道车厢与牵引索采用四个固定式抱索装置连接。抱索装置与牵引索采用四个固定式抱索装置连接。抱索装置与牵引索的连接位置可以定期移动，通过移位还可以调整两根牵引索的</w:t>
            </w:r>
            <w:r>
              <w:rPr>
                <w:rFonts w:hint="default" w:ascii="Times New Roman" w:hAnsi="Times New Roman" w:eastAsia="宋体" w:cs="Times New Roman"/>
                <w:color w:val="auto"/>
                <w:lang w:val="en-US" w:eastAsia="zh-CN"/>
              </w:rPr>
              <w:t>长度差异。索道采用8人车厢，L型箱型吊架。车厢配有广播通讯设备和垂直救护用缓降机和吊袋等设备</w:t>
            </w:r>
            <w:r>
              <w:rPr>
                <w:rFonts w:hint="eastAsia" w:ascii="Times New Roman" w:hAnsi="Times New Roman" w:eastAsia="宋体" w:cs="Times New Roman"/>
                <w:color w:val="auto"/>
                <w:lang w:val="en-US" w:eastAsia="zh-CN"/>
              </w:rPr>
              <w:t>。</w:t>
            </w:r>
          </w:p>
          <w:p>
            <w:pPr>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 xml:space="preserve">3 </w:t>
            </w:r>
            <w:r>
              <w:rPr>
                <w:rFonts w:hint="default" w:ascii="Times New Roman" w:hAnsi="Times New Roman" w:eastAsia="宋体" w:cs="Times New Roman"/>
                <w:b/>
                <w:bCs/>
                <w:color w:val="auto"/>
                <w:lang w:val="en-US" w:eastAsia="zh-CN"/>
              </w:rPr>
              <w:t>站点工程</w:t>
            </w:r>
          </w:p>
          <w:p>
            <w:pPr>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lang w:val="en-US" w:eastAsia="zh-CN"/>
              </w:rPr>
              <w:t>.1下站工程</w:t>
            </w:r>
          </w:p>
          <w:p>
            <w:pPr>
              <w:bidi w:val="0"/>
              <w:rPr>
                <w:rFonts w:hint="default"/>
                <w:color w:val="auto"/>
                <w:lang w:val="en-US" w:eastAsia="zh-CN"/>
              </w:rPr>
            </w:pPr>
            <w:r>
              <w:rPr>
                <w:rFonts w:hint="default"/>
                <w:color w:val="auto"/>
                <w:lang w:val="en-US" w:eastAsia="zh-CN"/>
              </w:rPr>
              <w:t>索道下站位于</w:t>
            </w:r>
            <w:r>
              <w:rPr>
                <w:rFonts w:hint="eastAsia"/>
                <w:color w:val="auto"/>
                <w:lang w:val="en-US" w:eastAsia="zh-CN"/>
              </w:rPr>
              <w:t>果赛景区三台关停车场</w:t>
            </w:r>
            <w:r>
              <w:rPr>
                <w:rFonts w:hint="default"/>
                <w:color w:val="auto"/>
                <w:lang w:val="en-US" w:eastAsia="zh-CN"/>
              </w:rPr>
              <w:t>，场地原始地貌为草地，海拔</w:t>
            </w:r>
            <w:r>
              <w:rPr>
                <w:rFonts w:hint="eastAsia"/>
                <w:color w:val="auto"/>
                <w:lang w:val="en-US" w:eastAsia="zh-CN"/>
              </w:rPr>
              <w:t>2483</w:t>
            </w:r>
            <w:r>
              <w:rPr>
                <w:rFonts w:hint="default"/>
                <w:color w:val="auto"/>
                <w:lang w:val="en-US" w:eastAsia="zh-CN"/>
              </w:rPr>
              <w:t>m。下站总建筑面积</w:t>
            </w:r>
            <w:r>
              <w:rPr>
                <w:rFonts w:hint="eastAsia"/>
                <w:color w:val="auto"/>
                <w:lang w:val="en-US" w:eastAsia="zh-CN"/>
              </w:rPr>
              <w:t>1670m</w:t>
            </w:r>
            <w:r>
              <w:rPr>
                <w:rFonts w:hint="eastAsia"/>
                <w:color w:val="auto"/>
                <w:vertAlign w:val="superscript"/>
                <w:lang w:val="en-US" w:eastAsia="zh-CN"/>
              </w:rPr>
              <w:t>2</w:t>
            </w:r>
            <w:r>
              <w:rPr>
                <w:rFonts w:hint="default"/>
                <w:color w:val="auto"/>
                <w:lang w:val="en-US" w:eastAsia="zh-CN"/>
              </w:rPr>
              <w:t>，索道下站站房建筑为</w:t>
            </w:r>
            <w:r>
              <w:rPr>
                <w:rFonts w:hint="eastAsia"/>
                <w:color w:val="auto"/>
                <w:lang w:val="en-US" w:eastAsia="zh-CN"/>
              </w:rPr>
              <w:t>双</w:t>
            </w:r>
            <w:r>
              <w:rPr>
                <w:rFonts w:hint="default"/>
                <w:color w:val="auto"/>
                <w:lang w:val="en-US" w:eastAsia="zh-CN"/>
              </w:rPr>
              <w:t>层建筑，框架结构，</w:t>
            </w:r>
            <w:r>
              <w:rPr>
                <w:rFonts w:hint="eastAsia"/>
                <w:color w:val="auto"/>
                <w:lang w:val="en-US" w:eastAsia="zh-CN"/>
              </w:rPr>
              <w:t>下站一层为游客服务及管理用房，下站二层为驱动、张紧站及吊厢车库</w:t>
            </w:r>
            <w:r>
              <w:rPr>
                <w:rFonts w:hint="default"/>
                <w:color w:val="auto"/>
                <w:lang w:val="en-US" w:eastAsia="zh-CN"/>
              </w:rPr>
              <w:t>。</w:t>
            </w:r>
          </w:p>
          <w:p>
            <w:pPr>
              <w:bidi w:val="0"/>
              <w:ind w:left="0" w:leftChars="0" w:firstLine="0" w:firstLineChars="0"/>
              <w:rPr>
                <w:rFonts w:hint="default" w:ascii="Times New Roman" w:hAnsi="Times New Roman" w:eastAsia="宋体" w:cs="Times New Roman"/>
                <w:b/>
                <w:bCs/>
                <w:color w:val="auto"/>
                <w:lang w:val="en-US" w:eastAsia="zh-CN"/>
              </w:rPr>
            </w:pPr>
            <w:r>
              <w:rPr>
                <w:rFonts w:hint="default"/>
                <w:color w:val="auto"/>
                <w:lang w:val="en-US" w:eastAsia="zh-CN"/>
              </w:rPr>
              <w:t>索道下站</w:t>
            </w:r>
            <w:r>
              <w:rPr>
                <w:rFonts w:hint="eastAsia"/>
                <w:color w:val="auto"/>
                <w:lang w:val="en-US" w:eastAsia="zh-CN"/>
              </w:rPr>
              <w:t>周边设置有云外笠影、次游服中心、玛依拉换装馆、都府万和餐吧</w:t>
            </w:r>
            <w:r>
              <w:rPr>
                <w:rFonts w:hint="default"/>
                <w:color w:val="auto"/>
                <w:lang w:val="en-US" w:eastAsia="zh-CN"/>
              </w:rPr>
              <w:t>。下站附近地域开阔，游客集散、服务和管理均较为方便</w:t>
            </w:r>
            <w:r>
              <w:rPr>
                <w:rFonts w:hint="eastAsia"/>
                <w:color w:val="auto"/>
                <w:lang w:val="en-US" w:eastAsia="zh-CN"/>
              </w:rPr>
              <w:t>。</w:t>
            </w:r>
            <w:r>
              <w:rPr>
                <w:rFonts w:hint="default"/>
                <w:color w:val="auto"/>
                <w:lang w:val="en-US" w:eastAsia="zh-CN"/>
              </w:rPr>
              <w:t>站房结构形式为框架结构，柱下独立基础，墙基础采用混凝土带形基础或地基梁，基础埋深将视场地地形及工程地情况确定。</w:t>
            </w:r>
          </w:p>
          <w:p>
            <w:pPr>
              <w:bidi w:val="0"/>
              <w:ind w:left="0" w:leftChars="0" w:firstLine="0" w:firstLineChars="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w:t>
            </w:r>
            <w:r>
              <w:rPr>
                <w:rFonts w:hint="eastAsia"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val="en-US" w:eastAsia="zh-CN"/>
              </w:rPr>
              <w:t>上站工程</w:t>
            </w:r>
          </w:p>
          <w:p>
            <w:pPr>
              <w:bidi w:val="0"/>
              <w:rPr>
                <w:rFonts w:hint="default"/>
                <w:color w:val="auto"/>
                <w:lang w:val="en-US" w:eastAsia="zh-CN"/>
              </w:rPr>
            </w:pPr>
            <w:r>
              <w:rPr>
                <w:rFonts w:hint="default"/>
                <w:color w:val="auto"/>
                <w:lang w:val="en-US" w:eastAsia="zh-CN"/>
              </w:rPr>
              <w:t>索道上站位于阿力麻里</w:t>
            </w:r>
            <w:r>
              <w:rPr>
                <w:rFonts w:hint="eastAsia"/>
                <w:color w:val="auto"/>
                <w:lang w:val="en-US" w:eastAsia="zh-CN"/>
              </w:rPr>
              <w:t>项目金顶</w:t>
            </w:r>
            <w:r>
              <w:rPr>
                <w:rFonts w:hint="default"/>
                <w:color w:val="auto"/>
                <w:lang w:val="en-US" w:eastAsia="zh-CN"/>
              </w:rPr>
              <w:t>地块</w:t>
            </w:r>
            <w:r>
              <w:rPr>
                <w:rFonts w:hint="eastAsia"/>
                <w:color w:val="auto"/>
                <w:lang w:val="en-US" w:eastAsia="zh-CN"/>
              </w:rPr>
              <w:t>，</w:t>
            </w:r>
            <w:r>
              <w:rPr>
                <w:rFonts w:hint="default"/>
                <w:color w:val="auto"/>
                <w:lang w:val="en-US" w:eastAsia="zh-CN"/>
              </w:rPr>
              <w:t>场地原地貌为草地，标高约</w:t>
            </w:r>
            <w:r>
              <w:rPr>
                <w:rFonts w:hint="eastAsia"/>
                <w:color w:val="auto"/>
                <w:lang w:val="en-US" w:eastAsia="zh-CN"/>
              </w:rPr>
              <w:t>2716</w:t>
            </w:r>
            <w:r>
              <w:rPr>
                <w:rFonts w:hint="default"/>
                <w:color w:val="auto"/>
                <w:lang w:val="en-US" w:eastAsia="zh-CN"/>
              </w:rPr>
              <w:t>m。上站总用地面积8</w:t>
            </w:r>
            <w:r>
              <w:rPr>
                <w:rFonts w:hint="eastAsia"/>
                <w:color w:val="auto"/>
                <w:lang w:val="en-US" w:eastAsia="zh-CN"/>
              </w:rPr>
              <w:t>50m</w:t>
            </w:r>
            <w:r>
              <w:rPr>
                <w:rFonts w:hint="eastAsia"/>
                <w:color w:val="auto"/>
                <w:vertAlign w:val="superscript"/>
                <w:lang w:val="en-US" w:eastAsia="zh-CN"/>
              </w:rPr>
              <w:t>2</w:t>
            </w:r>
            <w:r>
              <w:rPr>
                <w:rFonts w:hint="default"/>
                <w:color w:val="auto"/>
                <w:lang w:val="en-US" w:eastAsia="zh-CN"/>
              </w:rPr>
              <w:t>，构筑物为站房等。上站进站口及出入口设在站房西侧，游客出站即可参观游玩。站房结构形式为框架结构，柱下独立基础，墙基础采用混凝土带形基础或地基梁，基础埋深将视场地地形及工程地质情况确定。设计充分体现以人为本和与自然融合的理念，建筑力求不张扬于景区，其下层辅助空间采用毛石的处理手法使建筑与周围山石相互交融，使站房融入自然隐藏在周围环境中。</w:t>
            </w:r>
          </w:p>
          <w:p>
            <w:pPr>
              <w:bidi w:val="0"/>
              <w:rPr>
                <w:rFonts w:hint="eastAsia"/>
                <w:color w:val="auto"/>
                <w:lang w:val="en-US" w:eastAsia="zh-CN"/>
              </w:rPr>
            </w:pPr>
            <w:r>
              <w:rPr>
                <w:rFonts w:hint="eastAsia"/>
                <w:b/>
                <w:bCs/>
                <w:color w:val="auto"/>
                <w:lang w:val="en-US" w:eastAsia="zh-CN"/>
              </w:rPr>
              <w:t>3 接待能力及运营时间</w:t>
            </w:r>
          </w:p>
          <w:p>
            <w:pPr>
              <w:rPr>
                <w:rFonts w:hint="default"/>
                <w:lang w:val="en-US" w:eastAsia="zh-CN"/>
              </w:rPr>
            </w:pPr>
            <w:r>
              <w:rPr>
                <w:rFonts w:hint="eastAsia"/>
                <w:color w:val="auto"/>
                <w:lang w:val="en-US" w:eastAsia="zh-CN"/>
              </w:rPr>
              <w:t>本项目运营期内年接待量最高预计达150万人次，</w:t>
            </w:r>
            <w:r>
              <w:rPr>
                <w:rFonts w:hint="default"/>
                <w:color w:val="auto"/>
              </w:rPr>
              <w:t>项目职工人数为130人。</w:t>
            </w:r>
            <w:r>
              <w:rPr>
                <w:rFonts w:hint="eastAsia"/>
                <w:color w:val="auto"/>
                <w:lang w:val="en-US" w:eastAsia="zh-CN"/>
              </w:rPr>
              <w:t>运营接</w:t>
            </w:r>
            <w:r>
              <w:rPr>
                <w:rFonts w:hint="eastAsia" w:ascii="Times New Roman" w:hAnsi="Times New Roman" w:eastAsia="宋体" w:cs="Times New Roman"/>
                <w:color w:val="auto"/>
                <w:lang w:val="en-US" w:eastAsia="zh-CN"/>
              </w:rPr>
              <w:t>待时间为旅游旺季5-10月，淡季11月-次年4月。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64" w:type="pct"/>
            <w:noWrap w:val="0"/>
            <w:vAlign w:val="center"/>
          </w:tcPr>
          <w:p>
            <w:pPr>
              <w:pStyle w:val="17"/>
              <w:bidi w:val="0"/>
              <w:rPr>
                <w:rFonts w:hint="default"/>
                <w:color w:val="auto"/>
                <w:sz w:val="24"/>
                <w:szCs w:val="24"/>
              </w:rPr>
            </w:pPr>
            <w:r>
              <w:rPr>
                <w:rFonts w:hint="default"/>
                <w:color w:val="auto"/>
                <w:sz w:val="24"/>
                <w:szCs w:val="24"/>
              </w:rPr>
              <w:t>施工方案</w:t>
            </w:r>
          </w:p>
        </w:tc>
        <w:tc>
          <w:tcPr>
            <w:tcW w:w="4735" w:type="pct"/>
            <w:noWrap w:val="0"/>
            <w:vAlign w:val="center"/>
          </w:tcPr>
          <w:p>
            <w:pPr>
              <w:pStyle w:val="4"/>
              <w:bidi w:val="0"/>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施工工艺</w:t>
            </w:r>
          </w:p>
          <w:p>
            <w:pPr>
              <w:bidi w:val="0"/>
              <w:ind w:left="0" w:leftChars="0" w:firstLine="0" w:firstLineChars="0"/>
              <w:jc w:val="left"/>
              <w:rPr>
                <w:rFonts w:hint="default"/>
                <w:color w:val="auto"/>
                <w:lang w:val="en-US" w:eastAsia="zh-CN"/>
              </w:rPr>
            </w:pPr>
            <w:r>
              <w:rPr>
                <w:rFonts w:hint="default"/>
                <w:color w:val="auto"/>
                <w:lang w:val="en-US" w:eastAsia="zh-CN"/>
              </w:rPr>
              <w:drawing>
                <wp:inline distT="0" distB="0" distL="0" distR="0">
                  <wp:extent cx="5056505" cy="2823845"/>
                  <wp:effectExtent l="0" t="0" r="10795" b="14605"/>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
                          <a:stretch>
                            <a:fillRect/>
                          </a:stretch>
                        </pic:blipFill>
                        <pic:spPr>
                          <a:xfrm>
                            <a:off x="0" y="0"/>
                            <a:ext cx="5056505" cy="2823845"/>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lang w:val="en-US" w:eastAsia="zh-CN"/>
              </w:rPr>
            </w:pPr>
            <w:r>
              <w:rPr>
                <w:rFonts w:hint="default"/>
                <w:color w:val="auto"/>
                <w:sz w:val="24"/>
                <w:szCs w:val="24"/>
                <w:lang w:val="en-US" w:eastAsia="zh-CN"/>
              </w:rPr>
              <w:t>图2-1</w:t>
            </w:r>
            <w:r>
              <w:rPr>
                <w:rFonts w:hint="eastAsia"/>
                <w:color w:val="auto"/>
                <w:sz w:val="24"/>
                <w:szCs w:val="24"/>
                <w:lang w:val="en-US" w:eastAsia="zh-CN"/>
              </w:rPr>
              <w:t xml:space="preserve">  </w:t>
            </w:r>
            <w:r>
              <w:rPr>
                <w:rFonts w:hint="default"/>
                <w:color w:val="auto"/>
                <w:sz w:val="24"/>
                <w:szCs w:val="24"/>
                <w:lang w:val="en-US" w:eastAsia="zh-CN"/>
              </w:rPr>
              <w:t>项目索道施工工艺流程</w:t>
            </w:r>
          </w:p>
          <w:p>
            <w:pPr>
              <w:rPr>
                <w:rFonts w:hint="default"/>
                <w:color w:val="auto"/>
                <w:lang w:val="en-US" w:eastAsia="zh-CN"/>
              </w:rPr>
            </w:pPr>
          </w:p>
          <w:p>
            <w:pPr>
              <w:bidi w:val="0"/>
              <w:ind w:left="0" w:leftChars="0" w:firstLine="0" w:firstLineChars="0"/>
              <w:jc w:val="center"/>
              <w:rPr>
                <w:rFonts w:hint="default"/>
                <w:color w:val="auto"/>
                <w:lang w:val="en-US" w:eastAsia="zh-CN"/>
              </w:rPr>
            </w:pPr>
            <w:r>
              <w:rPr>
                <w:rFonts w:hint="default"/>
                <w:color w:val="auto"/>
                <w:lang w:val="en-US" w:eastAsia="zh-CN"/>
              </w:rPr>
              <w:drawing>
                <wp:inline distT="0" distB="0" distL="0" distR="0">
                  <wp:extent cx="4987925" cy="1189990"/>
                  <wp:effectExtent l="0" t="0" r="3175" b="1016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
                          <a:stretch>
                            <a:fillRect/>
                          </a:stretch>
                        </pic:blipFill>
                        <pic:spPr>
                          <a:xfrm>
                            <a:off x="0" y="0"/>
                            <a:ext cx="4987925" cy="1189990"/>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图2-2</w:t>
            </w:r>
            <w:r>
              <w:rPr>
                <w:rFonts w:hint="eastAsia" w:ascii="Times New Roman" w:hAnsi="Times New Roman" w:cs="Times New Roman"/>
                <w:color w:val="auto"/>
                <w:sz w:val="24"/>
                <w:szCs w:val="24"/>
                <w:lang w:val="en-US" w:eastAsia="zh-CN"/>
              </w:rPr>
              <w:t xml:space="preserve">  索道</w:t>
            </w:r>
            <w:r>
              <w:rPr>
                <w:rFonts w:hint="default" w:ascii="Times New Roman" w:hAnsi="Times New Roman" w:cs="Times New Roman"/>
                <w:color w:val="auto"/>
                <w:sz w:val="24"/>
                <w:szCs w:val="24"/>
                <w:lang w:val="en-US" w:eastAsia="zh-CN"/>
              </w:rPr>
              <w:t>站房</w:t>
            </w:r>
            <w:r>
              <w:rPr>
                <w:rFonts w:hint="eastAsia" w:ascii="Times New Roman" w:hAnsi="Times New Roman" w:cs="Times New Roman"/>
                <w:color w:val="auto"/>
                <w:sz w:val="24"/>
                <w:szCs w:val="24"/>
                <w:lang w:val="en-US" w:eastAsia="zh-CN"/>
              </w:rPr>
              <w:t>及景区服务设施</w:t>
            </w:r>
            <w:r>
              <w:rPr>
                <w:rFonts w:hint="default" w:ascii="Times New Roman" w:hAnsi="Times New Roman" w:cs="Times New Roman"/>
                <w:color w:val="auto"/>
                <w:sz w:val="24"/>
                <w:szCs w:val="24"/>
                <w:lang w:val="en-US" w:eastAsia="zh-CN"/>
              </w:rPr>
              <w:t>施工工艺流程</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auto"/>
                <w:sz w:val="24"/>
                <w:szCs w:val="24"/>
                <w:highlight w:val="none"/>
                <w:lang w:val="en-US" w:eastAsia="zh-CN"/>
              </w:rPr>
            </w:pPr>
          </w:p>
          <w:p>
            <w:pPr>
              <w:pStyle w:val="4"/>
              <w:bidi w:val="0"/>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施工时序</w:t>
            </w:r>
          </w:p>
          <w:p>
            <w:pPr>
              <w:bidi w:val="0"/>
              <w:rPr>
                <w:rFonts w:hint="default"/>
                <w:color w:val="auto"/>
                <w:lang w:val="en-US" w:eastAsia="zh-CN"/>
              </w:rPr>
            </w:pPr>
            <w:r>
              <w:rPr>
                <w:rFonts w:hint="default"/>
                <w:color w:val="auto"/>
                <w:lang w:val="en-US" w:eastAsia="zh-CN"/>
              </w:rPr>
              <w:t>本项目的施工建设包括准备阶段、土方施工、主体结构、建筑装修四个阶段。准备阶段主要为施工场地清理；土方施工主要为</w:t>
            </w:r>
            <w:r>
              <w:rPr>
                <w:rFonts w:hint="eastAsia" w:ascii="Times New Roman" w:hAnsi="Times New Roman" w:cs="Times New Roman"/>
                <w:color w:val="auto"/>
                <w:sz w:val="24"/>
                <w:szCs w:val="24"/>
                <w:lang w:val="en-US" w:eastAsia="zh-CN"/>
              </w:rPr>
              <w:t>景区服务设施、索道</w:t>
            </w:r>
            <w:r>
              <w:rPr>
                <w:rFonts w:hint="default"/>
                <w:color w:val="auto"/>
                <w:lang w:val="en-US" w:eastAsia="zh-CN"/>
              </w:rPr>
              <w:t>站房、索道支架地基开挖和浇注；主体结构主要包括</w:t>
            </w:r>
            <w:r>
              <w:rPr>
                <w:rFonts w:hint="eastAsia" w:ascii="Times New Roman" w:hAnsi="Times New Roman" w:cs="Times New Roman"/>
                <w:color w:val="auto"/>
                <w:sz w:val="24"/>
                <w:szCs w:val="24"/>
                <w:lang w:val="en-US" w:eastAsia="zh-CN"/>
              </w:rPr>
              <w:t>景区服务设施、索道</w:t>
            </w:r>
            <w:r>
              <w:rPr>
                <w:rFonts w:hint="default"/>
                <w:color w:val="auto"/>
                <w:lang w:val="en-US" w:eastAsia="zh-CN"/>
              </w:rPr>
              <w:t>站房结构浇注、墙体砌筑、索道支架设备等配套设施安装等；装修主要为内外墙面处理和室内地表处理等。由于受地形等自然条件限制，工程施工主要以人工方式和半机械方式进行。根据工程主要建筑物特点，本项目建设具体采用的方法如下：</w:t>
            </w:r>
          </w:p>
          <w:p>
            <w:pPr>
              <w:bidi w:val="0"/>
              <w:rPr>
                <w:rFonts w:hint="default"/>
                <w:color w:val="auto"/>
                <w:lang w:val="en-US" w:eastAsia="zh-CN"/>
              </w:rPr>
            </w:pPr>
            <w:r>
              <w:rPr>
                <w:rFonts w:hint="default"/>
                <w:color w:val="auto"/>
                <w:lang w:val="en-US" w:eastAsia="zh-CN"/>
              </w:rPr>
              <w:t>（1）</w:t>
            </w:r>
            <w:r>
              <w:rPr>
                <w:rFonts w:hint="eastAsia" w:ascii="Times New Roman" w:hAnsi="Times New Roman" w:cs="Times New Roman"/>
                <w:color w:val="auto"/>
                <w:sz w:val="24"/>
                <w:szCs w:val="24"/>
                <w:lang w:val="en-US" w:eastAsia="zh-CN"/>
              </w:rPr>
              <w:t>景区服务设施及索道</w:t>
            </w:r>
            <w:r>
              <w:rPr>
                <w:rFonts w:hint="default"/>
                <w:color w:val="auto"/>
                <w:lang w:val="en-US" w:eastAsia="zh-CN"/>
              </w:rPr>
              <w:t>工程区</w:t>
            </w:r>
          </w:p>
          <w:p>
            <w:pPr>
              <w:bidi w:val="0"/>
              <w:rPr>
                <w:rFonts w:hint="default"/>
                <w:color w:val="auto"/>
                <w:lang w:val="en-US" w:eastAsia="zh-CN"/>
              </w:rPr>
            </w:pPr>
            <w:r>
              <w:rPr>
                <w:rFonts w:hint="eastAsia" w:ascii="Times New Roman" w:hAnsi="Times New Roman" w:cs="Times New Roman"/>
                <w:color w:val="auto"/>
                <w:sz w:val="24"/>
                <w:szCs w:val="24"/>
                <w:lang w:val="en-US" w:eastAsia="zh-CN"/>
              </w:rPr>
              <w:t>景区服务设施及索道</w:t>
            </w:r>
            <w:r>
              <w:rPr>
                <w:rFonts w:hint="default"/>
                <w:color w:val="auto"/>
                <w:lang w:val="en-US" w:eastAsia="zh-CN"/>
              </w:rPr>
              <w:t>上站、下站站址和支架所处位置的用地由人工进行平整，开挖土方和石方由人工进行，开挖出的山石用于</w:t>
            </w:r>
            <w:r>
              <w:rPr>
                <w:rFonts w:hint="eastAsia" w:ascii="Times New Roman" w:hAnsi="Times New Roman" w:cs="Times New Roman"/>
                <w:color w:val="auto"/>
                <w:sz w:val="24"/>
                <w:szCs w:val="24"/>
                <w:lang w:val="en-US" w:eastAsia="zh-CN"/>
              </w:rPr>
              <w:t>服务设施基础回填，以及索道</w:t>
            </w:r>
            <w:r>
              <w:rPr>
                <w:rFonts w:hint="default"/>
                <w:color w:val="auto"/>
                <w:lang w:val="en-US" w:eastAsia="zh-CN"/>
              </w:rPr>
              <w:t>上站和下站建筑基础用石。在施工前，先将区域内灌木和草本移植到站区绿化区域后，进行表土剥离集中堆置。将红线范围内场地用彩条布围挡起来，进行封闭施工。基础开挖及整个施工过程以人工方式和半机械方式相结合的方法。</w:t>
            </w:r>
          </w:p>
          <w:p>
            <w:pPr>
              <w:bidi w:val="0"/>
              <w:rPr>
                <w:rFonts w:hint="default"/>
                <w:color w:val="auto"/>
                <w:lang w:val="en-US" w:eastAsia="zh-CN"/>
              </w:rPr>
            </w:pPr>
            <w:r>
              <w:rPr>
                <w:rFonts w:hint="default"/>
                <w:color w:val="auto"/>
                <w:lang w:val="en-US" w:eastAsia="zh-CN"/>
              </w:rPr>
              <w:t>索道上、下站房的基础设计采用的是人工挖孔桩，挖机开挖；各个支架基础持力层为强风化岩，采用人工与风镐开挖，支架及上、中、下站之间山坡降土采用挖机开挖，入岩后换用炮斗机（挖机）开挖。</w:t>
            </w:r>
            <w:r>
              <w:rPr>
                <w:rFonts w:hint="eastAsia"/>
                <w:color w:val="auto"/>
                <w:lang w:val="en-US" w:eastAsia="zh-CN"/>
              </w:rPr>
              <w:t>（</w:t>
            </w:r>
            <w:r>
              <w:rPr>
                <w:rFonts w:hint="default"/>
                <w:color w:val="auto"/>
                <w:lang w:val="en-US" w:eastAsia="zh-CN"/>
              </w:rPr>
              <w:t>挖机折卸成几个部分，用临时货运索道运至上站，到</w:t>
            </w:r>
            <w:r>
              <w:rPr>
                <w:rFonts w:hint="eastAsia"/>
                <w:color w:val="auto"/>
                <w:lang w:val="en-US" w:eastAsia="zh-CN"/>
              </w:rPr>
              <w:t>上站</w:t>
            </w:r>
            <w:r>
              <w:rPr>
                <w:rFonts w:hint="default"/>
                <w:color w:val="auto"/>
                <w:lang w:val="en-US" w:eastAsia="zh-CN"/>
              </w:rPr>
              <w:t>及相应支架点后从新组装</w:t>
            </w:r>
            <w:r>
              <w:rPr>
                <w:rFonts w:hint="eastAsia"/>
                <w:color w:val="auto"/>
                <w:lang w:val="en-US" w:eastAsia="zh-CN"/>
              </w:rPr>
              <w:t>）</w:t>
            </w:r>
            <w:r>
              <w:rPr>
                <w:rFonts w:hint="default"/>
                <w:color w:val="auto"/>
                <w:lang w:val="en-US" w:eastAsia="zh-CN"/>
              </w:rPr>
              <w:t>。索道下站位于山脚下，采用机械施工。</w:t>
            </w:r>
          </w:p>
          <w:p>
            <w:pPr>
              <w:bidi w:val="0"/>
              <w:rPr>
                <w:rFonts w:hint="default"/>
                <w:color w:val="auto"/>
                <w:lang w:val="en-US" w:eastAsia="zh-CN"/>
              </w:rPr>
            </w:pPr>
            <w:r>
              <w:rPr>
                <w:rFonts w:hint="default"/>
                <w:color w:val="auto"/>
                <w:lang w:val="en-US" w:eastAsia="zh-CN"/>
              </w:rPr>
              <w:t>本项目根据工程施工区的地貌类型、建设时序、新增水土流失的特点等，工程在坡度较陡的地方采用浆砌石护坡，在边坡松散土体的底部修建浆砌石挡土墙。沿施工场地周边设置排水沟，排水沟末端设置沉砂池。</w:t>
            </w:r>
          </w:p>
          <w:p>
            <w:pPr>
              <w:bidi w:val="0"/>
              <w:rPr>
                <w:rFonts w:hint="default"/>
                <w:color w:val="auto"/>
                <w:lang w:val="en-US" w:eastAsia="zh-CN"/>
              </w:rPr>
            </w:pPr>
            <w:r>
              <w:rPr>
                <w:rFonts w:hint="default"/>
                <w:color w:val="auto"/>
                <w:lang w:val="en-US" w:eastAsia="zh-CN"/>
              </w:rPr>
              <w:t>索道塔基基坑开挖因受场地地形条件限制采用人工开挖方式，清除的表土和基础开挖土在基坑周边红线范围内地势低洼处集中堆放。基坑开挖深度视地表覆盖层厚度而定，若覆盖层不深，开挖表层土后基础采用锚杆形式与基岩固定，若覆盖层在4m以上，则采用普通砼基础。支架处所用砼和钢筋由站点经吊索供应。利用施工便道，在支架基础开挖区域搭建施工平台，将开挖土石方袋装，码放在平台四周，待施工结束后回填。</w:t>
            </w:r>
          </w:p>
          <w:p>
            <w:pPr>
              <w:bidi w:val="0"/>
              <w:rPr>
                <w:rFonts w:hint="default"/>
                <w:color w:val="auto"/>
                <w:lang w:val="en-US" w:eastAsia="zh-CN"/>
              </w:rPr>
            </w:pPr>
            <w:r>
              <w:rPr>
                <w:rFonts w:hint="default"/>
                <w:color w:val="auto"/>
                <w:lang w:val="en-US" w:eastAsia="zh-CN"/>
              </w:rPr>
              <w:t>本项目索道线路共有</w:t>
            </w:r>
            <w:r>
              <w:rPr>
                <w:rFonts w:hint="eastAsia"/>
                <w:color w:val="auto"/>
                <w:lang w:val="en-US" w:eastAsia="zh-CN"/>
              </w:rPr>
              <w:t>7座</w:t>
            </w:r>
            <w:r>
              <w:rPr>
                <w:rFonts w:hint="default"/>
                <w:color w:val="auto"/>
                <w:lang w:val="en-US" w:eastAsia="zh-CN"/>
              </w:rPr>
              <w:t>钢结构支架，支架高度为6.39~20.86m。支架为圆柱形或塔形结构，支架基础为现浇钢筋混凝土基础。由于支架为钢结构构件，无法整体运输，需先在制造厂预装确认无误后，再拆卸成单体构件运至支架点安装架设。支架安装一般采用手拉葫芦配合拔杆吊。构件运输一般采用施工便道进行运输。</w:t>
            </w:r>
          </w:p>
          <w:p>
            <w:pPr>
              <w:bidi w:val="0"/>
              <w:rPr>
                <w:rFonts w:hint="default"/>
                <w:color w:val="auto"/>
                <w:lang w:val="en-US" w:eastAsia="zh-CN"/>
              </w:rPr>
            </w:pPr>
            <w:r>
              <w:rPr>
                <w:rFonts w:hint="default"/>
                <w:color w:val="auto"/>
                <w:lang w:val="en-US" w:eastAsia="zh-CN"/>
              </w:rPr>
              <w:t>（2）</w:t>
            </w:r>
            <w:r>
              <w:rPr>
                <w:rFonts w:hint="eastAsia"/>
                <w:color w:val="auto"/>
                <w:lang w:val="en-US" w:eastAsia="zh-CN"/>
              </w:rPr>
              <w:t>索道工程</w:t>
            </w:r>
            <w:r>
              <w:rPr>
                <w:rFonts w:hint="default"/>
                <w:color w:val="auto"/>
                <w:lang w:val="en-US" w:eastAsia="zh-CN"/>
              </w:rPr>
              <w:t>临时施工场地</w:t>
            </w:r>
          </w:p>
          <w:p>
            <w:pPr>
              <w:bidi w:val="0"/>
              <w:rPr>
                <w:rFonts w:hint="default"/>
                <w:color w:val="auto"/>
                <w:lang w:val="en-US" w:eastAsia="zh-CN"/>
              </w:rPr>
            </w:pPr>
            <w:r>
              <w:rPr>
                <w:rFonts w:hint="default"/>
                <w:color w:val="auto"/>
                <w:lang w:val="en-US" w:eastAsia="zh-CN"/>
              </w:rPr>
              <w:t>本项目在上站东北角、下站</w:t>
            </w:r>
            <w:r>
              <w:rPr>
                <w:rFonts w:hint="eastAsia"/>
                <w:color w:val="auto"/>
                <w:lang w:val="en-US" w:eastAsia="zh-CN"/>
              </w:rPr>
              <w:t>西南</w:t>
            </w:r>
            <w:r>
              <w:rPr>
                <w:rFonts w:hint="default"/>
                <w:color w:val="auto"/>
                <w:lang w:val="en-US" w:eastAsia="zh-CN"/>
              </w:rPr>
              <w:t>角红线内绿化区域各设一个临时堆土场，不占用额外红线用地；同时支架线路建设中在支架点桩基四周设置堆土点，待施工结束后回填，并恢复植被具体措施如下：</w:t>
            </w:r>
          </w:p>
          <w:p>
            <w:pPr>
              <w:bidi w:val="0"/>
              <w:rPr>
                <w:rFonts w:hint="default"/>
                <w:color w:val="auto"/>
                <w:lang w:val="en-US" w:eastAsia="zh-CN"/>
              </w:rPr>
            </w:pPr>
            <w:r>
              <w:rPr>
                <w:rFonts w:hint="default"/>
                <w:color w:val="auto"/>
                <w:lang w:val="en-US" w:eastAsia="zh-CN"/>
              </w:rPr>
              <w:t>首先将施工区域内的植被清除，进行表土剥离、场地平整，剥离表土集中堆放。后续搭建施工平台，开展施工作业，施工结束后对场地及时进行迹地恢复，植被复绿，植被恢复应选用当地本土物种，避免外来物种侵入。</w:t>
            </w:r>
          </w:p>
          <w:p>
            <w:pPr>
              <w:bidi w:val="0"/>
              <w:rPr>
                <w:rFonts w:hint="default"/>
                <w:color w:val="auto"/>
                <w:lang w:val="en-US" w:eastAsia="zh-CN"/>
              </w:rPr>
            </w:pPr>
            <w:r>
              <w:rPr>
                <w:rFonts w:hint="default"/>
                <w:color w:val="auto"/>
                <w:lang w:val="en-US" w:eastAsia="zh-CN"/>
              </w:rPr>
              <w:t>根据设计方案，项目施工建设需要大量的工程材料，包括钢筋、水泥、砖等，本项目利用站房空地作为临时堆场，不再新设临时堆场。施工场地及堆场四周设置输水沟系，防止雨水浸湿以及水流引起物料流失，运输车辆应入库装卸。临时堆放场采取覆盖、洒水等防扬散、防流失措施。施工场地四周建设排水明沟，沟口设沉淀池，使施工废水经沉淀后用于洒水降尘。施工过程中产生的泥浆水或含有砂石的工程废水，未经沉淀一律不准排放，沉淀下来的泥浆和固体废物，应与建筑渣土一起处理，施工废水沉淀处理后用于场地降尘用水。同时应尽量减少物料流失、散落和溢流现象。</w:t>
            </w:r>
          </w:p>
          <w:p>
            <w:pPr>
              <w:bidi w:val="0"/>
              <w:rPr>
                <w:rFonts w:hint="default"/>
                <w:color w:val="auto"/>
                <w:lang w:val="en-US" w:eastAsia="zh-CN"/>
              </w:rPr>
            </w:pPr>
            <w:r>
              <w:rPr>
                <w:rFonts w:hint="eastAsia"/>
                <w:color w:val="auto"/>
                <w:lang w:val="en-US" w:eastAsia="zh-CN"/>
              </w:rPr>
              <w:t>（3）旅游服务设施临时施工场地</w:t>
            </w:r>
          </w:p>
          <w:p>
            <w:pPr>
              <w:bidi w:val="0"/>
              <w:rPr>
                <w:rFonts w:hint="default"/>
                <w:color w:val="auto"/>
                <w:lang w:val="en-US" w:eastAsia="zh-CN"/>
              </w:rPr>
            </w:pPr>
            <w:r>
              <w:rPr>
                <w:rFonts w:hint="eastAsia"/>
                <w:color w:val="auto"/>
                <w:lang w:val="en-US" w:eastAsia="zh-CN"/>
              </w:rPr>
              <w:t>本项目在各地块用地红线范围内规划旅游服务</w:t>
            </w:r>
            <w:r>
              <w:rPr>
                <w:rFonts w:hint="eastAsia" w:ascii="Times New Roman" w:hAnsi="Times New Roman" w:eastAsia="宋体" w:cs="Times New Roman"/>
                <w:color w:val="auto"/>
                <w:lang w:val="en-US" w:eastAsia="zh-CN"/>
              </w:rPr>
              <w:t>设施临时施工场地，</w:t>
            </w:r>
            <w:r>
              <w:rPr>
                <w:rFonts w:hint="default" w:ascii="Times New Roman" w:hAnsi="Times New Roman" w:eastAsia="宋体" w:cs="Times New Roman"/>
                <w:color w:val="auto"/>
                <w:lang w:val="en-US" w:eastAsia="zh-CN"/>
              </w:rPr>
              <w:t>主要由钢筋加工棚、木材加工棚、办公室组成</w:t>
            </w:r>
            <w:r>
              <w:rPr>
                <w:rFonts w:hint="eastAsia" w:ascii="Times New Roman" w:hAnsi="Times New Roman" w:eastAsia="宋体" w:cs="Times New Roman"/>
                <w:color w:val="auto"/>
                <w:lang w:val="en-US" w:eastAsia="zh-CN"/>
              </w:rPr>
              <w:t>。施工前先对施工区域内表土进行剥离，再</w:t>
            </w:r>
            <w:r>
              <w:rPr>
                <w:rFonts w:hint="default"/>
                <w:color w:val="auto"/>
                <w:lang w:val="en-US" w:eastAsia="zh-CN"/>
              </w:rPr>
              <w:t>开展施工作业，施工结束后对</w:t>
            </w:r>
            <w:r>
              <w:rPr>
                <w:rFonts w:hint="eastAsia"/>
                <w:color w:val="auto"/>
                <w:lang w:val="en-US" w:eastAsia="zh-CN"/>
              </w:rPr>
              <w:t>临时施工</w:t>
            </w:r>
            <w:r>
              <w:rPr>
                <w:rFonts w:hint="default"/>
                <w:color w:val="auto"/>
                <w:lang w:val="en-US" w:eastAsia="zh-CN"/>
              </w:rPr>
              <w:t>场地及时进行</w:t>
            </w:r>
            <w:r>
              <w:rPr>
                <w:rFonts w:hint="eastAsia"/>
                <w:color w:val="auto"/>
                <w:lang w:val="en-US" w:eastAsia="zh-CN"/>
              </w:rPr>
              <w:t>表土回覆和</w:t>
            </w:r>
            <w:r>
              <w:rPr>
                <w:rFonts w:hint="default"/>
                <w:color w:val="auto"/>
                <w:lang w:val="en-US" w:eastAsia="zh-CN"/>
              </w:rPr>
              <w:t>迹地恢复</w:t>
            </w:r>
            <w:r>
              <w:rPr>
                <w:rFonts w:hint="eastAsia"/>
                <w:color w:val="auto"/>
                <w:lang w:val="en-US" w:eastAsia="zh-CN"/>
              </w:rPr>
              <w:t>。</w:t>
            </w:r>
          </w:p>
          <w:p>
            <w:pPr>
              <w:bidi w:val="0"/>
              <w:rPr>
                <w:rFonts w:hint="default"/>
                <w:color w:val="auto"/>
                <w:lang w:val="en-US" w:eastAsia="zh-CN"/>
              </w:rPr>
            </w:pPr>
            <w:r>
              <w:rPr>
                <w:rFonts w:hint="default"/>
                <w:color w:val="auto"/>
                <w:lang w:val="en-US" w:eastAsia="zh-CN"/>
              </w:rPr>
              <w:t>本项目施工人员就近居住在</w:t>
            </w:r>
            <w:r>
              <w:rPr>
                <w:rFonts w:hint="eastAsia"/>
                <w:color w:val="auto"/>
                <w:lang w:val="en-US" w:eastAsia="zh-CN"/>
              </w:rPr>
              <w:t>果赛</w:t>
            </w:r>
            <w:r>
              <w:rPr>
                <w:rFonts w:hint="default"/>
                <w:color w:val="auto"/>
                <w:lang w:val="en-US" w:eastAsia="zh-CN"/>
              </w:rPr>
              <w:t>景区</w:t>
            </w:r>
            <w:r>
              <w:rPr>
                <w:rFonts w:hint="eastAsia"/>
                <w:color w:val="auto"/>
                <w:lang w:val="en-US" w:eastAsia="zh-CN"/>
              </w:rPr>
              <w:t>松树沟现有</w:t>
            </w:r>
            <w:r>
              <w:rPr>
                <w:rFonts w:hint="default"/>
                <w:color w:val="auto"/>
                <w:lang w:val="en-US" w:eastAsia="zh-CN"/>
              </w:rPr>
              <w:t>游客服务中心，施工人员产生的生活污水依托景区污水处理设施处理。施工人员炊事以液化气和电为能源，生活垃圾收集后交由当地环卫部门处理处置。</w:t>
            </w:r>
          </w:p>
          <w:p>
            <w:pPr>
              <w:bidi w:val="0"/>
              <w:rPr>
                <w:rFonts w:hint="default" w:ascii="Times New Roman" w:hAnsi="Times New Roman" w:eastAsia="宋体" w:cs="Times New Roman"/>
                <w:color w:val="auto"/>
                <w:lang w:val="en-US" w:eastAsia="zh-CN"/>
              </w:rPr>
            </w:pPr>
            <w:r>
              <w:rPr>
                <w:rFonts w:hint="default"/>
                <w:color w:val="auto"/>
                <w:lang w:val="en-US" w:eastAsia="zh-CN"/>
              </w:rPr>
              <w:t>施工道路：项目不新建施工道路，施工材料运输</w:t>
            </w:r>
            <w:r>
              <w:rPr>
                <w:rFonts w:hint="eastAsia"/>
                <w:color w:val="auto"/>
                <w:lang w:val="en-US" w:eastAsia="zh-CN"/>
              </w:rPr>
              <w:t>依托老312国道以及现有</w:t>
            </w:r>
            <w:r>
              <w:rPr>
                <w:rFonts w:hint="default"/>
                <w:color w:val="auto"/>
                <w:lang w:val="en-US" w:eastAsia="zh-CN"/>
              </w:rPr>
              <w:t>牧道</w:t>
            </w:r>
            <w:r>
              <w:rPr>
                <w:rFonts w:hint="eastAsia"/>
                <w:color w:val="auto"/>
                <w:lang w:val="en-US" w:eastAsia="zh-CN"/>
              </w:rPr>
              <w:t>，可满足</w:t>
            </w:r>
            <w:r>
              <w:rPr>
                <w:rFonts w:hint="default"/>
                <w:color w:val="auto"/>
                <w:lang w:val="en-US" w:eastAsia="zh-CN"/>
              </w:rPr>
              <w:t>施工运输</w:t>
            </w:r>
            <w:r>
              <w:rPr>
                <w:rFonts w:hint="eastAsia"/>
                <w:color w:val="auto"/>
                <w:lang w:val="en-US" w:eastAsia="zh-CN"/>
              </w:rPr>
              <w:t>要求</w:t>
            </w:r>
            <w:r>
              <w:rPr>
                <w:rFonts w:hint="default"/>
                <w:color w:val="auto"/>
                <w:lang w:val="en-US" w:eastAsia="zh-CN"/>
              </w:rPr>
              <w:t>。</w:t>
            </w:r>
          </w:p>
          <w:p>
            <w:pPr>
              <w:bidi w:val="0"/>
              <w:ind w:left="0" w:leftChars="0" w:firstLine="0" w:firstLineChars="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3</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建设周期</w:t>
            </w:r>
          </w:p>
          <w:p>
            <w:pPr>
              <w:bidi w:val="0"/>
              <w:rPr>
                <w:rFonts w:hint="default"/>
                <w:color w:val="auto"/>
                <w:lang w:val="en-US" w:eastAsia="zh-CN"/>
              </w:rPr>
            </w:pPr>
            <w:r>
              <w:rPr>
                <w:rFonts w:hint="default" w:ascii="Times New Roman" w:hAnsi="Times New Roman" w:eastAsia="宋体" w:cs="Times New Roman"/>
                <w:color w:val="auto"/>
                <w:lang w:val="en-US" w:eastAsia="zh-CN"/>
              </w:rPr>
              <w:t>本项目施工期为1</w:t>
            </w:r>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lang w:val="en-US" w:eastAsia="zh-CN"/>
              </w:rPr>
              <w:t>个月，预计202</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年</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月开工建设，202</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年</w:t>
            </w: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lang w:val="en-US" w:eastAsia="zh-CN"/>
              </w:rPr>
              <w:t>月建成</w:t>
            </w:r>
            <w:r>
              <w:rPr>
                <w:rFonts w:hint="eastAsia" w:ascii="Times New Roman" w:hAnsi="Times New Roman" w:eastAsia="宋体" w:cs="Times New Roman"/>
                <w:color w:val="auto"/>
                <w:lang w:val="en-US" w:eastAsia="zh-CN"/>
              </w:rPr>
              <w:t>投运。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902" w:hRule="atLeast"/>
          <w:jc w:val="center"/>
        </w:trPr>
        <w:tc>
          <w:tcPr>
            <w:tcW w:w="264" w:type="pct"/>
            <w:noWrap w:val="0"/>
            <w:vAlign w:val="center"/>
          </w:tcPr>
          <w:p>
            <w:pPr>
              <w:pStyle w:val="17"/>
              <w:bidi w:val="0"/>
              <w:rPr>
                <w:rFonts w:hint="default"/>
                <w:color w:val="auto"/>
                <w:sz w:val="24"/>
                <w:szCs w:val="24"/>
              </w:rPr>
            </w:pPr>
            <w:r>
              <w:rPr>
                <w:rFonts w:hint="default"/>
                <w:color w:val="auto"/>
                <w:sz w:val="24"/>
                <w:szCs w:val="24"/>
              </w:rPr>
              <w:t>其他</w:t>
            </w:r>
          </w:p>
        </w:tc>
        <w:tc>
          <w:tcPr>
            <w:tcW w:w="4735" w:type="pct"/>
            <w:noWrap w:val="0"/>
            <w:vAlign w:val="center"/>
          </w:tcPr>
          <w:p>
            <w:pPr>
              <w:bidi w:val="0"/>
              <w:ind w:left="0" w:leftChars="0" w:right="0" w:rightChars="0" w:firstLine="0" w:firstLineChars="0"/>
              <w:jc w:val="center"/>
              <w:rPr>
                <w:rFonts w:hint="default"/>
                <w:color w:val="auto"/>
                <w:lang w:val="en-US" w:eastAsia="zh-CN"/>
              </w:rPr>
            </w:pPr>
            <w:r>
              <w:rPr>
                <w:rFonts w:hint="eastAsia"/>
                <w:color w:val="auto"/>
                <w:lang w:val="en-US" w:eastAsia="zh-CN"/>
              </w:rPr>
              <w:t>无</w:t>
            </w:r>
          </w:p>
        </w:tc>
      </w:tr>
    </w:tbl>
    <w:p>
      <w:pPr>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br w:type="page"/>
      </w:r>
      <w:bookmarkStart w:id="5" w:name="_Toc3752"/>
      <w:r>
        <w:rPr>
          <w:rFonts w:hint="default" w:ascii="Times New Roman" w:hAnsi="Times New Roman" w:eastAsia="黑体" w:cs="Times New Roman"/>
          <w:snapToGrid w:val="0"/>
          <w:color w:val="auto"/>
          <w:sz w:val="30"/>
          <w:szCs w:val="30"/>
        </w:rPr>
        <w:t>三、生态环境现状、保护目标及评价标准</w:t>
      </w:r>
      <w:bookmarkEnd w:id="5"/>
    </w:p>
    <w:tbl>
      <w:tblPr>
        <w:tblStyle w:val="1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0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pStyle w:val="17"/>
              <w:bidi w:val="0"/>
              <w:rPr>
                <w:rFonts w:hint="eastAsia" w:eastAsia="宋体"/>
                <w:color w:val="auto"/>
                <w:sz w:val="24"/>
                <w:szCs w:val="24"/>
                <w:lang w:val="en-US" w:eastAsia="zh-CN"/>
              </w:rPr>
            </w:pPr>
            <w:r>
              <w:rPr>
                <w:rFonts w:hint="eastAsia"/>
                <w:color w:val="auto"/>
                <w:sz w:val="24"/>
                <w:szCs w:val="24"/>
                <w:lang w:val="en-US" w:eastAsia="zh-CN"/>
              </w:rPr>
              <w:t>生态环境现状</w:t>
            </w:r>
          </w:p>
        </w:tc>
        <w:tc>
          <w:tcPr>
            <w:tcW w:w="4733" w:type="pct"/>
            <w:noWrap w:val="0"/>
            <w:vAlign w:val="top"/>
          </w:tcPr>
          <w:p>
            <w:pPr>
              <w:bidi w:val="0"/>
              <w:ind w:left="0" w:lef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1</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环境空气质量现状调查与评价</w:t>
            </w:r>
          </w:p>
          <w:p>
            <w:pPr>
              <w:bidi w:val="0"/>
              <w:rPr>
                <w:rFonts w:hint="default"/>
                <w:color w:val="auto"/>
              </w:rPr>
            </w:pPr>
            <w:r>
              <w:rPr>
                <w:rFonts w:hint="default"/>
                <w:color w:val="auto"/>
              </w:rPr>
              <w:t>（1）基本污染物数据来源</w:t>
            </w:r>
          </w:p>
          <w:p>
            <w:pPr>
              <w:bidi w:val="0"/>
              <w:rPr>
                <w:rFonts w:hint="default" w:eastAsia="宋体"/>
                <w:color w:val="auto"/>
                <w:lang w:val="en-US" w:eastAsia="zh-CN"/>
              </w:rPr>
            </w:pPr>
            <w:r>
              <w:rPr>
                <w:rFonts w:hint="default"/>
                <w:color w:val="auto"/>
              </w:rPr>
              <w:t>本次评价基本污染物</w:t>
            </w:r>
            <w:r>
              <w:rPr>
                <w:rFonts w:hint="eastAsia"/>
                <w:color w:val="auto"/>
                <w:lang w:eastAsia="zh-CN"/>
              </w:rPr>
              <w:t>SO</w:t>
            </w:r>
            <w:r>
              <w:rPr>
                <w:rFonts w:hint="eastAsia"/>
                <w:color w:val="auto"/>
                <w:vertAlign w:val="subscript"/>
                <w:lang w:eastAsia="zh-CN"/>
              </w:rPr>
              <w:t>2</w:t>
            </w:r>
            <w:r>
              <w:rPr>
                <w:rFonts w:hint="default"/>
                <w:color w:val="auto"/>
              </w:rPr>
              <w:t>、</w:t>
            </w:r>
            <w:r>
              <w:rPr>
                <w:rFonts w:hint="eastAsia"/>
                <w:color w:val="auto"/>
                <w:lang w:eastAsia="zh-CN"/>
              </w:rPr>
              <w:t>NO</w:t>
            </w:r>
            <w:r>
              <w:rPr>
                <w:rFonts w:hint="eastAsia"/>
                <w:color w:val="auto"/>
                <w:vertAlign w:val="subscript"/>
                <w:lang w:eastAsia="zh-CN"/>
              </w:rPr>
              <w:t>2</w:t>
            </w:r>
            <w:r>
              <w:rPr>
                <w:rFonts w:hint="default"/>
                <w:color w:val="auto"/>
              </w:rPr>
              <w:t>、</w:t>
            </w:r>
            <w:r>
              <w:rPr>
                <w:rFonts w:hint="eastAsia"/>
                <w:color w:val="auto"/>
                <w:lang w:eastAsia="zh-CN"/>
              </w:rPr>
              <w:t>PM</w:t>
            </w:r>
            <w:r>
              <w:rPr>
                <w:rFonts w:hint="eastAsia"/>
                <w:color w:val="auto"/>
                <w:vertAlign w:val="subscript"/>
                <w:lang w:eastAsia="zh-CN"/>
              </w:rPr>
              <w:t>10</w:t>
            </w:r>
            <w:r>
              <w:rPr>
                <w:rFonts w:hint="default"/>
                <w:color w:val="auto"/>
              </w:rPr>
              <w:t>、</w:t>
            </w:r>
            <w:r>
              <w:rPr>
                <w:rFonts w:hint="eastAsia"/>
                <w:color w:val="auto"/>
                <w:lang w:eastAsia="zh-CN"/>
              </w:rPr>
              <w:t>PM</w:t>
            </w:r>
            <w:r>
              <w:rPr>
                <w:rFonts w:hint="eastAsia"/>
                <w:color w:val="auto"/>
                <w:vertAlign w:val="subscript"/>
                <w:lang w:eastAsia="zh-CN"/>
              </w:rPr>
              <w:t>2.5</w:t>
            </w:r>
            <w:r>
              <w:rPr>
                <w:rFonts w:hint="default"/>
                <w:color w:val="auto"/>
              </w:rPr>
              <w:t>、CO和</w:t>
            </w:r>
            <w:r>
              <w:rPr>
                <w:rFonts w:hint="eastAsia"/>
                <w:color w:val="auto"/>
                <w:lang w:eastAsia="zh-CN"/>
              </w:rPr>
              <w:t>O</w:t>
            </w:r>
            <w:r>
              <w:rPr>
                <w:rFonts w:hint="eastAsia"/>
                <w:color w:val="auto"/>
                <w:vertAlign w:val="subscript"/>
                <w:lang w:eastAsia="zh-CN"/>
              </w:rPr>
              <w:t>3</w:t>
            </w:r>
            <w:r>
              <w:rPr>
                <w:rFonts w:hint="default"/>
                <w:color w:val="auto"/>
              </w:rPr>
              <w:t>的数据引用</w:t>
            </w:r>
            <w:r>
              <w:rPr>
                <w:rFonts w:hint="eastAsia"/>
                <w:color w:val="auto"/>
                <w:lang w:val="en-US" w:eastAsia="zh-CN"/>
              </w:rPr>
              <w:t>霍城县生态环境局站点</w:t>
            </w:r>
            <w:r>
              <w:rPr>
                <w:rFonts w:hint="default"/>
                <w:color w:val="auto"/>
              </w:rPr>
              <w:t>202</w:t>
            </w:r>
            <w:r>
              <w:rPr>
                <w:rFonts w:hint="eastAsia"/>
                <w:color w:val="auto"/>
                <w:lang w:val="en-US" w:eastAsia="zh-CN"/>
              </w:rPr>
              <w:t>2</w:t>
            </w:r>
            <w:r>
              <w:rPr>
                <w:rFonts w:hint="default"/>
                <w:color w:val="auto"/>
              </w:rPr>
              <w:t>年基准年连续1年的监测分析数据。站点坐标</w:t>
            </w:r>
            <w:r>
              <w:rPr>
                <w:rFonts w:hint="default" w:ascii="Times New Roman" w:hAnsi="Times New Roman" w:cs="Times New Roman"/>
                <w:color w:val="auto"/>
              </w:rPr>
              <w:t>E8</w:t>
            </w:r>
            <w:r>
              <w:rPr>
                <w:rFonts w:hint="default" w:ascii="Times New Roman" w:hAnsi="Times New Roman" w:cs="Times New Roman"/>
                <w:color w:val="auto"/>
                <w:lang w:val="en-US" w:eastAsia="zh-CN"/>
              </w:rPr>
              <w:t>0</w:t>
            </w:r>
            <w:r>
              <w:rPr>
                <w:rFonts w:hint="eastAsia" w:ascii="Times New Roman" w:hAnsi="Times New Roman" w:cs="Times New Roman"/>
                <w:color w:val="auto"/>
                <w:lang w:val="en-US" w:eastAsia="zh-CN"/>
              </w:rPr>
              <w:t>.8458</w:t>
            </w:r>
            <w:r>
              <w:rPr>
                <w:rFonts w:hint="default"/>
                <w:color w:val="auto"/>
              </w:rPr>
              <w:t>，N</w:t>
            </w:r>
            <w:r>
              <w:rPr>
                <w:rFonts w:hint="eastAsia"/>
                <w:color w:val="auto"/>
                <w:lang w:val="en-US" w:eastAsia="zh-CN"/>
              </w:rPr>
              <w:t>44</w:t>
            </w:r>
            <w:r>
              <w:rPr>
                <w:rFonts w:hint="eastAsia" w:cs="Times New Roman"/>
                <w:color w:val="auto"/>
                <w:lang w:val="en-US" w:eastAsia="zh-CN"/>
              </w:rPr>
              <w:t>.0489</w:t>
            </w:r>
            <w:r>
              <w:rPr>
                <w:rFonts w:hint="default"/>
                <w:color w:val="auto"/>
              </w:rPr>
              <w:t>，</w:t>
            </w:r>
            <w:r>
              <w:rPr>
                <w:rFonts w:hint="eastAsia"/>
                <w:color w:val="auto"/>
                <w:lang w:val="en-US" w:eastAsia="zh-CN"/>
              </w:rPr>
              <w:t>区站</w:t>
            </w:r>
            <w:r>
              <w:rPr>
                <w:rFonts w:hint="default"/>
                <w:color w:val="auto"/>
              </w:rPr>
              <w:t>号：51329。</w:t>
            </w:r>
            <w:r>
              <w:rPr>
                <w:rFonts w:hint="eastAsia"/>
                <w:color w:val="auto"/>
                <w:lang w:val="en-US" w:eastAsia="zh-CN"/>
              </w:rPr>
              <w:t>该站点位于本项目西南侧51km处。</w:t>
            </w:r>
          </w:p>
          <w:p>
            <w:pPr>
              <w:bidi w:val="0"/>
              <w:rPr>
                <w:rFonts w:hint="default"/>
                <w:color w:val="auto"/>
              </w:rPr>
            </w:pPr>
            <w:r>
              <w:rPr>
                <w:rFonts w:hint="default"/>
                <w:color w:val="auto"/>
              </w:rPr>
              <w:t>（2）评价标准</w:t>
            </w:r>
          </w:p>
          <w:p>
            <w:pPr>
              <w:bidi w:val="0"/>
              <w:rPr>
                <w:rFonts w:hint="default"/>
                <w:color w:val="auto"/>
              </w:rPr>
            </w:pPr>
            <w:r>
              <w:rPr>
                <w:rFonts w:hint="default"/>
                <w:color w:val="auto"/>
              </w:rPr>
              <w:t>基本污染物</w:t>
            </w:r>
            <w:r>
              <w:rPr>
                <w:rFonts w:hint="eastAsia"/>
                <w:color w:val="auto"/>
                <w:lang w:eastAsia="zh-CN"/>
              </w:rPr>
              <w:t>SO</w:t>
            </w:r>
            <w:r>
              <w:rPr>
                <w:rFonts w:hint="eastAsia"/>
                <w:color w:val="auto"/>
                <w:vertAlign w:val="subscript"/>
                <w:lang w:eastAsia="zh-CN"/>
              </w:rPr>
              <w:t>2</w:t>
            </w:r>
            <w:r>
              <w:rPr>
                <w:rFonts w:hint="default"/>
                <w:color w:val="auto"/>
              </w:rPr>
              <w:t>、</w:t>
            </w:r>
            <w:r>
              <w:rPr>
                <w:rFonts w:hint="eastAsia"/>
                <w:color w:val="auto"/>
                <w:lang w:eastAsia="zh-CN"/>
              </w:rPr>
              <w:t>NO</w:t>
            </w:r>
            <w:r>
              <w:rPr>
                <w:rFonts w:hint="eastAsia"/>
                <w:color w:val="auto"/>
                <w:vertAlign w:val="subscript"/>
                <w:lang w:eastAsia="zh-CN"/>
              </w:rPr>
              <w:t>2</w:t>
            </w:r>
            <w:r>
              <w:rPr>
                <w:rFonts w:hint="default"/>
                <w:color w:val="auto"/>
              </w:rPr>
              <w:t>、</w:t>
            </w:r>
            <w:r>
              <w:rPr>
                <w:rFonts w:hint="eastAsia"/>
                <w:color w:val="auto"/>
                <w:lang w:eastAsia="zh-CN"/>
              </w:rPr>
              <w:t>PM</w:t>
            </w:r>
            <w:r>
              <w:rPr>
                <w:rFonts w:hint="eastAsia"/>
                <w:color w:val="auto"/>
                <w:vertAlign w:val="subscript"/>
                <w:lang w:eastAsia="zh-CN"/>
              </w:rPr>
              <w:t>10</w:t>
            </w:r>
            <w:r>
              <w:rPr>
                <w:rFonts w:hint="default"/>
                <w:color w:val="auto"/>
              </w:rPr>
              <w:t>、</w:t>
            </w:r>
            <w:r>
              <w:rPr>
                <w:rFonts w:hint="eastAsia"/>
                <w:color w:val="auto"/>
                <w:lang w:eastAsia="zh-CN"/>
              </w:rPr>
              <w:t>PM</w:t>
            </w:r>
            <w:r>
              <w:rPr>
                <w:rFonts w:hint="eastAsia"/>
                <w:color w:val="auto"/>
                <w:vertAlign w:val="subscript"/>
                <w:lang w:eastAsia="zh-CN"/>
              </w:rPr>
              <w:t>2.5</w:t>
            </w:r>
            <w:r>
              <w:rPr>
                <w:rFonts w:hint="default"/>
                <w:color w:val="auto"/>
              </w:rPr>
              <w:t>、CO和</w:t>
            </w:r>
            <w:r>
              <w:rPr>
                <w:rFonts w:hint="eastAsia"/>
                <w:color w:val="auto"/>
                <w:lang w:eastAsia="zh-CN"/>
              </w:rPr>
              <w:t>O</w:t>
            </w:r>
            <w:r>
              <w:rPr>
                <w:rFonts w:hint="eastAsia"/>
                <w:color w:val="auto"/>
                <w:vertAlign w:val="subscript"/>
                <w:lang w:eastAsia="zh-CN"/>
              </w:rPr>
              <w:t>3</w:t>
            </w:r>
            <w:r>
              <w:rPr>
                <w:rFonts w:hint="default"/>
                <w:color w:val="auto"/>
              </w:rPr>
              <w:t>执行《环境空气质量标准》（GB3095-2012）及其修改单</w:t>
            </w:r>
            <w:r>
              <w:rPr>
                <w:rFonts w:hint="eastAsia"/>
                <w:color w:val="auto"/>
                <w:lang w:eastAsia="zh-CN"/>
              </w:rPr>
              <w:t>“</w:t>
            </w:r>
            <w:r>
              <w:rPr>
                <w:rFonts w:hint="default"/>
                <w:color w:val="auto"/>
              </w:rPr>
              <w:t>生态环境部2018年第29号</w:t>
            </w:r>
            <w:r>
              <w:rPr>
                <w:rFonts w:hint="eastAsia"/>
                <w:color w:val="auto"/>
                <w:lang w:eastAsia="zh-CN"/>
              </w:rPr>
              <w:t>”</w:t>
            </w:r>
            <w:r>
              <w:rPr>
                <w:rFonts w:hint="default"/>
                <w:color w:val="auto"/>
              </w:rPr>
              <w:t>中的二级标准。大气环境质量评价标准值见表</w:t>
            </w:r>
            <w:r>
              <w:rPr>
                <w:rFonts w:hint="eastAsia"/>
                <w:color w:val="auto"/>
                <w:lang w:val="en-US" w:eastAsia="zh-CN"/>
              </w:rPr>
              <w:t>1</w:t>
            </w:r>
            <w:r>
              <w:rPr>
                <w:rFonts w:hint="default"/>
                <w:color w:val="auto"/>
              </w:rPr>
              <w:t>-</w:t>
            </w:r>
            <w:r>
              <w:rPr>
                <w:rFonts w:hint="eastAsia"/>
                <w:color w:val="auto"/>
                <w:lang w:val="en-US" w:eastAsia="zh-CN"/>
              </w:rPr>
              <w:t>1</w:t>
            </w:r>
            <w:r>
              <w:rPr>
                <w:rFonts w:hint="default"/>
                <w:color w:val="auto"/>
              </w:rPr>
              <w:t>。</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w:t>
            </w:r>
            <w:r>
              <w:rPr>
                <w:rFonts w:hint="eastAsia" w:cs="Times New Roman"/>
                <w:color w:val="auto"/>
                <w:sz w:val="24"/>
                <w:szCs w:val="24"/>
                <w:lang w:val="en-US" w:eastAsia="zh-CN"/>
              </w:rPr>
              <w:t>1</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 xml:space="preserve">1  </w:t>
            </w:r>
            <w:r>
              <w:rPr>
                <w:rFonts w:hint="default" w:ascii="Times New Roman" w:hAnsi="Times New Roman" w:cs="Times New Roman"/>
                <w:color w:val="auto"/>
                <w:sz w:val="24"/>
                <w:szCs w:val="24"/>
              </w:rPr>
              <w:t>大气环境质量评价标准值</w:t>
            </w:r>
          </w:p>
          <w:tbl>
            <w:tblPr>
              <w:tblStyle w:val="19"/>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05"/>
              <w:gridCol w:w="1015"/>
              <w:gridCol w:w="1861"/>
              <w:gridCol w:w="2051"/>
              <w:gridCol w:w="232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85" w:type="pct"/>
                  <w:tcBorders>
                    <w:tl2br w:val="nil"/>
                    <w:tr2bl w:val="nil"/>
                  </w:tcBorders>
                  <w:vAlign w:val="center"/>
                </w:tcPr>
                <w:p>
                  <w:pPr>
                    <w:pStyle w:val="17"/>
                    <w:bidi w:val="0"/>
                    <w:jc w:val="center"/>
                    <w:rPr>
                      <w:rFonts w:hint="default"/>
                      <w:color w:val="auto"/>
                    </w:rPr>
                  </w:pPr>
                  <w:r>
                    <w:rPr>
                      <w:rFonts w:hint="default"/>
                      <w:color w:val="auto"/>
                    </w:rPr>
                    <w:t>序号</w:t>
                  </w:r>
                </w:p>
              </w:tc>
              <w:tc>
                <w:tcPr>
                  <w:tcW w:w="645" w:type="pct"/>
                  <w:tcBorders>
                    <w:tl2br w:val="nil"/>
                    <w:tr2bl w:val="nil"/>
                  </w:tcBorders>
                  <w:vAlign w:val="center"/>
                </w:tcPr>
                <w:p>
                  <w:pPr>
                    <w:pStyle w:val="17"/>
                    <w:bidi w:val="0"/>
                    <w:jc w:val="center"/>
                    <w:rPr>
                      <w:rFonts w:hint="default"/>
                      <w:color w:val="auto"/>
                    </w:rPr>
                  </w:pPr>
                  <w:r>
                    <w:rPr>
                      <w:rFonts w:hint="default"/>
                      <w:color w:val="auto"/>
                    </w:rPr>
                    <w:t>污染物</w:t>
                  </w:r>
                </w:p>
              </w:tc>
              <w:tc>
                <w:tcPr>
                  <w:tcW w:w="1183" w:type="pct"/>
                  <w:tcBorders>
                    <w:tl2br w:val="nil"/>
                    <w:tr2bl w:val="nil"/>
                  </w:tcBorders>
                  <w:vAlign w:val="center"/>
                </w:tcPr>
                <w:p>
                  <w:pPr>
                    <w:pStyle w:val="17"/>
                    <w:bidi w:val="0"/>
                    <w:jc w:val="center"/>
                    <w:rPr>
                      <w:rFonts w:hint="default"/>
                      <w:color w:val="auto"/>
                    </w:rPr>
                  </w:pPr>
                  <w:r>
                    <w:rPr>
                      <w:rFonts w:hint="default"/>
                      <w:color w:val="auto"/>
                    </w:rPr>
                    <w:t>取值时间</w:t>
                  </w:r>
                </w:p>
              </w:tc>
              <w:tc>
                <w:tcPr>
                  <w:tcW w:w="1304" w:type="pct"/>
                  <w:tcBorders>
                    <w:tl2br w:val="nil"/>
                    <w:tr2bl w:val="nil"/>
                  </w:tcBorders>
                  <w:vAlign w:val="center"/>
                </w:tcPr>
                <w:p>
                  <w:pPr>
                    <w:pStyle w:val="17"/>
                    <w:bidi w:val="0"/>
                    <w:jc w:val="center"/>
                    <w:rPr>
                      <w:rFonts w:hint="eastAsia" w:eastAsia="宋体"/>
                      <w:color w:val="auto"/>
                      <w:lang w:eastAsia="zh-CN"/>
                    </w:rPr>
                  </w:pPr>
                  <w:r>
                    <w:rPr>
                      <w:rFonts w:hint="default"/>
                      <w:color w:val="auto"/>
                    </w:rPr>
                    <w:t>浓度限值</w:t>
                  </w:r>
                  <w:r>
                    <w:rPr>
                      <w:rFonts w:hint="eastAsia"/>
                      <w:color w:val="auto"/>
                      <w:lang w:eastAsia="zh-CN"/>
                    </w:rPr>
                    <w:t>（</w:t>
                  </w:r>
                  <w:r>
                    <w:rPr>
                      <w:rFonts w:hint="default"/>
                      <w:color w:val="auto"/>
                    </w:rPr>
                    <w:t>mg/</w:t>
                  </w:r>
                  <w:r>
                    <w:rPr>
                      <w:rFonts w:hint="eastAsia"/>
                      <w:color w:val="auto"/>
                      <w:lang w:eastAsia="zh-CN"/>
                    </w:rPr>
                    <w:t>m</w:t>
                  </w:r>
                  <w:r>
                    <w:rPr>
                      <w:rFonts w:hint="eastAsia"/>
                      <w:color w:val="auto"/>
                      <w:vertAlign w:val="superscript"/>
                      <w:lang w:eastAsia="zh-CN"/>
                    </w:rPr>
                    <w:t>3</w:t>
                  </w:r>
                  <w:r>
                    <w:rPr>
                      <w:rFonts w:hint="eastAsia"/>
                      <w:color w:val="auto"/>
                      <w:lang w:eastAsia="zh-CN"/>
                    </w:rPr>
                    <w:t>）</w:t>
                  </w:r>
                </w:p>
              </w:tc>
              <w:tc>
                <w:tcPr>
                  <w:tcW w:w="1480" w:type="pct"/>
                  <w:tcBorders>
                    <w:tl2br w:val="nil"/>
                    <w:tr2bl w:val="nil"/>
                  </w:tcBorders>
                  <w:vAlign w:val="center"/>
                </w:tcPr>
                <w:p>
                  <w:pPr>
                    <w:pStyle w:val="17"/>
                    <w:bidi w:val="0"/>
                    <w:jc w:val="center"/>
                    <w:rPr>
                      <w:rFonts w:hint="default"/>
                      <w:color w:val="auto"/>
                    </w:rPr>
                  </w:pPr>
                  <w:r>
                    <w:rPr>
                      <w:rFonts w:hint="default"/>
                      <w:color w:val="auto"/>
                    </w:rPr>
                    <w:t>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385" w:type="pct"/>
                  <w:vMerge w:val="restart"/>
                  <w:tcBorders>
                    <w:tl2br w:val="nil"/>
                    <w:tr2bl w:val="nil"/>
                  </w:tcBorders>
                  <w:vAlign w:val="center"/>
                </w:tcPr>
                <w:p>
                  <w:pPr>
                    <w:pStyle w:val="17"/>
                    <w:bidi w:val="0"/>
                    <w:jc w:val="center"/>
                    <w:rPr>
                      <w:rFonts w:hint="default"/>
                      <w:color w:val="auto"/>
                    </w:rPr>
                  </w:pPr>
                  <w:r>
                    <w:rPr>
                      <w:rFonts w:hint="default"/>
                      <w:color w:val="auto"/>
                    </w:rPr>
                    <w:t>1</w:t>
                  </w:r>
                </w:p>
              </w:tc>
              <w:tc>
                <w:tcPr>
                  <w:tcW w:w="645" w:type="pct"/>
                  <w:vMerge w:val="restart"/>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SO</w:t>
                  </w:r>
                  <w:r>
                    <w:rPr>
                      <w:rFonts w:hint="eastAsia"/>
                      <w:color w:val="auto"/>
                      <w:vertAlign w:val="subscript"/>
                      <w:lang w:eastAsia="zh-CN"/>
                    </w:rPr>
                    <w:t>2</w:t>
                  </w:r>
                </w:p>
              </w:tc>
              <w:tc>
                <w:tcPr>
                  <w:tcW w:w="1183" w:type="pct"/>
                  <w:tcBorders>
                    <w:tl2br w:val="nil"/>
                    <w:tr2bl w:val="nil"/>
                  </w:tcBorders>
                  <w:vAlign w:val="center"/>
                </w:tcPr>
                <w:p>
                  <w:pPr>
                    <w:pStyle w:val="17"/>
                    <w:bidi w:val="0"/>
                    <w:jc w:val="center"/>
                    <w:rPr>
                      <w:rFonts w:hint="default"/>
                      <w:color w:val="auto"/>
                    </w:rPr>
                  </w:pPr>
                  <w:r>
                    <w:rPr>
                      <w:rFonts w:hint="default"/>
                      <w:color w:val="auto"/>
                    </w:rPr>
                    <w:t>年平均</w:t>
                  </w:r>
                </w:p>
              </w:tc>
              <w:tc>
                <w:tcPr>
                  <w:tcW w:w="1304" w:type="pct"/>
                  <w:tcBorders>
                    <w:tl2br w:val="nil"/>
                    <w:tr2bl w:val="nil"/>
                  </w:tcBorders>
                  <w:vAlign w:val="center"/>
                </w:tcPr>
                <w:p>
                  <w:pPr>
                    <w:pStyle w:val="17"/>
                    <w:bidi w:val="0"/>
                    <w:jc w:val="center"/>
                    <w:rPr>
                      <w:rFonts w:hint="default"/>
                      <w:color w:val="auto"/>
                    </w:rPr>
                  </w:pPr>
                  <w:r>
                    <w:rPr>
                      <w:rFonts w:hint="default"/>
                      <w:color w:val="auto"/>
                    </w:rPr>
                    <w:t>0.06</w:t>
                  </w:r>
                </w:p>
              </w:tc>
              <w:tc>
                <w:tcPr>
                  <w:tcW w:w="1480" w:type="pct"/>
                  <w:vMerge w:val="restart"/>
                  <w:tcBorders>
                    <w:tl2br w:val="nil"/>
                    <w:tr2bl w:val="nil"/>
                  </w:tcBorders>
                  <w:vAlign w:val="center"/>
                </w:tcPr>
                <w:p>
                  <w:pPr>
                    <w:pStyle w:val="17"/>
                    <w:bidi w:val="0"/>
                    <w:jc w:val="center"/>
                    <w:rPr>
                      <w:rFonts w:hint="default"/>
                      <w:color w:val="auto"/>
                    </w:rPr>
                  </w:pPr>
                  <w:r>
                    <w:rPr>
                      <w:rFonts w:hint="default"/>
                      <w:color w:val="auto"/>
                    </w:rPr>
                    <w:t>GB3095-2012及修改单二级标准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85" w:type="pct"/>
                  <w:vMerge w:val="continue"/>
                  <w:tcBorders>
                    <w:tl2br w:val="nil"/>
                    <w:tr2bl w:val="nil"/>
                  </w:tcBorders>
                  <w:vAlign w:val="center"/>
                </w:tcPr>
                <w:p>
                  <w:pPr>
                    <w:pStyle w:val="17"/>
                    <w:bidi w:val="0"/>
                    <w:jc w:val="center"/>
                    <w:rPr>
                      <w:rFonts w:hint="default"/>
                      <w:color w:val="auto"/>
                    </w:rPr>
                  </w:pPr>
                </w:p>
              </w:tc>
              <w:tc>
                <w:tcPr>
                  <w:tcW w:w="645" w:type="pct"/>
                  <w:vMerge w:val="continue"/>
                  <w:tcBorders>
                    <w:tl2br w:val="nil"/>
                    <w:tr2bl w:val="nil"/>
                  </w:tcBorders>
                  <w:vAlign w:val="center"/>
                </w:tcPr>
                <w:p>
                  <w:pPr>
                    <w:pStyle w:val="17"/>
                    <w:bidi w:val="0"/>
                    <w:jc w:val="center"/>
                    <w:rPr>
                      <w:rFonts w:hint="default"/>
                      <w:color w:val="auto"/>
                    </w:rPr>
                  </w:pPr>
                </w:p>
              </w:tc>
              <w:tc>
                <w:tcPr>
                  <w:tcW w:w="1183" w:type="pct"/>
                  <w:tcBorders>
                    <w:tl2br w:val="nil"/>
                    <w:tr2bl w:val="nil"/>
                  </w:tcBorders>
                  <w:vAlign w:val="center"/>
                </w:tcPr>
                <w:p>
                  <w:pPr>
                    <w:pStyle w:val="17"/>
                    <w:bidi w:val="0"/>
                    <w:jc w:val="center"/>
                    <w:rPr>
                      <w:rFonts w:hint="default"/>
                      <w:color w:val="auto"/>
                    </w:rPr>
                  </w:pPr>
                  <w:r>
                    <w:rPr>
                      <w:rFonts w:hint="default"/>
                      <w:color w:val="auto"/>
                    </w:rPr>
                    <w:t>24小时平均</w:t>
                  </w:r>
                </w:p>
              </w:tc>
              <w:tc>
                <w:tcPr>
                  <w:tcW w:w="1304" w:type="pct"/>
                  <w:tcBorders>
                    <w:tl2br w:val="nil"/>
                    <w:tr2bl w:val="nil"/>
                  </w:tcBorders>
                  <w:vAlign w:val="center"/>
                </w:tcPr>
                <w:p>
                  <w:pPr>
                    <w:pStyle w:val="17"/>
                    <w:bidi w:val="0"/>
                    <w:jc w:val="center"/>
                    <w:rPr>
                      <w:rFonts w:hint="default"/>
                      <w:color w:val="auto"/>
                    </w:rPr>
                  </w:pPr>
                  <w:r>
                    <w:rPr>
                      <w:rFonts w:hint="default"/>
                      <w:color w:val="auto"/>
                    </w:rPr>
                    <w:t>0.15</w:t>
                  </w:r>
                </w:p>
              </w:tc>
              <w:tc>
                <w:tcPr>
                  <w:tcW w:w="1480" w:type="pct"/>
                  <w:vMerge w:val="continue"/>
                  <w:tcBorders>
                    <w:tl2br w:val="nil"/>
                    <w:tr2bl w:val="nil"/>
                  </w:tcBorders>
                  <w:vAlign w:val="center"/>
                </w:tcPr>
                <w:p>
                  <w:pPr>
                    <w:pStyle w:val="17"/>
                    <w:bidi w:val="0"/>
                    <w:jc w:val="center"/>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5" w:type="pct"/>
                  <w:vMerge w:val="continue"/>
                  <w:tcBorders>
                    <w:tl2br w:val="nil"/>
                    <w:tr2bl w:val="nil"/>
                  </w:tcBorders>
                  <w:vAlign w:val="center"/>
                </w:tcPr>
                <w:p>
                  <w:pPr>
                    <w:pStyle w:val="17"/>
                    <w:bidi w:val="0"/>
                    <w:jc w:val="center"/>
                    <w:rPr>
                      <w:rFonts w:hint="default"/>
                      <w:color w:val="auto"/>
                    </w:rPr>
                  </w:pPr>
                </w:p>
              </w:tc>
              <w:tc>
                <w:tcPr>
                  <w:tcW w:w="645" w:type="pct"/>
                  <w:vMerge w:val="continue"/>
                  <w:tcBorders>
                    <w:tl2br w:val="nil"/>
                    <w:tr2bl w:val="nil"/>
                  </w:tcBorders>
                  <w:vAlign w:val="center"/>
                </w:tcPr>
                <w:p>
                  <w:pPr>
                    <w:pStyle w:val="17"/>
                    <w:bidi w:val="0"/>
                    <w:jc w:val="center"/>
                    <w:rPr>
                      <w:rFonts w:hint="default"/>
                      <w:color w:val="auto"/>
                    </w:rPr>
                  </w:pPr>
                </w:p>
              </w:tc>
              <w:tc>
                <w:tcPr>
                  <w:tcW w:w="1183" w:type="pct"/>
                  <w:tcBorders>
                    <w:tl2br w:val="nil"/>
                    <w:tr2bl w:val="nil"/>
                  </w:tcBorders>
                  <w:vAlign w:val="center"/>
                </w:tcPr>
                <w:p>
                  <w:pPr>
                    <w:pStyle w:val="17"/>
                    <w:bidi w:val="0"/>
                    <w:jc w:val="center"/>
                    <w:rPr>
                      <w:rFonts w:hint="default"/>
                      <w:color w:val="auto"/>
                    </w:rPr>
                  </w:pPr>
                  <w:r>
                    <w:rPr>
                      <w:rFonts w:hint="default"/>
                      <w:color w:val="auto"/>
                    </w:rPr>
                    <w:t>1小时平均</w:t>
                  </w:r>
                </w:p>
              </w:tc>
              <w:tc>
                <w:tcPr>
                  <w:tcW w:w="1304" w:type="pct"/>
                  <w:tcBorders>
                    <w:tl2br w:val="nil"/>
                    <w:tr2bl w:val="nil"/>
                  </w:tcBorders>
                  <w:vAlign w:val="center"/>
                </w:tcPr>
                <w:p>
                  <w:pPr>
                    <w:pStyle w:val="17"/>
                    <w:bidi w:val="0"/>
                    <w:jc w:val="center"/>
                    <w:rPr>
                      <w:rFonts w:hint="default"/>
                      <w:color w:val="auto"/>
                    </w:rPr>
                  </w:pPr>
                  <w:r>
                    <w:rPr>
                      <w:rFonts w:hint="default"/>
                      <w:color w:val="auto"/>
                    </w:rPr>
                    <w:t>0.50</w:t>
                  </w:r>
                </w:p>
              </w:tc>
              <w:tc>
                <w:tcPr>
                  <w:tcW w:w="1480" w:type="pct"/>
                  <w:vMerge w:val="continue"/>
                  <w:tcBorders>
                    <w:tl2br w:val="nil"/>
                    <w:tr2bl w:val="nil"/>
                  </w:tcBorders>
                  <w:vAlign w:val="center"/>
                </w:tcPr>
                <w:p>
                  <w:pPr>
                    <w:pStyle w:val="17"/>
                    <w:bidi w:val="0"/>
                    <w:jc w:val="center"/>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5" w:type="pct"/>
                  <w:vMerge w:val="restart"/>
                  <w:tcBorders>
                    <w:tl2br w:val="nil"/>
                    <w:tr2bl w:val="nil"/>
                  </w:tcBorders>
                  <w:vAlign w:val="center"/>
                </w:tcPr>
                <w:p>
                  <w:pPr>
                    <w:pStyle w:val="17"/>
                    <w:bidi w:val="0"/>
                    <w:jc w:val="center"/>
                    <w:rPr>
                      <w:rFonts w:hint="default"/>
                      <w:color w:val="auto"/>
                    </w:rPr>
                  </w:pPr>
                  <w:r>
                    <w:rPr>
                      <w:rFonts w:hint="default"/>
                      <w:color w:val="auto"/>
                    </w:rPr>
                    <w:t>2</w:t>
                  </w:r>
                </w:p>
              </w:tc>
              <w:tc>
                <w:tcPr>
                  <w:tcW w:w="645" w:type="pct"/>
                  <w:vMerge w:val="restart"/>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NO</w:t>
                  </w:r>
                  <w:r>
                    <w:rPr>
                      <w:rFonts w:hint="eastAsia"/>
                      <w:color w:val="auto"/>
                      <w:vertAlign w:val="subscript"/>
                      <w:lang w:eastAsia="zh-CN"/>
                    </w:rPr>
                    <w:t>2</w:t>
                  </w:r>
                </w:p>
              </w:tc>
              <w:tc>
                <w:tcPr>
                  <w:tcW w:w="1183" w:type="pct"/>
                  <w:tcBorders>
                    <w:tl2br w:val="nil"/>
                    <w:tr2bl w:val="nil"/>
                  </w:tcBorders>
                  <w:vAlign w:val="center"/>
                </w:tcPr>
                <w:p>
                  <w:pPr>
                    <w:pStyle w:val="17"/>
                    <w:bidi w:val="0"/>
                    <w:jc w:val="center"/>
                    <w:rPr>
                      <w:rFonts w:hint="default"/>
                      <w:color w:val="auto"/>
                    </w:rPr>
                  </w:pPr>
                  <w:r>
                    <w:rPr>
                      <w:rFonts w:hint="default"/>
                      <w:color w:val="auto"/>
                    </w:rPr>
                    <w:t>年平均</w:t>
                  </w:r>
                </w:p>
              </w:tc>
              <w:tc>
                <w:tcPr>
                  <w:tcW w:w="1304" w:type="pct"/>
                  <w:tcBorders>
                    <w:tl2br w:val="nil"/>
                    <w:tr2bl w:val="nil"/>
                  </w:tcBorders>
                  <w:vAlign w:val="center"/>
                </w:tcPr>
                <w:p>
                  <w:pPr>
                    <w:pStyle w:val="17"/>
                    <w:bidi w:val="0"/>
                    <w:jc w:val="center"/>
                    <w:rPr>
                      <w:rFonts w:hint="default"/>
                      <w:color w:val="auto"/>
                    </w:rPr>
                  </w:pPr>
                  <w:r>
                    <w:rPr>
                      <w:rFonts w:hint="default"/>
                      <w:color w:val="auto"/>
                    </w:rPr>
                    <w:t>0.04</w:t>
                  </w:r>
                </w:p>
              </w:tc>
              <w:tc>
                <w:tcPr>
                  <w:tcW w:w="1480" w:type="pct"/>
                  <w:vMerge w:val="continue"/>
                  <w:tcBorders>
                    <w:tl2br w:val="nil"/>
                    <w:tr2bl w:val="nil"/>
                  </w:tcBorders>
                  <w:vAlign w:val="center"/>
                </w:tcPr>
                <w:p>
                  <w:pPr>
                    <w:pStyle w:val="17"/>
                    <w:bidi w:val="0"/>
                    <w:jc w:val="center"/>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385" w:type="pct"/>
                  <w:vMerge w:val="continue"/>
                  <w:tcBorders>
                    <w:tl2br w:val="nil"/>
                    <w:tr2bl w:val="nil"/>
                  </w:tcBorders>
                  <w:vAlign w:val="center"/>
                </w:tcPr>
                <w:p>
                  <w:pPr>
                    <w:pStyle w:val="17"/>
                    <w:bidi w:val="0"/>
                    <w:jc w:val="center"/>
                    <w:rPr>
                      <w:rFonts w:hint="default"/>
                      <w:color w:val="auto"/>
                    </w:rPr>
                  </w:pPr>
                </w:p>
              </w:tc>
              <w:tc>
                <w:tcPr>
                  <w:tcW w:w="645" w:type="pct"/>
                  <w:vMerge w:val="continue"/>
                  <w:tcBorders>
                    <w:tl2br w:val="nil"/>
                    <w:tr2bl w:val="nil"/>
                  </w:tcBorders>
                  <w:vAlign w:val="center"/>
                </w:tcPr>
                <w:p>
                  <w:pPr>
                    <w:pStyle w:val="17"/>
                    <w:bidi w:val="0"/>
                    <w:jc w:val="center"/>
                    <w:rPr>
                      <w:rFonts w:hint="default"/>
                      <w:color w:val="auto"/>
                    </w:rPr>
                  </w:pPr>
                </w:p>
              </w:tc>
              <w:tc>
                <w:tcPr>
                  <w:tcW w:w="1183" w:type="pct"/>
                  <w:tcBorders>
                    <w:tl2br w:val="nil"/>
                    <w:tr2bl w:val="nil"/>
                  </w:tcBorders>
                  <w:vAlign w:val="center"/>
                </w:tcPr>
                <w:p>
                  <w:pPr>
                    <w:pStyle w:val="17"/>
                    <w:bidi w:val="0"/>
                    <w:jc w:val="center"/>
                    <w:rPr>
                      <w:rFonts w:hint="default"/>
                      <w:color w:val="auto"/>
                    </w:rPr>
                  </w:pPr>
                  <w:r>
                    <w:rPr>
                      <w:rFonts w:hint="default"/>
                      <w:color w:val="auto"/>
                    </w:rPr>
                    <w:t>24小时平均</w:t>
                  </w:r>
                </w:p>
              </w:tc>
              <w:tc>
                <w:tcPr>
                  <w:tcW w:w="1304" w:type="pct"/>
                  <w:tcBorders>
                    <w:tl2br w:val="nil"/>
                    <w:tr2bl w:val="nil"/>
                  </w:tcBorders>
                  <w:vAlign w:val="center"/>
                </w:tcPr>
                <w:p>
                  <w:pPr>
                    <w:pStyle w:val="17"/>
                    <w:bidi w:val="0"/>
                    <w:jc w:val="center"/>
                    <w:rPr>
                      <w:rFonts w:hint="default"/>
                      <w:color w:val="auto"/>
                    </w:rPr>
                  </w:pPr>
                  <w:r>
                    <w:rPr>
                      <w:rFonts w:hint="default"/>
                      <w:color w:val="auto"/>
                    </w:rPr>
                    <w:t>0.08</w:t>
                  </w:r>
                </w:p>
              </w:tc>
              <w:tc>
                <w:tcPr>
                  <w:tcW w:w="1480" w:type="pct"/>
                  <w:vMerge w:val="continue"/>
                  <w:tcBorders>
                    <w:tl2br w:val="nil"/>
                    <w:tr2bl w:val="nil"/>
                  </w:tcBorders>
                  <w:vAlign w:val="center"/>
                </w:tcPr>
                <w:p>
                  <w:pPr>
                    <w:pStyle w:val="17"/>
                    <w:bidi w:val="0"/>
                    <w:jc w:val="center"/>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5" w:type="pct"/>
                  <w:vMerge w:val="continue"/>
                  <w:tcBorders>
                    <w:tl2br w:val="nil"/>
                    <w:tr2bl w:val="nil"/>
                  </w:tcBorders>
                  <w:vAlign w:val="center"/>
                </w:tcPr>
                <w:p>
                  <w:pPr>
                    <w:pStyle w:val="17"/>
                    <w:bidi w:val="0"/>
                    <w:jc w:val="center"/>
                    <w:rPr>
                      <w:rFonts w:hint="default"/>
                      <w:color w:val="auto"/>
                    </w:rPr>
                  </w:pPr>
                </w:p>
              </w:tc>
              <w:tc>
                <w:tcPr>
                  <w:tcW w:w="645" w:type="pct"/>
                  <w:vMerge w:val="continue"/>
                  <w:tcBorders>
                    <w:tl2br w:val="nil"/>
                    <w:tr2bl w:val="nil"/>
                  </w:tcBorders>
                  <w:vAlign w:val="center"/>
                </w:tcPr>
                <w:p>
                  <w:pPr>
                    <w:pStyle w:val="17"/>
                    <w:bidi w:val="0"/>
                    <w:jc w:val="center"/>
                    <w:rPr>
                      <w:rFonts w:hint="default"/>
                      <w:color w:val="auto"/>
                    </w:rPr>
                  </w:pPr>
                </w:p>
              </w:tc>
              <w:tc>
                <w:tcPr>
                  <w:tcW w:w="1183" w:type="pct"/>
                  <w:tcBorders>
                    <w:tl2br w:val="nil"/>
                    <w:tr2bl w:val="nil"/>
                  </w:tcBorders>
                  <w:vAlign w:val="center"/>
                </w:tcPr>
                <w:p>
                  <w:pPr>
                    <w:pStyle w:val="17"/>
                    <w:bidi w:val="0"/>
                    <w:jc w:val="center"/>
                    <w:rPr>
                      <w:rFonts w:hint="default"/>
                      <w:color w:val="auto"/>
                    </w:rPr>
                  </w:pPr>
                  <w:r>
                    <w:rPr>
                      <w:rFonts w:hint="default"/>
                      <w:color w:val="auto"/>
                    </w:rPr>
                    <w:t>1小时平均</w:t>
                  </w:r>
                </w:p>
              </w:tc>
              <w:tc>
                <w:tcPr>
                  <w:tcW w:w="1304" w:type="pct"/>
                  <w:tcBorders>
                    <w:tl2br w:val="nil"/>
                    <w:tr2bl w:val="nil"/>
                  </w:tcBorders>
                  <w:vAlign w:val="center"/>
                </w:tcPr>
                <w:p>
                  <w:pPr>
                    <w:pStyle w:val="17"/>
                    <w:bidi w:val="0"/>
                    <w:jc w:val="center"/>
                    <w:rPr>
                      <w:rFonts w:hint="default"/>
                      <w:color w:val="auto"/>
                    </w:rPr>
                  </w:pPr>
                  <w:r>
                    <w:rPr>
                      <w:rFonts w:hint="default"/>
                      <w:color w:val="auto"/>
                    </w:rPr>
                    <w:t>0.20</w:t>
                  </w:r>
                </w:p>
              </w:tc>
              <w:tc>
                <w:tcPr>
                  <w:tcW w:w="1480" w:type="pct"/>
                  <w:vMerge w:val="continue"/>
                  <w:tcBorders>
                    <w:tl2br w:val="nil"/>
                    <w:tr2bl w:val="nil"/>
                  </w:tcBorders>
                  <w:vAlign w:val="center"/>
                </w:tcPr>
                <w:p>
                  <w:pPr>
                    <w:pStyle w:val="17"/>
                    <w:bidi w:val="0"/>
                    <w:jc w:val="center"/>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5" w:type="pct"/>
                  <w:vMerge w:val="restart"/>
                  <w:tcBorders>
                    <w:tl2br w:val="nil"/>
                    <w:tr2bl w:val="nil"/>
                  </w:tcBorders>
                  <w:vAlign w:val="center"/>
                </w:tcPr>
                <w:p>
                  <w:pPr>
                    <w:pStyle w:val="17"/>
                    <w:bidi w:val="0"/>
                    <w:jc w:val="center"/>
                    <w:rPr>
                      <w:rFonts w:hint="default"/>
                      <w:color w:val="auto"/>
                    </w:rPr>
                  </w:pPr>
                  <w:r>
                    <w:rPr>
                      <w:rFonts w:hint="default"/>
                      <w:color w:val="auto"/>
                    </w:rPr>
                    <w:t>3</w:t>
                  </w:r>
                </w:p>
              </w:tc>
              <w:tc>
                <w:tcPr>
                  <w:tcW w:w="645" w:type="pct"/>
                  <w:vMerge w:val="restart"/>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PM</w:t>
                  </w:r>
                  <w:r>
                    <w:rPr>
                      <w:rFonts w:hint="eastAsia"/>
                      <w:color w:val="auto"/>
                      <w:vertAlign w:val="subscript"/>
                      <w:lang w:eastAsia="zh-CN"/>
                    </w:rPr>
                    <w:t>10</w:t>
                  </w:r>
                </w:p>
              </w:tc>
              <w:tc>
                <w:tcPr>
                  <w:tcW w:w="1183" w:type="pct"/>
                  <w:tcBorders>
                    <w:tl2br w:val="nil"/>
                    <w:tr2bl w:val="nil"/>
                  </w:tcBorders>
                  <w:vAlign w:val="center"/>
                </w:tcPr>
                <w:p>
                  <w:pPr>
                    <w:pStyle w:val="17"/>
                    <w:bidi w:val="0"/>
                    <w:jc w:val="center"/>
                    <w:rPr>
                      <w:rFonts w:hint="default"/>
                      <w:color w:val="auto"/>
                    </w:rPr>
                  </w:pPr>
                  <w:r>
                    <w:rPr>
                      <w:rFonts w:hint="default"/>
                      <w:color w:val="auto"/>
                    </w:rPr>
                    <w:t>年平均</w:t>
                  </w:r>
                </w:p>
              </w:tc>
              <w:tc>
                <w:tcPr>
                  <w:tcW w:w="1304" w:type="pct"/>
                  <w:tcBorders>
                    <w:tl2br w:val="nil"/>
                    <w:tr2bl w:val="nil"/>
                  </w:tcBorders>
                  <w:vAlign w:val="center"/>
                </w:tcPr>
                <w:p>
                  <w:pPr>
                    <w:pStyle w:val="17"/>
                    <w:bidi w:val="0"/>
                    <w:jc w:val="center"/>
                    <w:rPr>
                      <w:rFonts w:hint="default"/>
                      <w:color w:val="auto"/>
                    </w:rPr>
                  </w:pPr>
                  <w:r>
                    <w:rPr>
                      <w:rFonts w:hint="default"/>
                      <w:color w:val="auto"/>
                    </w:rPr>
                    <w:t>0.07</w:t>
                  </w:r>
                </w:p>
              </w:tc>
              <w:tc>
                <w:tcPr>
                  <w:tcW w:w="1480" w:type="pct"/>
                  <w:vMerge w:val="continue"/>
                  <w:tcBorders>
                    <w:tl2br w:val="nil"/>
                    <w:tr2bl w:val="nil"/>
                  </w:tcBorders>
                  <w:vAlign w:val="center"/>
                </w:tcPr>
                <w:p>
                  <w:pPr>
                    <w:pStyle w:val="17"/>
                    <w:bidi w:val="0"/>
                    <w:jc w:val="center"/>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85" w:type="pct"/>
                  <w:vMerge w:val="continue"/>
                  <w:tcBorders>
                    <w:tl2br w:val="nil"/>
                    <w:tr2bl w:val="nil"/>
                  </w:tcBorders>
                  <w:vAlign w:val="center"/>
                </w:tcPr>
                <w:p>
                  <w:pPr>
                    <w:pStyle w:val="17"/>
                    <w:bidi w:val="0"/>
                    <w:jc w:val="center"/>
                    <w:rPr>
                      <w:rFonts w:hint="default"/>
                      <w:color w:val="auto"/>
                    </w:rPr>
                  </w:pPr>
                </w:p>
              </w:tc>
              <w:tc>
                <w:tcPr>
                  <w:tcW w:w="645" w:type="pct"/>
                  <w:vMerge w:val="continue"/>
                  <w:tcBorders>
                    <w:tl2br w:val="nil"/>
                    <w:tr2bl w:val="nil"/>
                  </w:tcBorders>
                  <w:vAlign w:val="center"/>
                </w:tcPr>
                <w:p>
                  <w:pPr>
                    <w:pStyle w:val="17"/>
                    <w:bidi w:val="0"/>
                    <w:jc w:val="center"/>
                    <w:rPr>
                      <w:rFonts w:hint="default"/>
                      <w:color w:val="auto"/>
                    </w:rPr>
                  </w:pPr>
                </w:p>
              </w:tc>
              <w:tc>
                <w:tcPr>
                  <w:tcW w:w="1183" w:type="pct"/>
                  <w:tcBorders>
                    <w:tl2br w:val="nil"/>
                    <w:tr2bl w:val="nil"/>
                  </w:tcBorders>
                  <w:vAlign w:val="center"/>
                </w:tcPr>
                <w:p>
                  <w:pPr>
                    <w:pStyle w:val="17"/>
                    <w:bidi w:val="0"/>
                    <w:jc w:val="center"/>
                    <w:rPr>
                      <w:rFonts w:hint="default"/>
                      <w:color w:val="auto"/>
                    </w:rPr>
                  </w:pPr>
                  <w:r>
                    <w:rPr>
                      <w:rFonts w:hint="default"/>
                      <w:color w:val="auto"/>
                    </w:rPr>
                    <w:t>24小时平均</w:t>
                  </w:r>
                </w:p>
              </w:tc>
              <w:tc>
                <w:tcPr>
                  <w:tcW w:w="1304" w:type="pct"/>
                  <w:tcBorders>
                    <w:tl2br w:val="nil"/>
                    <w:tr2bl w:val="nil"/>
                  </w:tcBorders>
                  <w:vAlign w:val="center"/>
                </w:tcPr>
                <w:p>
                  <w:pPr>
                    <w:pStyle w:val="17"/>
                    <w:bidi w:val="0"/>
                    <w:jc w:val="center"/>
                    <w:rPr>
                      <w:rFonts w:hint="default"/>
                      <w:color w:val="auto"/>
                    </w:rPr>
                  </w:pPr>
                  <w:r>
                    <w:rPr>
                      <w:rFonts w:hint="default"/>
                      <w:color w:val="auto"/>
                    </w:rPr>
                    <w:t>0.15</w:t>
                  </w:r>
                </w:p>
              </w:tc>
              <w:tc>
                <w:tcPr>
                  <w:tcW w:w="1480" w:type="pct"/>
                  <w:vMerge w:val="continue"/>
                  <w:tcBorders>
                    <w:tl2br w:val="nil"/>
                    <w:tr2bl w:val="nil"/>
                  </w:tcBorders>
                  <w:vAlign w:val="center"/>
                </w:tcPr>
                <w:p>
                  <w:pPr>
                    <w:pStyle w:val="17"/>
                    <w:bidi w:val="0"/>
                    <w:jc w:val="center"/>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385" w:type="pct"/>
                  <w:vMerge w:val="restart"/>
                  <w:tcBorders>
                    <w:tl2br w:val="nil"/>
                    <w:tr2bl w:val="nil"/>
                  </w:tcBorders>
                  <w:vAlign w:val="center"/>
                </w:tcPr>
                <w:p>
                  <w:pPr>
                    <w:pStyle w:val="17"/>
                    <w:bidi w:val="0"/>
                    <w:jc w:val="center"/>
                    <w:rPr>
                      <w:rFonts w:hint="default"/>
                      <w:color w:val="auto"/>
                    </w:rPr>
                  </w:pPr>
                  <w:r>
                    <w:rPr>
                      <w:rFonts w:hint="default"/>
                      <w:color w:val="auto"/>
                    </w:rPr>
                    <w:t>4</w:t>
                  </w:r>
                </w:p>
              </w:tc>
              <w:tc>
                <w:tcPr>
                  <w:tcW w:w="645" w:type="pct"/>
                  <w:vMerge w:val="restart"/>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PM</w:t>
                  </w:r>
                  <w:r>
                    <w:rPr>
                      <w:rFonts w:hint="eastAsia"/>
                      <w:color w:val="auto"/>
                      <w:vertAlign w:val="subscript"/>
                      <w:lang w:eastAsia="zh-CN"/>
                    </w:rPr>
                    <w:t>2.5</w:t>
                  </w:r>
                </w:p>
              </w:tc>
              <w:tc>
                <w:tcPr>
                  <w:tcW w:w="1183" w:type="pct"/>
                  <w:tcBorders>
                    <w:tl2br w:val="nil"/>
                    <w:tr2bl w:val="nil"/>
                  </w:tcBorders>
                  <w:vAlign w:val="center"/>
                </w:tcPr>
                <w:p>
                  <w:pPr>
                    <w:pStyle w:val="17"/>
                    <w:bidi w:val="0"/>
                    <w:jc w:val="center"/>
                    <w:rPr>
                      <w:rFonts w:hint="default"/>
                      <w:color w:val="auto"/>
                    </w:rPr>
                  </w:pPr>
                  <w:r>
                    <w:rPr>
                      <w:rFonts w:hint="default"/>
                      <w:color w:val="auto"/>
                    </w:rPr>
                    <w:t>年平均</w:t>
                  </w:r>
                </w:p>
              </w:tc>
              <w:tc>
                <w:tcPr>
                  <w:tcW w:w="1304" w:type="pct"/>
                  <w:tcBorders>
                    <w:tl2br w:val="nil"/>
                    <w:tr2bl w:val="nil"/>
                  </w:tcBorders>
                  <w:vAlign w:val="center"/>
                </w:tcPr>
                <w:p>
                  <w:pPr>
                    <w:pStyle w:val="17"/>
                    <w:bidi w:val="0"/>
                    <w:jc w:val="center"/>
                    <w:rPr>
                      <w:rFonts w:hint="default"/>
                      <w:color w:val="auto"/>
                    </w:rPr>
                  </w:pPr>
                  <w:r>
                    <w:rPr>
                      <w:rFonts w:hint="default"/>
                      <w:color w:val="auto"/>
                    </w:rPr>
                    <w:t>0.035</w:t>
                  </w:r>
                </w:p>
              </w:tc>
              <w:tc>
                <w:tcPr>
                  <w:tcW w:w="1480" w:type="pct"/>
                  <w:vMerge w:val="continue"/>
                  <w:tcBorders>
                    <w:tl2br w:val="nil"/>
                    <w:tr2bl w:val="nil"/>
                  </w:tcBorders>
                  <w:vAlign w:val="center"/>
                </w:tcPr>
                <w:p>
                  <w:pPr>
                    <w:pStyle w:val="17"/>
                    <w:bidi w:val="0"/>
                    <w:jc w:val="center"/>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385" w:type="pct"/>
                  <w:vMerge w:val="continue"/>
                  <w:tcBorders>
                    <w:tl2br w:val="nil"/>
                    <w:tr2bl w:val="nil"/>
                  </w:tcBorders>
                  <w:vAlign w:val="center"/>
                </w:tcPr>
                <w:p>
                  <w:pPr>
                    <w:pStyle w:val="17"/>
                    <w:bidi w:val="0"/>
                    <w:jc w:val="center"/>
                    <w:rPr>
                      <w:rFonts w:hint="default"/>
                      <w:color w:val="auto"/>
                    </w:rPr>
                  </w:pPr>
                </w:p>
              </w:tc>
              <w:tc>
                <w:tcPr>
                  <w:tcW w:w="645" w:type="pct"/>
                  <w:vMerge w:val="continue"/>
                  <w:tcBorders>
                    <w:tl2br w:val="nil"/>
                    <w:tr2bl w:val="nil"/>
                  </w:tcBorders>
                  <w:vAlign w:val="center"/>
                </w:tcPr>
                <w:p>
                  <w:pPr>
                    <w:pStyle w:val="17"/>
                    <w:bidi w:val="0"/>
                    <w:jc w:val="center"/>
                    <w:rPr>
                      <w:rFonts w:hint="default"/>
                      <w:color w:val="auto"/>
                    </w:rPr>
                  </w:pPr>
                </w:p>
              </w:tc>
              <w:tc>
                <w:tcPr>
                  <w:tcW w:w="1183" w:type="pct"/>
                  <w:tcBorders>
                    <w:tl2br w:val="nil"/>
                    <w:tr2bl w:val="nil"/>
                  </w:tcBorders>
                  <w:vAlign w:val="center"/>
                </w:tcPr>
                <w:p>
                  <w:pPr>
                    <w:pStyle w:val="17"/>
                    <w:bidi w:val="0"/>
                    <w:jc w:val="center"/>
                    <w:rPr>
                      <w:rFonts w:hint="default"/>
                      <w:color w:val="auto"/>
                    </w:rPr>
                  </w:pPr>
                  <w:r>
                    <w:rPr>
                      <w:rFonts w:hint="default"/>
                      <w:color w:val="auto"/>
                    </w:rPr>
                    <w:t>24小时平均</w:t>
                  </w:r>
                </w:p>
              </w:tc>
              <w:tc>
                <w:tcPr>
                  <w:tcW w:w="1304" w:type="pct"/>
                  <w:tcBorders>
                    <w:tl2br w:val="nil"/>
                    <w:tr2bl w:val="nil"/>
                  </w:tcBorders>
                  <w:vAlign w:val="center"/>
                </w:tcPr>
                <w:p>
                  <w:pPr>
                    <w:pStyle w:val="17"/>
                    <w:bidi w:val="0"/>
                    <w:jc w:val="center"/>
                    <w:rPr>
                      <w:rFonts w:hint="default"/>
                      <w:color w:val="auto"/>
                    </w:rPr>
                  </w:pPr>
                  <w:r>
                    <w:rPr>
                      <w:rFonts w:hint="default"/>
                      <w:color w:val="auto"/>
                    </w:rPr>
                    <w:t>0.075</w:t>
                  </w:r>
                </w:p>
              </w:tc>
              <w:tc>
                <w:tcPr>
                  <w:tcW w:w="1480" w:type="pct"/>
                  <w:vMerge w:val="continue"/>
                  <w:tcBorders>
                    <w:tl2br w:val="nil"/>
                    <w:tr2bl w:val="nil"/>
                  </w:tcBorders>
                  <w:vAlign w:val="center"/>
                </w:tcPr>
                <w:p>
                  <w:pPr>
                    <w:pStyle w:val="17"/>
                    <w:bidi w:val="0"/>
                    <w:jc w:val="center"/>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85" w:type="pct"/>
                  <w:vMerge w:val="restart"/>
                  <w:tcBorders>
                    <w:tl2br w:val="nil"/>
                    <w:tr2bl w:val="nil"/>
                  </w:tcBorders>
                  <w:vAlign w:val="center"/>
                </w:tcPr>
                <w:p>
                  <w:pPr>
                    <w:pStyle w:val="17"/>
                    <w:bidi w:val="0"/>
                    <w:jc w:val="center"/>
                    <w:rPr>
                      <w:rFonts w:hint="default"/>
                      <w:color w:val="auto"/>
                    </w:rPr>
                  </w:pPr>
                  <w:r>
                    <w:rPr>
                      <w:rFonts w:hint="default"/>
                      <w:color w:val="auto"/>
                    </w:rPr>
                    <w:t>5</w:t>
                  </w:r>
                </w:p>
              </w:tc>
              <w:tc>
                <w:tcPr>
                  <w:tcW w:w="645" w:type="pct"/>
                  <w:vMerge w:val="restart"/>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O</w:t>
                  </w:r>
                  <w:r>
                    <w:rPr>
                      <w:rFonts w:hint="eastAsia"/>
                      <w:color w:val="auto"/>
                      <w:vertAlign w:val="subscript"/>
                      <w:lang w:eastAsia="zh-CN"/>
                    </w:rPr>
                    <w:t>3</w:t>
                  </w:r>
                </w:p>
              </w:tc>
              <w:tc>
                <w:tcPr>
                  <w:tcW w:w="1183" w:type="pct"/>
                  <w:tcBorders>
                    <w:tl2br w:val="nil"/>
                    <w:tr2bl w:val="nil"/>
                  </w:tcBorders>
                  <w:vAlign w:val="center"/>
                </w:tcPr>
                <w:p>
                  <w:pPr>
                    <w:pStyle w:val="17"/>
                    <w:bidi w:val="0"/>
                    <w:jc w:val="center"/>
                    <w:rPr>
                      <w:rFonts w:hint="default"/>
                      <w:color w:val="auto"/>
                    </w:rPr>
                  </w:pPr>
                  <w:r>
                    <w:rPr>
                      <w:rFonts w:hint="default"/>
                      <w:color w:val="auto"/>
                    </w:rPr>
                    <w:t>日最大8小时平均</w:t>
                  </w:r>
                </w:p>
              </w:tc>
              <w:tc>
                <w:tcPr>
                  <w:tcW w:w="1304" w:type="pct"/>
                  <w:tcBorders>
                    <w:tl2br w:val="nil"/>
                    <w:tr2bl w:val="nil"/>
                  </w:tcBorders>
                  <w:vAlign w:val="center"/>
                </w:tcPr>
                <w:p>
                  <w:pPr>
                    <w:pStyle w:val="17"/>
                    <w:bidi w:val="0"/>
                    <w:jc w:val="center"/>
                    <w:rPr>
                      <w:rFonts w:hint="default"/>
                      <w:color w:val="auto"/>
                    </w:rPr>
                  </w:pPr>
                  <w:r>
                    <w:rPr>
                      <w:rFonts w:hint="default"/>
                      <w:color w:val="auto"/>
                    </w:rPr>
                    <w:t>0.16</w:t>
                  </w:r>
                </w:p>
              </w:tc>
              <w:tc>
                <w:tcPr>
                  <w:tcW w:w="1480" w:type="pct"/>
                  <w:vMerge w:val="continue"/>
                  <w:tcBorders>
                    <w:tl2br w:val="nil"/>
                    <w:tr2bl w:val="nil"/>
                  </w:tcBorders>
                  <w:vAlign w:val="center"/>
                </w:tcPr>
                <w:p>
                  <w:pPr>
                    <w:pStyle w:val="17"/>
                    <w:bidi w:val="0"/>
                    <w:jc w:val="center"/>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385" w:type="pct"/>
                  <w:vMerge w:val="continue"/>
                  <w:tcBorders>
                    <w:tl2br w:val="nil"/>
                    <w:tr2bl w:val="nil"/>
                  </w:tcBorders>
                  <w:vAlign w:val="center"/>
                </w:tcPr>
                <w:p>
                  <w:pPr>
                    <w:pStyle w:val="17"/>
                    <w:bidi w:val="0"/>
                    <w:jc w:val="center"/>
                    <w:rPr>
                      <w:rFonts w:hint="default"/>
                      <w:color w:val="auto"/>
                    </w:rPr>
                  </w:pPr>
                </w:p>
              </w:tc>
              <w:tc>
                <w:tcPr>
                  <w:tcW w:w="645" w:type="pct"/>
                  <w:vMerge w:val="continue"/>
                  <w:tcBorders>
                    <w:tl2br w:val="nil"/>
                    <w:tr2bl w:val="nil"/>
                  </w:tcBorders>
                  <w:vAlign w:val="center"/>
                </w:tcPr>
                <w:p>
                  <w:pPr>
                    <w:pStyle w:val="17"/>
                    <w:bidi w:val="0"/>
                    <w:jc w:val="center"/>
                    <w:rPr>
                      <w:rFonts w:hint="default"/>
                      <w:color w:val="auto"/>
                    </w:rPr>
                  </w:pPr>
                </w:p>
              </w:tc>
              <w:tc>
                <w:tcPr>
                  <w:tcW w:w="1183" w:type="pct"/>
                  <w:tcBorders>
                    <w:tl2br w:val="nil"/>
                    <w:tr2bl w:val="nil"/>
                  </w:tcBorders>
                  <w:vAlign w:val="center"/>
                </w:tcPr>
                <w:p>
                  <w:pPr>
                    <w:pStyle w:val="17"/>
                    <w:bidi w:val="0"/>
                    <w:jc w:val="center"/>
                    <w:rPr>
                      <w:rFonts w:hint="default"/>
                      <w:color w:val="auto"/>
                    </w:rPr>
                  </w:pPr>
                  <w:r>
                    <w:rPr>
                      <w:rFonts w:hint="default"/>
                      <w:color w:val="auto"/>
                    </w:rPr>
                    <w:t>1小时平均</w:t>
                  </w:r>
                </w:p>
              </w:tc>
              <w:tc>
                <w:tcPr>
                  <w:tcW w:w="1304" w:type="pct"/>
                  <w:tcBorders>
                    <w:tl2br w:val="nil"/>
                    <w:tr2bl w:val="nil"/>
                  </w:tcBorders>
                  <w:vAlign w:val="center"/>
                </w:tcPr>
                <w:p>
                  <w:pPr>
                    <w:pStyle w:val="17"/>
                    <w:bidi w:val="0"/>
                    <w:jc w:val="center"/>
                    <w:rPr>
                      <w:rFonts w:hint="default"/>
                      <w:color w:val="auto"/>
                    </w:rPr>
                  </w:pPr>
                  <w:r>
                    <w:rPr>
                      <w:rFonts w:hint="default"/>
                      <w:color w:val="auto"/>
                    </w:rPr>
                    <w:t>0.20</w:t>
                  </w:r>
                </w:p>
              </w:tc>
              <w:tc>
                <w:tcPr>
                  <w:tcW w:w="1480" w:type="pct"/>
                  <w:vMerge w:val="continue"/>
                  <w:tcBorders>
                    <w:tl2br w:val="nil"/>
                    <w:tr2bl w:val="nil"/>
                  </w:tcBorders>
                  <w:vAlign w:val="center"/>
                </w:tcPr>
                <w:p>
                  <w:pPr>
                    <w:pStyle w:val="17"/>
                    <w:bidi w:val="0"/>
                    <w:jc w:val="center"/>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385" w:type="pct"/>
                  <w:vMerge w:val="restart"/>
                  <w:tcBorders>
                    <w:tl2br w:val="nil"/>
                    <w:tr2bl w:val="nil"/>
                  </w:tcBorders>
                  <w:vAlign w:val="center"/>
                </w:tcPr>
                <w:p>
                  <w:pPr>
                    <w:pStyle w:val="17"/>
                    <w:bidi w:val="0"/>
                    <w:jc w:val="center"/>
                    <w:rPr>
                      <w:rFonts w:hint="default"/>
                      <w:color w:val="auto"/>
                    </w:rPr>
                  </w:pPr>
                  <w:r>
                    <w:rPr>
                      <w:rFonts w:hint="default"/>
                      <w:color w:val="auto"/>
                    </w:rPr>
                    <w:t>6</w:t>
                  </w:r>
                </w:p>
              </w:tc>
              <w:tc>
                <w:tcPr>
                  <w:tcW w:w="645" w:type="pct"/>
                  <w:vMerge w:val="restart"/>
                  <w:tcBorders>
                    <w:tl2br w:val="nil"/>
                    <w:tr2bl w:val="nil"/>
                  </w:tcBorders>
                  <w:vAlign w:val="center"/>
                </w:tcPr>
                <w:p>
                  <w:pPr>
                    <w:pStyle w:val="17"/>
                    <w:bidi w:val="0"/>
                    <w:jc w:val="center"/>
                    <w:rPr>
                      <w:rFonts w:hint="default"/>
                      <w:color w:val="auto"/>
                    </w:rPr>
                  </w:pPr>
                  <w:r>
                    <w:rPr>
                      <w:rFonts w:hint="default"/>
                      <w:color w:val="auto"/>
                    </w:rPr>
                    <w:t>CO</w:t>
                  </w:r>
                </w:p>
              </w:tc>
              <w:tc>
                <w:tcPr>
                  <w:tcW w:w="1183" w:type="pct"/>
                  <w:tcBorders>
                    <w:tl2br w:val="nil"/>
                    <w:tr2bl w:val="nil"/>
                  </w:tcBorders>
                  <w:vAlign w:val="center"/>
                </w:tcPr>
                <w:p>
                  <w:pPr>
                    <w:pStyle w:val="17"/>
                    <w:bidi w:val="0"/>
                    <w:jc w:val="center"/>
                    <w:rPr>
                      <w:rFonts w:hint="default"/>
                      <w:color w:val="auto"/>
                    </w:rPr>
                  </w:pPr>
                  <w:r>
                    <w:rPr>
                      <w:rFonts w:hint="default"/>
                      <w:color w:val="auto"/>
                    </w:rPr>
                    <w:t>24小时平均</w:t>
                  </w:r>
                </w:p>
              </w:tc>
              <w:tc>
                <w:tcPr>
                  <w:tcW w:w="1304" w:type="pct"/>
                  <w:tcBorders>
                    <w:tl2br w:val="nil"/>
                    <w:tr2bl w:val="nil"/>
                  </w:tcBorders>
                  <w:vAlign w:val="center"/>
                </w:tcPr>
                <w:p>
                  <w:pPr>
                    <w:pStyle w:val="17"/>
                    <w:bidi w:val="0"/>
                    <w:jc w:val="center"/>
                    <w:rPr>
                      <w:rFonts w:hint="default"/>
                      <w:color w:val="auto"/>
                    </w:rPr>
                  </w:pPr>
                  <w:r>
                    <w:rPr>
                      <w:rFonts w:hint="default"/>
                      <w:color w:val="auto"/>
                    </w:rPr>
                    <w:t>4</w:t>
                  </w:r>
                </w:p>
              </w:tc>
              <w:tc>
                <w:tcPr>
                  <w:tcW w:w="1480" w:type="pct"/>
                  <w:vMerge w:val="continue"/>
                  <w:tcBorders>
                    <w:tl2br w:val="nil"/>
                    <w:tr2bl w:val="nil"/>
                  </w:tcBorders>
                  <w:vAlign w:val="center"/>
                </w:tcPr>
                <w:p>
                  <w:pPr>
                    <w:pStyle w:val="17"/>
                    <w:bidi w:val="0"/>
                    <w:jc w:val="center"/>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85" w:type="pct"/>
                  <w:vMerge w:val="continue"/>
                  <w:tcBorders>
                    <w:tl2br w:val="nil"/>
                    <w:tr2bl w:val="nil"/>
                  </w:tcBorders>
                  <w:vAlign w:val="center"/>
                </w:tcPr>
                <w:p>
                  <w:pPr>
                    <w:pStyle w:val="17"/>
                    <w:bidi w:val="0"/>
                    <w:jc w:val="center"/>
                    <w:rPr>
                      <w:rFonts w:hint="default"/>
                      <w:color w:val="auto"/>
                    </w:rPr>
                  </w:pPr>
                </w:p>
              </w:tc>
              <w:tc>
                <w:tcPr>
                  <w:tcW w:w="645" w:type="pct"/>
                  <w:vMerge w:val="continue"/>
                  <w:tcBorders>
                    <w:tl2br w:val="nil"/>
                    <w:tr2bl w:val="nil"/>
                  </w:tcBorders>
                  <w:vAlign w:val="center"/>
                </w:tcPr>
                <w:p>
                  <w:pPr>
                    <w:pStyle w:val="17"/>
                    <w:bidi w:val="0"/>
                    <w:jc w:val="center"/>
                    <w:rPr>
                      <w:rFonts w:hint="default"/>
                      <w:color w:val="auto"/>
                    </w:rPr>
                  </w:pPr>
                </w:p>
              </w:tc>
              <w:tc>
                <w:tcPr>
                  <w:tcW w:w="1183" w:type="pct"/>
                  <w:tcBorders>
                    <w:tl2br w:val="nil"/>
                    <w:tr2bl w:val="nil"/>
                  </w:tcBorders>
                  <w:vAlign w:val="center"/>
                </w:tcPr>
                <w:p>
                  <w:pPr>
                    <w:pStyle w:val="17"/>
                    <w:bidi w:val="0"/>
                    <w:jc w:val="center"/>
                    <w:rPr>
                      <w:rFonts w:hint="default"/>
                      <w:color w:val="auto"/>
                    </w:rPr>
                  </w:pPr>
                  <w:r>
                    <w:rPr>
                      <w:rFonts w:hint="default"/>
                      <w:color w:val="auto"/>
                    </w:rPr>
                    <w:t>1小时平均</w:t>
                  </w:r>
                </w:p>
              </w:tc>
              <w:tc>
                <w:tcPr>
                  <w:tcW w:w="1304" w:type="pct"/>
                  <w:tcBorders>
                    <w:tl2br w:val="nil"/>
                    <w:tr2bl w:val="nil"/>
                  </w:tcBorders>
                  <w:vAlign w:val="center"/>
                </w:tcPr>
                <w:p>
                  <w:pPr>
                    <w:pStyle w:val="17"/>
                    <w:bidi w:val="0"/>
                    <w:jc w:val="center"/>
                    <w:rPr>
                      <w:rFonts w:hint="default"/>
                      <w:color w:val="auto"/>
                    </w:rPr>
                  </w:pPr>
                  <w:r>
                    <w:rPr>
                      <w:rFonts w:hint="default"/>
                      <w:color w:val="auto"/>
                    </w:rPr>
                    <w:t>10</w:t>
                  </w:r>
                </w:p>
              </w:tc>
              <w:tc>
                <w:tcPr>
                  <w:tcW w:w="1480" w:type="pct"/>
                  <w:vMerge w:val="continue"/>
                  <w:tcBorders>
                    <w:tl2br w:val="nil"/>
                    <w:tr2bl w:val="nil"/>
                  </w:tcBorders>
                  <w:vAlign w:val="center"/>
                </w:tcPr>
                <w:p>
                  <w:pPr>
                    <w:pStyle w:val="17"/>
                    <w:bidi w:val="0"/>
                    <w:jc w:val="center"/>
                    <w:rPr>
                      <w:rFonts w:hint="default"/>
                      <w:color w:val="auto"/>
                    </w:rPr>
                  </w:pPr>
                </w:p>
              </w:tc>
            </w:tr>
          </w:tbl>
          <w:p>
            <w:pPr>
              <w:bidi w:val="0"/>
              <w:rPr>
                <w:rFonts w:hint="default"/>
                <w:color w:val="auto"/>
              </w:rPr>
            </w:pPr>
            <w:r>
              <w:rPr>
                <w:rFonts w:hint="default"/>
                <w:color w:val="auto"/>
              </w:rPr>
              <w:t>评价方法：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pPr>
              <w:bidi w:val="0"/>
              <w:rPr>
                <w:rFonts w:hint="default"/>
                <w:color w:val="auto"/>
              </w:rPr>
            </w:pPr>
            <w:r>
              <w:rPr>
                <w:rFonts w:hint="default"/>
                <w:color w:val="auto"/>
              </w:rPr>
              <w:t>（3）空气质量达标区判定</w:t>
            </w:r>
          </w:p>
          <w:p>
            <w:pPr>
              <w:bidi w:val="0"/>
              <w:rPr>
                <w:rFonts w:hint="default"/>
                <w:color w:val="auto"/>
              </w:rPr>
            </w:pPr>
            <w:r>
              <w:rPr>
                <w:rFonts w:hint="default"/>
                <w:color w:val="auto"/>
              </w:rPr>
              <w:t>根据202</w:t>
            </w:r>
            <w:r>
              <w:rPr>
                <w:rFonts w:hint="eastAsia"/>
                <w:color w:val="auto"/>
                <w:lang w:val="en-US" w:eastAsia="zh-CN"/>
              </w:rPr>
              <w:t>2</w:t>
            </w:r>
            <w:r>
              <w:rPr>
                <w:rFonts w:hint="default"/>
                <w:color w:val="auto"/>
              </w:rPr>
              <w:t>年</w:t>
            </w:r>
            <w:r>
              <w:rPr>
                <w:rFonts w:hint="eastAsia"/>
                <w:color w:val="auto"/>
                <w:lang w:val="en-US" w:eastAsia="zh-CN"/>
              </w:rPr>
              <w:t>霍城县生态环境局</w:t>
            </w:r>
            <w:r>
              <w:rPr>
                <w:rFonts w:hint="default"/>
                <w:color w:val="auto"/>
              </w:rPr>
              <w:t>监测站</w:t>
            </w:r>
            <w:r>
              <w:rPr>
                <w:rFonts w:hint="eastAsia"/>
                <w:color w:val="auto"/>
                <w:lang w:val="en-US" w:eastAsia="zh-CN"/>
              </w:rPr>
              <w:t>点</w:t>
            </w:r>
            <w:r>
              <w:rPr>
                <w:rFonts w:hint="default"/>
                <w:color w:val="auto"/>
              </w:rPr>
              <w:t>空气质量逐日统计结果，空气质量达标区判定结果见表</w:t>
            </w:r>
            <w:r>
              <w:rPr>
                <w:rFonts w:hint="eastAsia"/>
                <w:color w:val="auto"/>
                <w:lang w:val="en-US" w:eastAsia="zh-CN"/>
              </w:rPr>
              <w:t>1</w:t>
            </w:r>
            <w:r>
              <w:rPr>
                <w:rFonts w:hint="default"/>
                <w:color w:val="auto"/>
              </w:rPr>
              <w:t>-</w:t>
            </w:r>
            <w:r>
              <w:rPr>
                <w:rFonts w:hint="eastAsia"/>
                <w:color w:val="auto"/>
                <w:lang w:val="en-US" w:eastAsia="zh-CN"/>
              </w:rPr>
              <w:t>2</w:t>
            </w:r>
            <w:r>
              <w:rPr>
                <w:rFonts w:hint="default"/>
                <w:color w:val="auto"/>
              </w:rPr>
              <w:t>。</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rPr>
            </w:pP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rPr>
            </w:pPr>
            <w:r>
              <w:rPr>
                <w:rFonts w:hint="default"/>
                <w:color w:val="auto"/>
                <w:sz w:val="24"/>
                <w:szCs w:val="24"/>
              </w:rPr>
              <w:t>表</w:t>
            </w:r>
            <w:r>
              <w:rPr>
                <w:rFonts w:hint="eastAsia"/>
                <w:color w:val="auto"/>
                <w:sz w:val="24"/>
                <w:szCs w:val="24"/>
                <w:lang w:val="en-US" w:eastAsia="zh-CN"/>
              </w:rPr>
              <w:t>1</w:t>
            </w:r>
            <w:r>
              <w:rPr>
                <w:rFonts w:hint="default"/>
                <w:color w:val="auto"/>
                <w:sz w:val="24"/>
                <w:szCs w:val="24"/>
              </w:rPr>
              <w:t>-</w:t>
            </w:r>
            <w:r>
              <w:rPr>
                <w:rFonts w:hint="eastAsia"/>
                <w:color w:val="auto"/>
                <w:sz w:val="24"/>
                <w:szCs w:val="24"/>
                <w:lang w:val="en-US" w:eastAsia="zh-CN"/>
              </w:rPr>
              <w:t xml:space="preserve">2  </w:t>
            </w:r>
            <w:r>
              <w:rPr>
                <w:rFonts w:hint="default"/>
                <w:color w:val="auto"/>
                <w:sz w:val="24"/>
                <w:szCs w:val="24"/>
              </w:rPr>
              <w:t>区域空气质量现状评价结果一览表</w:t>
            </w:r>
          </w:p>
          <w:tbl>
            <w:tblPr>
              <w:tblStyle w:val="19"/>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16"/>
              <w:gridCol w:w="2743"/>
              <w:gridCol w:w="1038"/>
              <w:gridCol w:w="1107"/>
              <w:gridCol w:w="886"/>
              <w:gridCol w:w="107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646" w:type="pct"/>
                  <w:vMerge w:val="restart"/>
                  <w:tcBorders>
                    <w:tl2br w:val="nil"/>
                    <w:tr2bl w:val="nil"/>
                  </w:tcBorders>
                  <w:vAlign w:val="center"/>
                </w:tcPr>
                <w:p>
                  <w:pPr>
                    <w:pStyle w:val="17"/>
                    <w:bidi w:val="0"/>
                    <w:jc w:val="center"/>
                    <w:rPr>
                      <w:rFonts w:hint="default"/>
                      <w:color w:val="auto"/>
                    </w:rPr>
                  </w:pPr>
                  <w:r>
                    <w:rPr>
                      <w:rFonts w:hint="default"/>
                      <w:color w:val="auto"/>
                    </w:rPr>
                    <w:t>评价因子</w:t>
                  </w:r>
                </w:p>
              </w:tc>
              <w:tc>
                <w:tcPr>
                  <w:tcW w:w="1744" w:type="pct"/>
                  <w:vMerge w:val="restart"/>
                  <w:tcBorders>
                    <w:tl2br w:val="nil"/>
                    <w:tr2bl w:val="nil"/>
                  </w:tcBorders>
                  <w:vAlign w:val="center"/>
                </w:tcPr>
                <w:p>
                  <w:pPr>
                    <w:pStyle w:val="17"/>
                    <w:bidi w:val="0"/>
                    <w:jc w:val="center"/>
                    <w:rPr>
                      <w:rFonts w:hint="default"/>
                      <w:color w:val="auto"/>
                    </w:rPr>
                  </w:pPr>
                  <w:r>
                    <w:rPr>
                      <w:rFonts w:hint="default"/>
                      <w:color w:val="auto"/>
                    </w:rPr>
                    <w:t>年评价指标</w:t>
                  </w:r>
                </w:p>
              </w:tc>
              <w:tc>
                <w:tcPr>
                  <w:tcW w:w="660" w:type="pct"/>
                  <w:tcBorders>
                    <w:tl2br w:val="nil"/>
                    <w:tr2bl w:val="nil"/>
                  </w:tcBorders>
                  <w:vAlign w:val="center"/>
                </w:tcPr>
                <w:p>
                  <w:pPr>
                    <w:pStyle w:val="17"/>
                    <w:bidi w:val="0"/>
                    <w:jc w:val="center"/>
                    <w:rPr>
                      <w:rFonts w:hint="default"/>
                      <w:color w:val="auto"/>
                    </w:rPr>
                  </w:pPr>
                  <w:r>
                    <w:rPr>
                      <w:rFonts w:hint="default"/>
                      <w:color w:val="auto"/>
                    </w:rPr>
                    <w:t>现状浓度</w:t>
                  </w:r>
                </w:p>
              </w:tc>
              <w:tc>
                <w:tcPr>
                  <w:tcW w:w="704" w:type="pct"/>
                  <w:tcBorders>
                    <w:tl2br w:val="nil"/>
                    <w:tr2bl w:val="nil"/>
                  </w:tcBorders>
                  <w:vAlign w:val="center"/>
                </w:tcPr>
                <w:p>
                  <w:pPr>
                    <w:pStyle w:val="17"/>
                    <w:bidi w:val="0"/>
                    <w:jc w:val="center"/>
                    <w:rPr>
                      <w:rFonts w:hint="default"/>
                      <w:color w:val="auto"/>
                    </w:rPr>
                  </w:pPr>
                  <w:r>
                    <w:rPr>
                      <w:rFonts w:hint="default"/>
                      <w:color w:val="auto"/>
                    </w:rPr>
                    <w:t>标准限值</w:t>
                  </w:r>
                </w:p>
              </w:tc>
              <w:tc>
                <w:tcPr>
                  <w:tcW w:w="563" w:type="pct"/>
                  <w:vMerge w:val="restart"/>
                  <w:tcBorders>
                    <w:tl2br w:val="nil"/>
                    <w:tr2bl w:val="nil"/>
                  </w:tcBorders>
                  <w:vAlign w:val="center"/>
                </w:tcPr>
                <w:p>
                  <w:pPr>
                    <w:pStyle w:val="17"/>
                    <w:bidi w:val="0"/>
                    <w:jc w:val="center"/>
                    <w:rPr>
                      <w:rFonts w:hint="default"/>
                      <w:color w:val="auto"/>
                    </w:rPr>
                  </w:pPr>
                  <w:r>
                    <w:rPr>
                      <w:rFonts w:hint="default"/>
                      <w:color w:val="auto"/>
                    </w:rPr>
                    <w:t>占标率%</w:t>
                  </w:r>
                </w:p>
              </w:tc>
              <w:tc>
                <w:tcPr>
                  <w:tcW w:w="680" w:type="pct"/>
                  <w:vMerge w:val="restart"/>
                  <w:tcBorders>
                    <w:tl2br w:val="nil"/>
                    <w:tr2bl w:val="nil"/>
                  </w:tcBorders>
                  <w:vAlign w:val="center"/>
                </w:tcPr>
                <w:p>
                  <w:pPr>
                    <w:pStyle w:val="17"/>
                    <w:bidi w:val="0"/>
                    <w:jc w:val="center"/>
                    <w:rPr>
                      <w:rFonts w:hint="default"/>
                      <w:color w:val="auto"/>
                    </w:rPr>
                  </w:pPr>
                  <w:r>
                    <w:rPr>
                      <w:rFonts w:hint="default"/>
                      <w:color w:val="auto"/>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646" w:type="pct"/>
                  <w:vMerge w:val="continue"/>
                  <w:tcBorders>
                    <w:tl2br w:val="nil"/>
                    <w:tr2bl w:val="nil"/>
                  </w:tcBorders>
                  <w:vAlign w:val="center"/>
                </w:tcPr>
                <w:p>
                  <w:pPr>
                    <w:pStyle w:val="17"/>
                    <w:bidi w:val="0"/>
                    <w:jc w:val="center"/>
                    <w:rPr>
                      <w:rFonts w:hint="default"/>
                      <w:color w:val="auto"/>
                    </w:rPr>
                  </w:pPr>
                </w:p>
              </w:tc>
              <w:tc>
                <w:tcPr>
                  <w:tcW w:w="1744" w:type="pct"/>
                  <w:vMerge w:val="continue"/>
                  <w:tcBorders>
                    <w:tl2br w:val="nil"/>
                    <w:tr2bl w:val="nil"/>
                  </w:tcBorders>
                  <w:vAlign w:val="center"/>
                </w:tcPr>
                <w:p>
                  <w:pPr>
                    <w:pStyle w:val="17"/>
                    <w:bidi w:val="0"/>
                    <w:jc w:val="center"/>
                    <w:rPr>
                      <w:rFonts w:hint="default"/>
                      <w:color w:val="auto"/>
                    </w:rPr>
                  </w:pPr>
                </w:p>
              </w:tc>
              <w:tc>
                <w:tcPr>
                  <w:tcW w:w="660" w:type="pct"/>
                  <w:tcBorders>
                    <w:tl2br w:val="nil"/>
                    <w:tr2bl w:val="nil"/>
                  </w:tcBorders>
                  <w:vAlign w:val="center"/>
                </w:tcPr>
                <w:p>
                  <w:pPr>
                    <w:pStyle w:val="17"/>
                    <w:bidi w:val="0"/>
                    <w:jc w:val="center"/>
                    <w:rPr>
                      <w:rFonts w:hint="default"/>
                      <w:color w:val="auto"/>
                    </w:rPr>
                  </w:pPr>
                  <w:r>
                    <w:rPr>
                      <w:rFonts w:hint="eastAsia"/>
                      <w:color w:val="auto"/>
                      <w:lang w:eastAsia="zh-CN"/>
                    </w:rPr>
                    <w:t>（</w:t>
                  </w:r>
                  <w:r>
                    <w:rPr>
                      <w:rFonts w:hint="eastAsia"/>
                      <w:color w:val="auto"/>
                      <w:lang w:val="en-US" w:eastAsia="zh-CN"/>
                    </w:rPr>
                    <w:t>m</w:t>
                  </w:r>
                  <w:r>
                    <w:rPr>
                      <w:rFonts w:hint="default"/>
                      <w:color w:val="auto"/>
                    </w:rPr>
                    <w:t>g/</w:t>
                  </w:r>
                  <w:r>
                    <w:rPr>
                      <w:rFonts w:hint="eastAsia"/>
                      <w:color w:val="auto"/>
                      <w:lang w:eastAsia="zh-CN"/>
                    </w:rPr>
                    <w:t>m</w:t>
                  </w:r>
                  <w:r>
                    <w:rPr>
                      <w:rFonts w:hint="eastAsia"/>
                      <w:color w:val="auto"/>
                      <w:vertAlign w:val="superscript"/>
                      <w:lang w:eastAsia="zh-CN"/>
                    </w:rPr>
                    <w:t>3</w:t>
                  </w:r>
                  <w:r>
                    <w:rPr>
                      <w:rFonts w:hint="default"/>
                      <w:color w:val="auto"/>
                    </w:rPr>
                    <w:t>）</w:t>
                  </w:r>
                </w:p>
              </w:tc>
              <w:tc>
                <w:tcPr>
                  <w:tcW w:w="704" w:type="pct"/>
                  <w:tcBorders>
                    <w:tl2br w:val="nil"/>
                    <w:tr2bl w:val="nil"/>
                  </w:tcBorders>
                  <w:vAlign w:val="center"/>
                </w:tcPr>
                <w:p>
                  <w:pPr>
                    <w:pStyle w:val="17"/>
                    <w:bidi w:val="0"/>
                    <w:jc w:val="center"/>
                    <w:rPr>
                      <w:rFonts w:hint="default"/>
                      <w:color w:val="auto"/>
                    </w:rPr>
                  </w:pPr>
                  <w:r>
                    <w:rPr>
                      <w:rFonts w:hint="eastAsia"/>
                      <w:color w:val="auto"/>
                      <w:lang w:eastAsia="zh-CN"/>
                    </w:rPr>
                    <w:t>（</w:t>
                  </w:r>
                  <w:r>
                    <w:rPr>
                      <w:rFonts w:hint="eastAsia"/>
                      <w:color w:val="auto"/>
                      <w:lang w:val="en-US" w:eastAsia="zh-CN"/>
                    </w:rPr>
                    <w:t>m</w:t>
                  </w:r>
                  <w:r>
                    <w:rPr>
                      <w:rFonts w:hint="default"/>
                      <w:color w:val="auto"/>
                    </w:rPr>
                    <w:t>g/</w:t>
                  </w:r>
                  <w:r>
                    <w:rPr>
                      <w:rFonts w:hint="eastAsia"/>
                      <w:color w:val="auto"/>
                      <w:lang w:eastAsia="zh-CN"/>
                    </w:rPr>
                    <w:t>m</w:t>
                  </w:r>
                  <w:r>
                    <w:rPr>
                      <w:rFonts w:hint="eastAsia"/>
                      <w:color w:val="auto"/>
                      <w:vertAlign w:val="superscript"/>
                      <w:lang w:eastAsia="zh-CN"/>
                    </w:rPr>
                    <w:t>3</w:t>
                  </w:r>
                  <w:r>
                    <w:rPr>
                      <w:rFonts w:hint="default"/>
                      <w:color w:val="auto"/>
                    </w:rPr>
                    <w:t>）</w:t>
                  </w:r>
                </w:p>
              </w:tc>
              <w:tc>
                <w:tcPr>
                  <w:tcW w:w="563" w:type="pct"/>
                  <w:vMerge w:val="continue"/>
                  <w:tcBorders>
                    <w:tl2br w:val="nil"/>
                    <w:tr2bl w:val="nil"/>
                  </w:tcBorders>
                  <w:vAlign w:val="center"/>
                </w:tcPr>
                <w:p>
                  <w:pPr>
                    <w:pStyle w:val="17"/>
                    <w:bidi w:val="0"/>
                    <w:jc w:val="center"/>
                    <w:rPr>
                      <w:rFonts w:hint="default"/>
                      <w:color w:val="auto"/>
                    </w:rPr>
                  </w:pPr>
                </w:p>
              </w:tc>
              <w:tc>
                <w:tcPr>
                  <w:tcW w:w="680" w:type="pct"/>
                  <w:vMerge w:val="continue"/>
                  <w:tcBorders>
                    <w:tl2br w:val="nil"/>
                    <w:tr2bl w:val="nil"/>
                  </w:tcBorders>
                  <w:vAlign w:val="center"/>
                </w:tcPr>
                <w:p>
                  <w:pPr>
                    <w:pStyle w:val="17"/>
                    <w:bidi w:val="0"/>
                    <w:jc w:val="center"/>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46" w:type="pct"/>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PM</w:t>
                  </w:r>
                  <w:r>
                    <w:rPr>
                      <w:rFonts w:hint="eastAsia"/>
                      <w:color w:val="auto"/>
                      <w:vertAlign w:val="subscript"/>
                      <w:lang w:eastAsia="zh-CN"/>
                    </w:rPr>
                    <w:t>10</w:t>
                  </w:r>
                </w:p>
              </w:tc>
              <w:tc>
                <w:tcPr>
                  <w:tcW w:w="1744" w:type="pct"/>
                  <w:tcBorders>
                    <w:tl2br w:val="nil"/>
                    <w:tr2bl w:val="nil"/>
                  </w:tcBorders>
                  <w:vAlign w:val="center"/>
                </w:tcPr>
                <w:p>
                  <w:pPr>
                    <w:pStyle w:val="17"/>
                    <w:bidi w:val="0"/>
                    <w:jc w:val="center"/>
                    <w:rPr>
                      <w:rFonts w:hint="default"/>
                      <w:color w:val="auto"/>
                    </w:rPr>
                  </w:pPr>
                  <w:r>
                    <w:rPr>
                      <w:rFonts w:hint="default"/>
                      <w:color w:val="auto"/>
                    </w:rPr>
                    <w:t>年平均</w:t>
                  </w:r>
                </w:p>
              </w:tc>
              <w:tc>
                <w:tcPr>
                  <w:tcW w:w="660"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0.045</w:t>
                  </w:r>
                </w:p>
              </w:tc>
              <w:tc>
                <w:tcPr>
                  <w:tcW w:w="704"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0.07</w:t>
                  </w:r>
                </w:p>
              </w:tc>
              <w:tc>
                <w:tcPr>
                  <w:tcW w:w="563"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64.3</w:t>
                  </w:r>
                </w:p>
              </w:tc>
              <w:tc>
                <w:tcPr>
                  <w:tcW w:w="680" w:type="pct"/>
                  <w:tcBorders>
                    <w:tl2br w:val="nil"/>
                    <w:tr2bl w:val="nil"/>
                  </w:tcBorders>
                  <w:vAlign w:val="center"/>
                </w:tcPr>
                <w:p>
                  <w:pPr>
                    <w:pStyle w:val="17"/>
                    <w:bidi w:val="0"/>
                    <w:jc w:val="center"/>
                    <w:rPr>
                      <w:rFonts w:hint="default"/>
                      <w:color w:val="auto"/>
                    </w:rPr>
                  </w:pPr>
                  <w:r>
                    <w:rPr>
                      <w:rFonts w:hint="default"/>
                      <w:color w:val="auto"/>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646" w:type="pct"/>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PM</w:t>
                  </w:r>
                  <w:r>
                    <w:rPr>
                      <w:rFonts w:hint="eastAsia"/>
                      <w:color w:val="auto"/>
                      <w:vertAlign w:val="subscript"/>
                      <w:lang w:eastAsia="zh-CN"/>
                    </w:rPr>
                    <w:t>2.5</w:t>
                  </w:r>
                </w:p>
              </w:tc>
              <w:tc>
                <w:tcPr>
                  <w:tcW w:w="1744" w:type="pct"/>
                  <w:tcBorders>
                    <w:tl2br w:val="nil"/>
                    <w:tr2bl w:val="nil"/>
                  </w:tcBorders>
                  <w:vAlign w:val="center"/>
                </w:tcPr>
                <w:p>
                  <w:pPr>
                    <w:pStyle w:val="17"/>
                    <w:bidi w:val="0"/>
                    <w:jc w:val="center"/>
                    <w:rPr>
                      <w:rFonts w:hint="default"/>
                      <w:color w:val="auto"/>
                    </w:rPr>
                  </w:pPr>
                  <w:r>
                    <w:rPr>
                      <w:rFonts w:hint="default"/>
                      <w:color w:val="auto"/>
                    </w:rPr>
                    <w:t>年平均</w:t>
                  </w:r>
                </w:p>
              </w:tc>
              <w:tc>
                <w:tcPr>
                  <w:tcW w:w="660"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0.023</w:t>
                  </w:r>
                </w:p>
              </w:tc>
              <w:tc>
                <w:tcPr>
                  <w:tcW w:w="704"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0.035</w:t>
                  </w:r>
                </w:p>
              </w:tc>
              <w:tc>
                <w:tcPr>
                  <w:tcW w:w="563"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65.7</w:t>
                  </w:r>
                </w:p>
              </w:tc>
              <w:tc>
                <w:tcPr>
                  <w:tcW w:w="680" w:type="pct"/>
                  <w:tcBorders>
                    <w:tl2br w:val="nil"/>
                    <w:tr2bl w:val="nil"/>
                  </w:tcBorders>
                  <w:vAlign w:val="center"/>
                </w:tcPr>
                <w:p>
                  <w:pPr>
                    <w:pStyle w:val="17"/>
                    <w:bidi w:val="0"/>
                    <w:jc w:val="center"/>
                    <w:rPr>
                      <w:rFonts w:hint="default"/>
                      <w:color w:val="auto"/>
                    </w:rPr>
                  </w:pPr>
                  <w:r>
                    <w:rPr>
                      <w:rFonts w:hint="default"/>
                      <w:color w:val="auto"/>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646" w:type="pct"/>
                  <w:tcBorders>
                    <w:tl2br w:val="nil"/>
                    <w:tr2bl w:val="nil"/>
                  </w:tcBorders>
                  <w:vAlign w:val="center"/>
                </w:tcPr>
                <w:p>
                  <w:pPr>
                    <w:pStyle w:val="17"/>
                    <w:bidi w:val="0"/>
                    <w:jc w:val="center"/>
                    <w:rPr>
                      <w:rFonts w:hint="default"/>
                      <w:color w:val="auto"/>
                    </w:rPr>
                  </w:pPr>
                  <w:r>
                    <w:rPr>
                      <w:rFonts w:hint="eastAsia"/>
                      <w:color w:val="auto"/>
                      <w:lang w:eastAsia="zh-CN"/>
                    </w:rPr>
                    <w:t>SO</w:t>
                  </w:r>
                  <w:r>
                    <w:rPr>
                      <w:rFonts w:hint="eastAsia"/>
                      <w:color w:val="auto"/>
                      <w:vertAlign w:val="subscript"/>
                      <w:lang w:eastAsia="zh-CN"/>
                    </w:rPr>
                    <w:t>2</w:t>
                  </w:r>
                </w:p>
              </w:tc>
              <w:tc>
                <w:tcPr>
                  <w:tcW w:w="1744" w:type="pct"/>
                  <w:tcBorders>
                    <w:tl2br w:val="nil"/>
                    <w:tr2bl w:val="nil"/>
                  </w:tcBorders>
                  <w:vAlign w:val="center"/>
                </w:tcPr>
                <w:p>
                  <w:pPr>
                    <w:pStyle w:val="17"/>
                    <w:bidi w:val="0"/>
                    <w:jc w:val="center"/>
                    <w:rPr>
                      <w:rFonts w:hint="default"/>
                      <w:color w:val="auto"/>
                    </w:rPr>
                  </w:pPr>
                  <w:r>
                    <w:rPr>
                      <w:rFonts w:hint="default"/>
                      <w:color w:val="auto"/>
                    </w:rPr>
                    <w:t>年平均</w:t>
                  </w:r>
                </w:p>
              </w:tc>
              <w:tc>
                <w:tcPr>
                  <w:tcW w:w="660"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0.008</w:t>
                  </w:r>
                </w:p>
              </w:tc>
              <w:tc>
                <w:tcPr>
                  <w:tcW w:w="704" w:type="pct"/>
                  <w:tcBorders>
                    <w:tl2br w:val="nil"/>
                    <w:tr2bl w:val="nil"/>
                  </w:tcBorders>
                  <w:vAlign w:val="center"/>
                </w:tcPr>
                <w:p>
                  <w:pPr>
                    <w:pStyle w:val="17"/>
                    <w:bidi w:val="0"/>
                    <w:jc w:val="center"/>
                    <w:rPr>
                      <w:rFonts w:hint="default"/>
                      <w:color w:val="auto"/>
                    </w:rPr>
                  </w:pPr>
                  <w:r>
                    <w:rPr>
                      <w:rFonts w:hint="default"/>
                      <w:color w:val="auto"/>
                    </w:rPr>
                    <w:t>0.06</w:t>
                  </w:r>
                </w:p>
              </w:tc>
              <w:tc>
                <w:tcPr>
                  <w:tcW w:w="563"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13.3</w:t>
                  </w:r>
                </w:p>
              </w:tc>
              <w:tc>
                <w:tcPr>
                  <w:tcW w:w="680" w:type="pct"/>
                  <w:tcBorders>
                    <w:tl2br w:val="nil"/>
                    <w:tr2bl w:val="nil"/>
                  </w:tcBorders>
                  <w:vAlign w:val="center"/>
                </w:tcPr>
                <w:p>
                  <w:pPr>
                    <w:pStyle w:val="17"/>
                    <w:bidi w:val="0"/>
                    <w:jc w:val="center"/>
                    <w:rPr>
                      <w:rFonts w:hint="default"/>
                      <w:color w:val="auto"/>
                    </w:rPr>
                  </w:pPr>
                  <w:r>
                    <w:rPr>
                      <w:rFonts w:hint="default"/>
                      <w:color w:val="auto"/>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46" w:type="pct"/>
                  <w:tcBorders>
                    <w:tl2br w:val="nil"/>
                    <w:tr2bl w:val="nil"/>
                  </w:tcBorders>
                  <w:vAlign w:val="center"/>
                </w:tcPr>
                <w:p>
                  <w:pPr>
                    <w:pStyle w:val="17"/>
                    <w:bidi w:val="0"/>
                    <w:jc w:val="center"/>
                    <w:rPr>
                      <w:rFonts w:hint="default"/>
                      <w:color w:val="auto"/>
                    </w:rPr>
                  </w:pPr>
                  <w:r>
                    <w:rPr>
                      <w:rFonts w:hint="eastAsia"/>
                      <w:color w:val="auto"/>
                      <w:lang w:eastAsia="zh-CN"/>
                    </w:rPr>
                    <w:t>NO</w:t>
                  </w:r>
                  <w:r>
                    <w:rPr>
                      <w:rFonts w:hint="eastAsia"/>
                      <w:color w:val="auto"/>
                      <w:vertAlign w:val="subscript"/>
                      <w:lang w:eastAsia="zh-CN"/>
                    </w:rPr>
                    <w:t>2</w:t>
                  </w:r>
                </w:p>
              </w:tc>
              <w:tc>
                <w:tcPr>
                  <w:tcW w:w="1744" w:type="pct"/>
                  <w:tcBorders>
                    <w:tl2br w:val="nil"/>
                    <w:tr2bl w:val="nil"/>
                  </w:tcBorders>
                  <w:vAlign w:val="center"/>
                </w:tcPr>
                <w:p>
                  <w:pPr>
                    <w:pStyle w:val="17"/>
                    <w:bidi w:val="0"/>
                    <w:jc w:val="center"/>
                    <w:rPr>
                      <w:rFonts w:hint="default"/>
                      <w:color w:val="auto"/>
                    </w:rPr>
                  </w:pPr>
                  <w:r>
                    <w:rPr>
                      <w:rFonts w:hint="default"/>
                      <w:color w:val="auto"/>
                    </w:rPr>
                    <w:t>年平均</w:t>
                  </w:r>
                </w:p>
              </w:tc>
              <w:tc>
                <w:tcPr>
                  <w:tcW w:w="660"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0.011</w:t>
                  </w:r>
                </w:p>
              </w:tc>
              <w:tc>
                <w:tcPr>
                  <w:tcW w:w="704" w:type="pct"/>
                  <w:tcBorders>
                    <w:tl2br w:val="nil"/>
                    <w:tr2bl w:val="nil"/>
                  </w:tcBorders>
                  <w:vAlign w:val="center"/>
                </w:tcPr>
                <w:p>
                  <w:pPr>
                    <w:pStyle w:val="17"/>
                    <w:bidi w:val="0"/>
                    <w:jc w:val="center"/>
                    <w:rPr>
                      <w:rFonts w:hint="default"/>
                      <w:color w:val="auto"/>
                    </w:rPr>
                  </w:pPr>
                  <w:r>
                    <w:rPr>
                      <w:rFonts w:hint="default"/>
                      <w:color w:val="auto"/>
                    </w:rPr>
                    <w:t>0.04</w:t>
                  </w:r>
                </w:p>
              </w:tc>
              <w:tc>
                <w:tcPr>
                  <w:tcW w:w="563"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27.5</w:t>
                  </w:r>
                </w:p>
              </w:tc>
              <w:tc>
                <w:tcPr>
                  <w:tcW w:w="680" w:type="pct"/>
                  <w:tcBorders>
                    <w:tl2br w:val="nil"/>
                    <w:tr2bl w:val="nil"/>
                  </w:tcBorders>
                  <w:vAlign w:val="center"/>
                </w:tcPr>
                <w:p>
                  <w:pPr>
                    <w:pStyle w:val="17"/>
                    <w:bidi w:val="0"/>
                    <w:jc w:val="center"/>
                    <w:rPr>
                      <w:rFonts w:hint="default"/>
                      <w:color w:val="auto"/>
                    </w:rPr>
                  </w:pPr>
                  <w:r>
                    <w:rPr>
                      <w:rFonts w:hint="default"/>
                      <w:color w:val="auto"/>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3" w:hRule="atLeast"/>
              </w:trPr>
              <w:tc>
                <w:tcPr>
                  <w:tcW w:w="646" w:type="pct"/>
                  <w:tcBorders>
                    <w:tl2br w:val="nil"/>
                    <w:tr2bl w:val="nil"/>
                  </w:tcBorders>
                  <w:vAlign w:val="center"/>
                </w:tcPr>
                <w:p>
                  <w:pPr>
                    <w:pStyle w:val="17"/>
                    <w:bidi w:val="0"/>
                    <w:jc w:val="center"/>
                    <w:rPr>
                      <w:rFonts w:hint="eastAsia" w:eastAsia="宋体"/>
                      <w:color w:val="auto"/>
                      <w:lang w:eastAsia="zh-CN"/>
                    </w:rPr>
                  </w:pPr>
                  <w:r>
                    <w:rPr>
                      <w:rFonts w:hint="default"/>
                      <w:color w:val="auto"/>
                    </w:rPr>
                    <w:t>CO</w:t>
                  </w:r>
                </w:p>
              </w:tc>
              <w:tc>
                <w:tcPr>
                  <w:tcW w:w="1744" w:type="pct"/>
                  <w:tcBorders>
                    <w:tl2br w:val="nil"/>
                    <w:tr2bl w:val="nil"/>
                  </w:tcBorders>
                  <w:vAlign w:val="center"/>
                </w:tcPr>
                <w:p>
                  <w:pPr>
                    <w:pStyle w:val="17"/>
                    <w:bidi w:val="0"/>
                    <w:jc w:val="center"/>
                    <w:rPr>
                      <w:rFonts w:hint="default"/>
                      <w:color w:val="auto"/>
                    </w:rPr>
                  </w:pPr>
                  <w:r>
                    <w:rPr>
                      <w:rFonts w:hint="default"/>
                      <w:color w:val="auto"/>
                    </w:rPr>
                    <w:t>24h的第95百分位数</w:t>
                  </w:r>
                </w:p>
              </w:tc>
              <w:tc>
                <w:tcPr>
                  <w:tcW w:w="660"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0.001</w:t>
                  </w:r>
                </w:p>
              </w:tc>
              <w:tc>
                <w:tcPr>
                  <w:tcW w:w="704" w:type="pct"/>
                  <w:tcBorders>
                    <w:tl2br w:val="nil"/>
                    <w:tr2bl w:val="nil"/>
                  </w:tcBorders>
                  <w:vAlign w:val="center"/>
                </w:tcPr>
                <w:p>
                  <w:pPr>
                    <w:pStyle w:val="17"/>
                    <w:bidi w:val="0"/>
                    <w:jc w:val="center"/>
                    <w:rPr>
                      <w:rFonts w:hint="default"/>
                      <w:color w:val="auto"/>
                    </w:rPr>
                  </w:pPr>
                  <w:r>
                    <w:rPr>
                      <w:rFonts w:hint="default"/>
                      <w:color w:val="auto"/>
                    </w:rPr>
                    <w:t>4</w:t>
                  </w:r>
                </w:p>
              </w:tc>
              <w:tc>
                <w:tcPr>
                  <w:tcW w:w="563"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0.025</w:t>
                  </w:r>
                </w:p>
              </w:tc>
              <w:tc>
                <w:tcPr>
                  <w:tcW w:w="680" w:type="pct"/>
                  <w:tcBorders>
                    <w:tl2br w:val="nil"/>
                    <w:tr2bl w:val="nil"/>
                  </w:tcBorders>
                  <w:vAlign w:val="center"/>
                </w:tcPr>
                <w:p>
                  <w:pPr>
                    <w:pStyle w:val="17"/>
                    <w:bidi w:val="0"/>
                    <w:jc w:val="center"/>
                    <w:rPr>
                      <w:rFonts w:hint="default"/>
                      <w:color w:val="auto"/>
                    </w:rPr>
                  </w:pPr>
                  <w:r>
                    <w:rPr>
                      <w:rFonts w:hint="default"/>
                      <w:color w:val="auto"/>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646" w:type="pct"/>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O</w:t>
                  </w:r>
                  <w:r>
                    <w:rPr>
                      <w:rFonts w:hint="eastAsia"/>
                      <w:color w:val="auto"/>
                      <w:vertAlign w:val="subscript"/>
                      <w:lang w:eastAsia="zh-CN"/>
                    </w:rPr>
                    <w:t>3</w:t>
                  </w:r>
                </w:p>
              </w:tc>
              <w:tc>
                <w:tcPr>
                  <w:tcW w:w="1744" w:type="pct"/>
                  <w:tcBorders>
                    <w:tl2br w:val="nil"/>
                    <w:tr2bl w:val="nil"/>
                  </w:tcBorders>
                  <w:vAlign w:val="center"/>
                </w:tcPr>
                <w:p>
                  <w:pPr>
                    <w:pStyle w:val="17"/>
                    <w:bidi w:val="0"/>
                    <w:jc w:val="center"/>
                    <w:rPr>
                      <w:rFonts w:hint="default"/>
                      <w:color w:val="auto"/>
                    </w:rPr>
                  </w:pPr>
                  <w:r>
                    <w:rPr>
                      <w:rFonts w:hint="default"/>
                      <w:color w:val="auto"/>
                    </w:rPr>
                    <w:t>8h平均值的第90百分位数</w:t>
                  </w:r>
                </w:p>
              </w:tc>
              <w:tc>
                <w:tcPr>
                  <w:tcW w:w="660"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0.085</w:t>
                  </w:r>
                </w:p>
              </w:tc>
              <w:tc>
                <w:tcPr>
                  <w:tcW w:w="704" w:type="pct"/>
                  <w:tcBorders>
                    <w:tl2br w:val="nil"/>
                    <w:tr2bl w:val="nil"/>
                  </w:tcBorders>
                  <w:vAlign w:val="center"/>
                </w:tcPr>
                <w:p>
                  <w:pPr>
                    <w:pStyle w:val="17"/>
                    <w:bidi w:val="0"/>
                    <w:jc w:val="center"/>
                    <w:rPr>
                      <w:rFonts w:hint="eastAsia" w:eastAsia="宋体"/>
                      <w:color w:val="auto"/>
                      <w:lang w:val="en-US" w:eastAsia="zh-CN"/>
                    </w:rPr>
                  </w:pPr>
                  <w:r>
                    <w:rPr>
                      <w:rFonts w:hint="default"/>
                      <w:color w:val="auto"/>
                    </w:rPr>
                    <w:t>0.16</w:t>
                  </w:r>
                  <w:r>
                    <w:rPr>
                      <w:rFonts w:hint="eastAsia"/>
                      <w:color w:val="auto"/>
                      <w:lang w:val="en-US" w:eastAsia="zh-CN"/>
                    </w:rPr>
                    <w:t>0</w:t>
                  </w:r>
                </w:p>
              </w:tc>
              <w:tc>
                <w:tcPr>
                  <w:tcW w:w="563"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53.1</w:t>
                  </w:r>
                </w:p>
              </w:tc>
              <w:tc>
                <w:tcPr>
                  <w:tcW w:w="680" w:type="pct"/>
                  <w:tcBorders>
                    <w:tl2br w:val="nil"/>
                    <w:tr2bl w:val="nil"/>
                  </w:tcBorders>
                  <w:vAlign w:val="center"/>
                </w:tcPr>
                <w:p>
                  <w:pPr>
                    <w:pStyle w:val="17"/>
                    <w:bidi w:val="0"/>
                    <w:jc w:val="center"/>
                    <w:rPr>
                      <w:rFonts w:hint="default"/>
                      <w:color w:val="auto"/>
                    </w:rPr>
                  </w:pPr>
                  <w:r>
                    <w:rPr>
                      <w:rFonts w:hint="default"/>
                      <w:color w:val="auto"/>
                    </w:rPr>
                    <w:t>达标</w:t>
                  </w:r>
                </w:p>
              </w:tc>
            </w:tr>
          </w:tbl>
          <w:p>
            <w:pPr>
              <w:bidi w:val="0"/>
              <w:rPr>
                <w:rFonts w:hint="default" w:ascii="Times New Roman" w:hAnsi="Times New Roman" w:eastAsia="宋体" w:cs="Times New Roman"/>
                <w:color w:val="auto"/>
              </w:rPr>
            </w:pPr>
            <w:r>
              <w:rPr>
                <w:rFonts w:hint="eastAsia" w:ascii="Times New Roman" w:hAnsi="Times New Roman" w:eastAsia="宋体" w:cs="Times New Roman"/>
                <w:color w:val="auto"/>
                <w:highlight w:val="none"/>
                <w:lang w:val="en-US" w:eastAsia="zh-CN"/>
              </w:rPr>
              <w:t>项目选址区域环境空气中</w:t>
            </w:r>
            <w:r>
              <w:rPr>
                <w:rFonts w:hint="eastAsia" w:cs="Times New Roman"/>
                <w:color w:val="auto"/>
                <w:highlight w:val="none"/>
                <w:lang w:val="en-US" w:eastAsia="zh-CN"/>
              </w:rPr>
              <w:t>SO</w:t>
            </w:r>
            <w:r>
              <w:rPr>
                <w:rFonts w:hint="eastAsia" w:cs="Times New Roman"/>
                <w:color w:val="auto"/>
                <w:highlight w:val="none"/>
                <w:vertAlign w:val="subscript"/>
                <w:lang w:val="en-US" w:eastAsia="zh-CN"/>
              </w:rPr>
              <w:t>2</w:t>
            </w:r>
            <w:r>
              <w:rPr>
                <w:rFonts w:hint="eastAsia" w:cs="Times New Roman"/>
                <w:color w:val="auto"/>
                <w:highlight w:val="none"/>
                <w:lang w:val="en-US" w:eastAsia="zh-CN"/>
              </w:rPr>
              <w:t>、NO</w:t>
            </w:r>
            <w:r>
              <w:rPr>
                <w:rFonts w:hint="eastAsia" w:cs="Times New Roman"/>
                <w:color w:val="auto"/>
                <w:highlight w:val="none"/>
                <w:vertAlign w:val="subscript"/>
                <w:lang w:val="en-US" w:eastAsia="zh-CN"/>
              </w:rPr>
              <w:t>2</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PM</w:t>
            </w:r>
            <w:r>
              <w:rPr>
                <w:rFonts w:hint="default" w:ascii="Times New Roman" w:hAnsi="Times New Roman" w:eastAsia="宋体" w:cs="Times New Roman"/>
                <w:color w:val="auto"/>
                <w:highlight w:val="none"/>
                <w:vertAlign w:val="subscript"/>
                <w:lang w:val="en-US" w:eastAsia="zh-CN"/>
              </w:rPr>
              <w:t>2.5</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PM</w:t>
            </w:r>
            <w:r>
              <w:rPr>
                <w:rFonts w:hint="default" w:ascii="Times New Roman" w:hAnsi="Times New Roman" w:eastAsia="宋体" w:cs="Times New Roman"/>
                <w:color w:val="auto"/>
                <w:highlight w:val="none"/>
                <w:vertAlign w:val="subscript"/>
                <w:lang w:val="en-US" w:eastAsia="zh-CN"/>
              </w:rPr>
              <w:t>10</w:t>
            </w:r>
            <w:r>
              <w:rPr>
                <w:rFonts w:hint="eastAsia" w:ascii="Times New Roman" w:hAnsi="Times New Roman" w:eastAsia="宋体" w:cs="Times New Roman"/>
                <w:color w:val="auto"/>
                <w:highlight w:val="none"/>
                <w:lang w:val="en-US" w:eastAsia="zh-CN"/>
              </w:rPr>
              <w:t>年平均</w:t>
            </w:r>
            <w:r>
              <w:rPr>
                <w:rFonts w:hint="eastAsia" w:cs="Times New Roman"/>
                <w:color w:val="auto"/>
                <w:highlight w:val="none"/>
                <w:lang w:val="en-US" w:eastAsia="zh-CN"/>
              </w:rPr>
              <w:t>，CO的95百分位24小时平均、O</w:t>
            </w:r>
            <w:r>
              <w:rPr>
                <w:rFonts w:hint="eastAsia" w:cs="Times New Roman"/>
                <w:color w:val="auto"/>
                <w:highlight w:val="none"/>
                <w:vertAlign w:val="subscript"/>
                <w:lang w:val="en-US" w:eastAsia="zh-CN"/>
              </w:rPr>
              <w:t>3</w:t>
            </w:r>
            <w:r>
              <w:rPr>
                <w:rFonts w:hint="eastAsia" w:cs="Times New Roman"/>
                <w:color w:val="auto"/>
                <w:highlight w:val="none"/>
                <w:lang w:val="en-US" w:eastAsia="zh-CN"/>
              </w:rPr>
              <w:t>的90百分位8小时平均</w:t>
            </w:r>
            <w:r>
              <w:rPr>
                <w:rFonts w:hint="eastAsia" w:ascii="Times New Roman" w:hAnsi="Times New Roman" w:eastAsia="宋体" w:cs="Times New Roman"/>
                <w:color w:val="auto"/>
                <w:highlight w:val="none"/>
                <w:lang w:val="en-US" w:eastAsia="zh-CN"/>
              </w:rPr>
              <w:t>浓度</w:t>
            </w:r>
            <w:r>
              <w:rPr>
                <w:rFonts w:hint="eastAsia" w:cs="Times New Roman"/>
                <w:color w:val="auto"/>
                <w:highlight w:val="none"/>
                <w:lang w:val="en-US" w:eastAsia="zh-CN"/>
              </w:rPr>
              <w:t>值</w:t>
            </w:r>
            <w:r>
              <w:rPr>
                <w:rFonts w:hint="eastAsia" w:ascii="Times New Roman" w:hAnsi="Times New Roman" w:eastAsia="宋体" w:cs="Times New Roman"/>
                <w:color w:val="auto"/>
                <w:highlight w:val="none"/>
                <w:lang w:val="en-US" w:eastAsia="zh-CN"/>
              </w:rPr>
              <w:t>均</w:t>
            </w:r>
            <w:r>
              <w:rPr>
                <w:rFonts w:hint="eastAsia" w:cs="Times New Roman"/>
                <w:color w:val="auto"/>
                <w:highlight w:val="none"/>
                <w:lang w:val="en-US" w:eastAsia="zh-CN"/>
              </w:rPr>
              <w:t>满足</w:t>
            </w:r>
            <w:r>
              <w:rPr>
                <w:rFonts w:hint="eastAsia" w:ascii="Times New Roman" w:hAnsi="Times New Roman" w:eastAsia="宋体" w:cs="Times New Roman"/>
                <w:color w:val="auto"/>
                <w:highlight w:val="none"/>
                <w:lang w:val="en-US" w:eastAsia="zh-CN"/>
              </w:rPr>
              <w:t>《环境空气质量标准》（</w:t>
            </w:r>
            <w:r>
              <w:rPr>
                <w:rFonts w:hint="default" w:ascii="Times New Roman" w:hAnsi="Times New Roman" w:eastAsia="宋体" w:cs="Times New Roman"/>
                <w:color w:val="auto"/>
                <w:highlight w:val="none"/>
                <w:lang w:val="en-US" w:eastAsia="zh-CN"/>
              </w:rPr>
              <w:t>GB3095-2012</w:t>
            </w:r>
            <w:r>
              <w:rPr>
                <w:rFonts w:hint="eastAsia" w:ascii="Times New Roman" w:hAnsi="Times New Roman" w:eastAsia="宋体" w:cs="Times New Roman"/>
                <w:color w:val="auto"/>
                <w:highlight w:val="none"/>
                <w:lang w:val="en-US" w:eastAsia="zh-CN"/>
              </w:rPr>
              <w:t>）及其修改单中的二级标准要求，</w:t>
            </w:r>
            <w:r>
              <w:rPr>
                <w:rFonts w:hint="default"/>
                <w:color w:val="auto"/>
              </w:rPr>
              <w:t>因此区域为大气环境质量</w:t>
            </w:r>
            <w:r>
              <w:rPr>
                <w:rFonts w:hint="default" w:ascii="Times New Roman" w:hAnsi="Times New Roman" w:eastAsia="宋体" w:cs="Times New Roman"/>
                <w:color w:val="auto"/>
              </w:rPr>
              <w:t>达标区。</w:t>
            </w:r>
          </w:p>
          <w:p>
            <w:pPr>
              <w:bidi w:val="0"/>
              <w:ind w:left="0" w:leftChars="0" w:firstLine="0" w:firstLineChars="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w:t>
            </w:r>
            <w:r>
              <w:rPr>
                <w:rFonts w:hint="eastAsia" w:ascii="Times New Roman" w:hAnsi="Times New Roman" w:eastAsia="宋体" w:cs="Times New Roman"/>
                <w:b/>
                <w:bCs/>
                <w:color w:val="auto"/>
                <w:lang w:val="en-US" w:eastAsia="zh-CN"/>
              </w:rPr>
              <w:t xml:space="preserve"> 地表水</w:t>
            </w:r>
            <w:r>
              <w:rPr>
                <w:rFonts w:hint="default" w:ascii="Times New Roman" w:hAnsi="Times New Roman" w:eastAsia="宋体" w:cs="Times New Roman"/>
                <w:b/>
                <w:bCs/>
                <w:color w:val="auto"/>
              </w:rPr>
              <w:t>环境质量现状调查与评价</w:t>
            </w:r>
          </w:p>
          <w:p>
            <w:pPr>
              <w:bidi w:val="0"/>
              <w:rPr>
                <w:rFonts w:eastAsia="宋体" w:cs="Times New Roman"/>
                <w:color w:val="auto"/>
              </w:rPr>
            </w:pPr>
            <w:r>
              <w:rPr>
                <w:rFonts w:hint="eastAsia" w:cs="Times New Roman"/>
                <w:color w:val="auto"/>
                <w:lang w:val="en-US" w:eastAsia="zh-CN"/>
              </w:rPr>
              <w:t>本项目所在区域</w:t>
            </w:r>
            <w:r>
              <w:rPr>
                <w:rFonts w:hint="eastAsia" w:eastAsia="宋体" w:cs="Times New Roman"/>
                <w:color w:val="auto"/>
              </w:rPr>
              <w:t>地表水为果子沟水系，</w:t>
            </w:r>
            <w:r>
              <w:rPr>
                <w:rFonts w:eastAsia="宋体" w:cs="Times New Roman"/>
                <w:color w:val="auto"/>
              </w:rPr>
              <w:t>由于果子沟水系其水量不大，向南在果子沟牧场分別与大东沟、三道河子、切特萨尔布拉克</w:t>
            </w:r>
            <w:r>
              <w:rPr>
                <w:rFonts w:hint="eastAsia" w:eastAsia="宋体" w:cs="Times New Roman"/>
                <w:color w:val="auto"/>
                <w:lang w:val="en-US" w:eastAsia="zh-CN"/>
              </w:rPr>
              <w:t>河</w:t>
            </w:r>
            <w:r>
              <w:rPr>
                <w:rFonts w:eastAsia="宋体" w:cs="Times New Roman"/>
                <w:color w:val="auto"/>
              </w:rPr>
              <w:t>相汇，最终流向伊犁河流域。</w:t>
            </w:r>
            <w:r>
              <w:rPr>
                <w:rFonts w:hint="eastAsia" w:ascii="Times New Roman" w:hAnsi="Times New Roman" w:eastAsia="宋体" w:cs="Times New Roman"/>
                <w:color w:val="auto"/>
                <w:spacing w:val="6"/>
                <w:sz w:val="24"/>
                <w:highlight w:val="none"/>
                <w:lang w:val="en-US" w:eastAsia="zh-CN"/>
              </w:rPr>
              <w:t>本工程</w:t>
            </w:r>
            <w:r>
              <w:rPr>
                <w:rFonts w:hint="eastAsia" w:cs="Times New Roman"/>
                <w:color w:val="auto"/>
                <w:spacing w:val="6"/>
                <w:sz w:val="24"/>
                <w:highlight w:val="none"/>
                <w:lang w:val="en-US" w:eastAsia="zh-CN"/>
              </w:rPr>
              <w:t>南侧</w:t>
            </w:r>
            <w:r>
              <w:rPr>
                <w:rFonts w:hint="eastAsia" w:ascii="Times New Roman" w:hAnsi="Times New Roman" w:eastAsia="宋体" w:cs="Times New Roman"/>
                <w:color w:val="auto"/>
                <w:spacing w:val="6"/>
                <w:sz w:val="24"/>
                <w:highlight w:val="none"/>
                <w:lang w:val="en-US" w:eastAsia="zh-CN"/>
              </w:rPr>
              <w:t>距</w:t>
            </w:r>
            <w:r>
              <w:rPr>
                <w:rFonts w:eastAsia="宋体" w:cs="Times New Roman"/>
                <w:color w:val="auto"/>
              </w:rPr>
              <w:t>萨尔布拉克</w:t>
            </w:r>
            <w:r>
              <w:rPr>
                <w:rFonts w:hint="eastAsia" w:eastAsia="宋体" w:cs="Times New Roman"/>
                <w:color w:val="auto"/>
                <w:lang w:val="en-US" w:eastAsia="zh-CN"/>
              </w:rPr>
              <w:t>河</w:t>
            </w:r>
            <w:r>
              <w:rPr>
                <w:rFonts w:hint="eastAsia" w:ascii="Times New Roman" w:hAnsi="Times New Roman" w:eastAsia="宋体" w:cs="Times New Roman"/>
                <w:color w:val="auto"/>
                <w:spacing w:val="6"/>
                <w:sz w:val="24"/>
                <w:highlight w:val="none"/>
                <w:lang w:val="en-US" w:eastAsia="zh-CN"/>
              </w:rPr>
              <w:t>3</w:t>
            </w:r>
            <w:r>
              <w:rPr>
                <w:rFonts w:hint="eastAsia" w:cs="Times New Roman"/>
                <w:color w:val="auto"/>
                <w:spacing w:val="6"/>
                <w:sz w:val="24"/>
                <w:highlight w:val="none"/>
                <w:lang w:val="en-US" w:eastAsia="zh-CN"/>
              </w:rPr>
              <w:t>0</w:t>
            </w:r>
            <w:r>
              <w:rPr>
                <w:rFonts w:hint="eastAsia" w:ascii="Times New Roman" w:hAnsi="Times New Roman" w:eastAsia="宋体" w:cs="Times New Roman"/>
                <w:color w:val="auto"/>
                <w:spacing w:val="6"/>
                <w:sz w:val="24"/>
                <w:highlight w:val="none"/>
                <w:lang w:val="en-US" w:eastAsia="zh-CN"/>
              </w:rPr>
              <w:t>km。地表水环境现状评价引用2023年11月伊犁州直地表水（河流）水质信息，</w:t>
            </w:r>
            <w:r>
              <w:rPr>
                <w:rFonts w:eastAsia="宋体" w:cs="Times New Roman"/>
                <w:color w:val="auto"/>
              </w:rPr>
              <w:t>萨尔布拉克</w:t>
            </w:r>
            <w:r>
              <w:rPr>
                <w:rFonts w:hint="eastAsia" w:eastAsia="宋体" w:cs="Times New Roman"/>
                <w:color w:val="auto"/>
                <w:lang w:val="en-US" w:eastAsia="zh-CN"/>
              </w:rPr>
              <w:t>河</w:t>
            </w:r>
            <w:r>
              <w:rPr>
                <w:rFonts w:hint="eastAsia" w:cs="Times New Roman"/>
                <w:color w:val="auto"/>
                <w:spacing w:val="6"/>
                <w:sz w:val="24"/>
                <w:highlight w:val="none"/>
                <w:lang w:val="en-US" w:eastAsia="zh-CN"/>
              </w:rPr>
              <w:t>惠远镇</w:t>
            </w:r>
            <w:r>
              <w:rPr>
                <w:rFonts w:hint="eastAsia" w:ascii="Times New Roman" w:hAnsi="Times New Roman" w:eastAsia="宋体" w:cs="Times New Roman"/>
                <w:color w:val="auto"/>
                <w:spacing w:val="6"/>
                <w:sz w:val="24"/>
                <w:highlight w:val="none"/>
                <w:lang w:val="en-US" w:eastAsia="zh-CN"/>
              </w:rPr>
              <w:t>断面水质现状为</w:t>
            </w:r>
            <w:r>
              <w:rPr>
                <w:color w:val="auto"/>
                <w:kern w:val="0"/>
                <w:sz w:val="24"/>
              </w:rPr>
              <w:t>《地表水环境质量标准》（GB3838—2002）</w:t>
            </w:r>
            <w:r>
              <w:rPr>
                <w:rFonts w:hint="default" w:ascii="Times New Roman" w:hAnsi="Times New Roman" w:eastAsia="宋体" w:cs="Times New Roman"/>
                <w:color w:val="auto"/>
                <w:spacing w:val="6"/>
                <w:sz w:val="24"/>
                <w:highlight w:val="none"/>
                <w:lang w:val="en-US" w:eastAsia="zh-CN"/>
              </w:rPr>
              <w:t>Ⅱ</w:t>
            </w:r>
            <w:r>
              <w:rPr>
                <w:color w:val="auto"/>
                <w:kern w:val="0"/>
                <w:sz w:val="24"/>
              </w:rPr>
              <w:t>类</w:t>
            </w:r>
            <w:r>
              <w:rPr>
                <w:rFonts w:hint="eastAsia"/>
                <w:color w:val="auto"/>
                <w:kern w:val="0"/>
                <w:sz w:val="24"/>
                <w:lang w:eastAsia="zh-CN"/>
              </w:rPr>
              <w:t>，</w:t>
            </w:r>
            <w:r>
              <w:rPr>
                <w:rFonts w:hint="eastAsia" w:hAnsi="宋体" w:eastAsia="宋体" w:cs="宋体"/>
                <w:color w:val="auto"/>
                <w:spacing w:val="6"/>
                <w:sz w:val="24"/>
                <w:highlight w:val="none"/>
                <w:lang w:val="en-US" w:eastAsia="zh-CN"/>
              </w:rPr>
              <w:t>水环境质量良好</w:t>
            </w:r>
            <w:r>
              <w:rPr>
                <w:rFonts w:hint="eastAsia" w:ascii="Times New Roman" w:hAnsi="Times New Roman" w:eastAsia="宋体" w:cs="Times New Roman"/>
                <w:color w:val="auto"/>
                <w:spacing w:val="6"/>
                <w:sz w:val="24"/>
                <w:highlight w:val="none"/>
                <w:lang w:val="en-US" w:eastAsia="zh-CN"/>
              </w:rPr>
              <w:t>。</w:t>
            </w:r>
          </w:p>
          <w:p>
            <w:pPr>
              <w:bidi w:val="0"/>
              <w:ind w:left="0" w:leftChars="0" w:right="0" w:rightChars="0" w:firstLine="0" w:firstLineChars="0"/>
              <w:jc w:val="center"/>
              <w:rPr>
                <w:rFonts w:hint="default"/>
                <w:color w:val="auto"/>
              </w:rPr>
            </w:pP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763270</wp:posOffset>
                      </wp:positionH>
                      <wp:positionV relativeFrom="paragraph">
                        <wp:posOffset>1350645</wp:posOffset>
                      </wp:positionV>
                      <wp:extent cx="1966595" cy="139700"/>
                      <wp:effectExtent l="12700" t="12700" r="20955" b="19050"/>
                      <wp:wrapNone/>
                      <wp:docPr id="8" name="矩形 8"/>
                      <wp:cNvGraphicFramePr/>
                      <a:graphic xmlns:a="http://schemas.openxmlformats.org/drawingml/2006/main">
                        <a:graphicData uri="http://schemas.microsoft.com/office/word/2010/wordprocessingShape">
                          <wps:wsp>
                            <wps:cNvSpPr/>
                            <wps:spPr>
                              <a:xfrm>
                                <a:off x="1713865" y="8190865"/>
                                <a:ext cx="1966595" cy="139700"/>
                              </a:xfrm>
                              <a:prstGeom prst="rect">
                                <a:avLst/>
                              </a:prstGeom>
                              <a:noFill/>
                              <a:ln>
                                <a:solidFill>
                                  <a:srgbClr val="C0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1pt;margin-top:106.35pt;height:11pt;width:154.85pt;z-index:251660288;v-text-anchor:middle;mso-width-relative:page;mso-height-relative:page;" filled="f" stroked="t" coordsize="21600,21600" o:gfxdata="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8aImB2AAAAAsBAAAPAAAAAAAAAAEAIAAAACIAAABkcnMvZG93bnJldi54bWxQ&#10;SwECFAAUAAAACACHTuJA1WX80WkCAADABAAADgAAAAAAAAABACAAAAAnAQAAZHJzL2Uyb0RvYy54&#10;bWxQSwUGAAAAAAYABgBZAQAAAgYAAAAA&#10;">
                      <v:fill on="f" focussize="0,0"/>
                      <v:stroke weight="2pt" color="#C00000 [3204]" joinstyle="round"/>
                      <v:imagedata o:title=""/>
                      <o:lock v:ext="edit" aspectratio="f"/>
                    </v:rect>
                  </w:pict>
                </mc:Fallback>
              </mc:AlternateContent>
            </w:r>
            <w:r>
              <w:rPr>
                <w:color w:val="auto"/>
              </w:rPr>
              <w:drawing>
                <wp:inline distT="0" distB="0" distL="114300" distR="114300">
                  <wp:extent cx="3867150" cy="2417445"/>
                  <wp:effectExtent l="0" t="0" r="0" b="19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3867150" cy="2417445"/>
                          </a:xfrm>
                          <a:prstGeom prst="rect">
                            <a:avLst/>
                          </a:prstGeom>
                          <a:noFill/>
                          <a:ln>
                            <a:noFill/>
                          </a:ln>
                        </pic:spPr>
                      </pic:pic>
                    </a:graphicData>
                  </a:graphic>
                </wp:inline>
              </w:drawing>
            </w:r>
          </w:p>
          <w:p>
            <w:pPr>
              <w:bidi w:val="0"/>
              <w:ind w:left="0" w:leftChars="0" w:firstLine="0" w:firstLineChars="0"/>
              <w:rPr>
                <w:rFonts w:hint="default" w:ascii="Times New Roman" w:hAnsi="Times New Roman" w:eastAsia="宋体" w:cs="Times New Roman"/>
                <w:b/>
                <w:bCs/>
                <w:color w:val="auto"/>
                <w:lang w:val="en-US" w:eastAsia="zh-CN"/>
              </w:rPr>
            </w:pPr>
            <w:r>
              <w:rPr>
                <w:rFonts w:hint="default"/>
                <w:b/>
                <w:bCs/>
                <w:color w:val="auto"/>
              </w:rPr>
              <w:t>3</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地下水环境质量现状调查及分析</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依据《环境影响评价技术导则</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地下水环境》（HJ610-2016）附录A，</w:t>
            </w:r>
            <w:r>
              <w:rPr>
                <w:rFonts w:hint="eastAsia" w:ascii="Times New Roman" w:hAnsi="Times New Roman" w:eastAsia="宋体" w:cs="Times New Roman"/>
                <w:color w:val="auto"/>
                <w:lang w:val="en-US" w:eastAsia="zh-CN"/>
              </w:rPr>
              <w:t>本</w:t>
            </w:r>
            <w:r>
              <w:rPr>
                <w:rFonts w:hint="default" w:ascii="Times New Roman" w:hAnsi="Times New Roman" w:eastAsia="宋体" w:cs="Times New Roman"/>
                <w:color w:val="auto"/>
                <w:lang w:val="en-US" w:eastAsia="zh-CN"/>
              </w:rPr>
              <w:t>项目属于V社会事业170旅游开发，</w:t>
            </w:r>
            <w:r>
              <w:rPr>
                <w:rFonts w:hint="eastAsia" w:ascii="Times New Roman" w:hAnsi="Times New Roman" w:eastAsia="宋体" w:cs="Times New Roman"/>
                <w:color w:val="auto"/>
                <w:lang w:val="en-US" w:eastAsia="zh-CN"/>
              </w:rPr>
              <w:t>地下水环境影响评价项目类别为</w:t>
            </w:r>
            <w:r>
              <w:rPr>
                <w:rFonts w:hint="default" w:ascii="Times New Roman" w:hAnsi="Times New Roman" w:eastAsia="宋体" w:cs="Times New Roman"/>
                <w:color w:val="auto"/>
                <w:lang w:val="en-US" w:eastAsia="zh-CN"/>
              </w:rPr>
              <w:t>Ⅳ</w:t>
            </w:r>
            <w:r>
              <w:rPr>
                <w:rFonts w:hint="eastAsia" w:ascii="Times New Roman" w:hAnsi="Times New Roman" w:eastAsia="宋体" w:cs="Times New Roman"/>
                <w:color w:val="auto"/>
                <w:lang w:val="en-US" w:eastAsia="zh-CN"/>
              </w:rPr>
              <w:t>类。根据一般性原则，本建设项目不开展地下水环境影响评价</w:t>
            </w:r>
            <w:r>
              <w:rPr>
                <w:rFonts w:hint="default" w:ascii="Times New Roman" w:hAnsi="Times New Roman" w:eastAsia="宋体" w:cs="Times New Roman"/>
                <w:color w:val="auto"/>
                <w:lang w:val="en-US" w:eastAsia="zh-CN"/>
              </w:rPr>
              <w:t>。</w:t>
            </w:r>
          </w:p>
          <w:p>
            <w:pPr>
              <w:bidi w:val="0"/>
              <w:ind w:left="0" w:leftChars="0" w:firstLine="0" w:firstLineChars="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4</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噪声环境现状调查与评价</w:t>
            </w:r>
          </w:p>
          <w:p>
            <w:pPr>
              <w:bidi w:val="0"/>
              <w:rPr>
                <w:rFonts w:hint="eastAsia"/>
                <w:color w:val="auto"/>
                <w:lang w:val="en-US" w:eastAsia="zh-CN"/>
              </w:rPr>
            </w:pPr>
            <w:r>
              <w:rPr>
                <w:rFonts w:hint="eastAsia" w:ascii="Times New Roman" w:hAnsi="Times New Roman" w:eastAsia="宋体" w:cs="Times New Roman"/>
                <w:color w:val="auto"/>
                <w:lang w:val="en-US" w:eastAsia="zh-CN"/>
              </w:rPr>
              <w:t>依据《环境影响评价技术导则 声环境》（HJ2.4-2021），本项目施工及运营期间</w:t>
            </w:r>
            <w:r>
              <w:rPr>
                <w:rFonts w:hint="eastAsia"/>
                <w:color w:val="auto"/>
                <w:lang w:val="en-US" w:eastAsia="zh-CN"/>
              </w:rPr>
              <w:t>周边无声环境敏感目标，因此不开展声环境现状调查。</w:t>
            </w:r>
          </w:p>
          <w:p>
            <w:pPr>
              <w:bidi w:val="0"/>
              <w:rPr>
                <w:rFonts w:hint="default"/>
                <w:color w:val="auto"/>
                <w:lang w:val="en-US" w:eastAsia="zh-CN"/>
              </w:rPr>
            </w:pPr>
            <w:r>
              <w:rPr>
                <w:rFonts w:hint="eastAsia"/>
                <w:color w:val="auto"/>
                <w:lang w:val="en-US" w:eastAsia="zh-CN"/>
              </w:rPr>
              <w:t>根据</w:t>
            </w:r>
            <w:r>
              <w:rPr>
                <w:rFonts w:hint="eastAsia"/>
                <w:color w:val="auto"/>
                <w:lang w:eastAsia="zh-CN"/>
              </w:rPr>
              <w:t>《声环境功能区划分技术规范》（GBT15190－2014）和《声环境质量标准》（GB3096－2008）中声环境功能区分类，</w:t>
            </w:r>
            <w:r>
              <w:rPr>
                <w:rFonts w:hint="eastAsia"/>
                <w:color w:val="auto"/>
                <w:lang w:val="en-US" w:eastAsia="zh-CN"/>
              </w:rPr>
              <w:t>本项目G地块、金顶地块</w:t>
            </w:r>
            <w:r>
              <w:rPr>
                <w:rFonts w:hint="eastAsia"/>
                <w:color w:val="auto"/>
                <w:lang w:eastAsia="zh-CN"/>
              </w:rPr>
              <w:t>、</w:t>
            </w:r>
            <w:r>
              <w:rPr>
                <w:rFonts w:hint="eastAsia"/>
                <w:color w:val="auto"/>
                <w:lang w:val="en-US" w:eastAsia="zh-CN"/>
              </w:rPr>
              <w:t>D地块以及索道区域</w:t>
            </w:r>
            <w:r>
              <w:rPr>
                <w:rFonts w:hint="eastAsia"/>
                <w:color w:val="auto"/>
                <w:lang w:eastAsia="zh-CN"/>
              </w:rPr>
              <w:t>等游客密集区划分为2类功能区，</w:t>
            </w:r>
            <w:r>
              <w:rPr>
                <w:rFonts w:hint="eastAsia"/>
                <w:color w:val="auto"/>
                <w:lang w:val="en-US" w:eastAsia="zh-CN"/>
              </w:rPr>
              <w:t>游服地块西侧为连霍公路，因此游服地块</w:t>
            </w:r>
            <w:r>
              <w:rPr>
                <w:rFonts w:hint="eastAsia"/>
                <w:color w:val="auto"/>
                <w:lang w:eastAsia="zh-CN"/>
              </w:rPr>
              <w:t>划分为</w:t>
            </w:r>
            <w:r>
              <w:rPr>
                <w:rFonts w:hint="eastAsia"/>
                <w:color w:val="auto"/>
                <w:lang w:val="en-US" w:eastAsia="zh-CN"/>
              </w:rPr>
              <w:t>4 a</w:t>
            </w:r>
            <w:r>
              <w:rPr>
                <w:rFonts w:hint="eastAsia"/>
                <w:color w:val="auto"/>
                <w:lang w:eastAsia="zh-CN"/>
              </w:rPr>
              <w:t>类功能区。</w:t>
            </w:r>
          </w:p>
          <w:p>
            <w:pPr>
              <w:bidi w:val="0"/>
              <w:ind w:left="0" w:leftChars="0" w:firstLine="0" w:firstLineChars="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5 土壤环境现状调查及评价</w:t>
            </w:r>
          </w:p>
          <w:p>
            <w:pPr>
              <w:bidi w:val="0"/>
              <w:rPr>
                <w:rFonts w:hint="eastAsia"/>
                <w:color w:val="auto"/>
                <w:lang w:val="en-US" w:eastAsia="zh-CN"/>
              </w:rPr>
            </w:pPr>
            <w:r>
              <w:rPr>
                <w:rFonts w:hint="eastAsia"/>
                <w:color w:val="auto"/>
                <w:lang w:val="en-US" w:eastAsia="zh-CN"/>
              </w:rPr>
              <w:t>本项目为社会事业与服务业中的其他类，根据《环境影响评价技术导则—土壤环境（试行）》（HJ964-2018）附录A，本项目土壤环境影响评价类别为</w:t>
            </w:r>
            <w:r>
              <w:rPr>
                <w:rFonts w:hint="default" w:ascii="Times New Roman" w:hAnsi="Times New Roman" w:cs="Times New Roman"/>
                <w:color w:val="auto"/>
                <w:lang w:val="en-US" w:eastAsia="zh-CN"/>
              </w:rPr>
              <w:t>Ⅳ</w:t>
            </w:r>
            <w:r>
              <w:rPr>
                <w:rFonts w:hint="eastAsia"/>
                <w:color w:val="auto"/>
                <w:lang w:val="en-US" w:eastAsia="zh-CN"/>
              </w:rPr>
              <w:t>类，可不开展土壤环境影响评价。</w:t>
            </w:r>
          </w:p>
          <w:p>
            <w:pPr>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 生态环境调查</w:t>
            </w:r>
          </w:p>
          <w:p>
            <w:pPr>
              <w:bidi w:val="0"/>
              <w:ind w:left="0" w:leftChars="0" w:firstLine="0" w:firstLineChars="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6.1生态功能区划</w:t>
            </w:r>
          </w:p>
          <w:p>
            <w:pPr>
              <w:bidi w:val="0"/>
              <w:rPr>
                <w:rFonts w:hint="default"/>
                <w:color w:val="auto"/>
                <w:lang w:val="en-US" w:eastAsia="zh-CN"/>
              </w:rPr>
            </w:pPr>
            <w:r>
              <w:rPr>
                <w:rFonts w:hint="default"/>
                <w:color w:val="auto"/>
                <w:lang w:val="en-US" w:eastAsia="zh-CN"/>
              </w:rPr>
              <w:t>根据《新疆生态功能区划》（新疆维吾尔自治区环境保护局编，2002年），本项目评价区域属于评价区属于Ⅲ天山山地温性草原、森林生态区—Ⅲ</w:t>
            </w:r>
            <w:r>
              <w:rPr>
                <w:rFonts w:hint="default"/>
                <w:color w:val="auto"/>
                <w:vertAlign w:val="subscript"/>
                <w:lang w:val="en-US" w:eastAsia="zh-CN"/>
              </w:rPr>
              <w:t>2</w:t>
            </w:r>
            <w:r>
              <w:rPr>
                <w:rFonts w:hint="default"/>
                <w:color w:val="auto"/>
                <w:lang w:val="en-US" w:eastAsia="zh-CN"/>
              </w:rPr>
              <w:t>西部天山草原牧业、针叶林水源涵养及河谷绿洲农业生态亚区—3</w:t>
            </w:r>
            <w:r>
              <w:rPr>
                <w:rFonts w:hint="eastAsia"/>
                <w:color w:val="auto"/>
                <w:lang w:val="en-US" w:eastAsia="zh-CN"/>
              </w:rPr>
              <w:t>4</w:t>
            </w:r>
            <w:r>
              <w:rPr>
                <w:rFonts w:hint="default"/>
                <w:color w:val="auto"/>
                <w:lang w:val="en-US" w:eastAsia="zh-CN"/>
              </w:rPr>
              <w:t>.</w:t>
            </w:r>
            <w:r>
              <w:rPr>
                <w:rFonts w:hint="eastAsia"/>
                <w:color w:val="auto"/>
                <w:lang w:val="en-US" w:eastAsia="zh-CN"/>
              </w:rPr>
              <w:t>婆罗科努山南坡生物多样性保护生态功能区</w:t>
            </w:r>
            <w:r>
              <w:rPr>
                <w:rFonts w:hint="default"/>
                <w:color w:val="auto"/>
                <w:lang w:val="en-US" w:eastAsia="zh-CN"/>
              </w:rPr>
              <w:t>，详见表</w:t>
            </w:r>
            <w:r>
              <w:rPr>
                <w:rFonts w:hint="eastAsia"/>
                <w:color w:val="auto"/>
                <w:lang w:val="en-US" w:eastAsia="zh-CN"/>
              </w:rPr>
              <w:t>1</w:t>
            </w:r>
            <w:r>
              <w:rPr>
                <w:rFonts w:hint="default"/>
                <w:color w:val="auto"/>
                <w:lang w:val="en-US" w:eastAsia="zh-CN"/>
              </w:rPr>
              <w:t>-</w:t>
            </w:r>
            <w:r>
              <w:rPr>
                <w:rFonts w:hint="eastAsia"/>
                <w:color w:val="auto"/>
                <w:lang w:val="en-US" w:eastAsia="zh-CN"/>
              </w:rPr>
              <w:t>3</w:t>
            </w:r>
            <w:r>
              <w:rPr>
                <w:rFonts w:hint="default"/>
                <w:color w:val="auto"/>
                <w:lang w:val="en-US" w:eastAsia="zh-CN"/>
              </w:rPr>
              <w:t>。</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lang w:val="en-US" w:eastAsia="zh-CN"/>
              </w:rPr>
            </w:pPr>
            <w:r>
              <w:rPr>
                <w:rFonts w:hint="default"/>
                <w:color w:val="auto"/>
                <w:sz w:val="24"/>
                <w:szCs w:val="24"/>
                <w:lang w:val="en-US" w:eastAsia="zh-CN"/>
              </w:rPr>
              <w:t>表</w:t>
            </w:r>
            <w:r>
              <w:rPr>
                <w:rFonts w:hint="eastAsia"/>
                <w:color w:val="auto"/>
                <w:sz w:val="24"/>
                <w:szCs w:val="24"/>
                <w:lang w:val="en-US" w:eastAsia="zh-CN"/>
              </w:rPr>
              <w:t>1</w:t>
            </w:r>
            <w:r>
              <w:rPr>
                <w:rFonts w:hint="default"/>
                <w:color w:val="auto"/>
                <w:sz w:val="24"/>
                <w:szCs w:val="24"/>
                <w:lang w:val="en-US" w:eastAsia="zh-CN"/>
              </w:rPr>
              <w:t>-</w:t>
            </w:r>
            <w:r>
              <w:rPr>
                <w:rFonts w:hint="eastAsia"/>
                <w:color w:val="auto"/>
                <w:sz w:val="24"/>
                <w:szCs w:val="24"/>
                <w:lang w:val="en-US" w:eastAsia="zh-CN"/>
              </w:rPr>
              <w:t xml:space="preserve">3  </w:t>
            </w:r>
            <w:r>
              <w:rPr>
                <w:rFonts w:hint="default"/>
                <w:color w:val="auto"/>
                <w:sz w:val="24"/>
                <w:szCs w:val="24"/>
                <w:lang w:val="en-US" w:eastAsia="zh-CN"/>
              </w:rPr>
              <w:t>新疆生态功能区划简表</w:t>
            </w:r>
          </w:p>
          <w:tbl>
            <w:tblPr>
              <w:tblStyle w:val="12"/>
              <w:tblW w:w="79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280"/>
              <w:gridCol w:w="60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8" w:type="pct"/>
                  <w:vMerge w:val="restart"/>
                  <w:tcBorders>
                    <w:tl2br w:val="nil"/>
                    <w:tr2bl w:val="nil"/>
                  </w:tcBorders>
                  <w:noWrap w:val="0"/>
                  <w:vAlign w:val="center"/>
                </w:tcPr>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t>生态功能分区单元</w:t>
                  </w:r>
                </w:p>
              </w:tc>
              <w:tc>
                <w:tcPr>
                  <w:tcW w:w="807" w:type="pct"/>
                  <w:tcBorders>
                    <w:tl2br w:val="nil"/>
                    <w:tr2bl w:val="nil"/>
                  </w:tcBorders>
                  <w:noWrap w:val="0"/>
                  <w:vAlign w:val="center"/>
                </w:tcPr>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t>生态区</w:t>
                  </w:r>
                </w:p>
              </w:tc>
              <w:tc>
                <w:tcPr>
                  <w:tcW w:w="3784" w:type="pct"/>
                  <w:tcBorders>
                    <w:tl2br w:val="nil"/>
                    <w:tr2bl w:val="nil"/>
                  </w:tcBorders>
                  <w:noWrap w:val="0"/>
                  <w:vAlign w:val="center"/>
                </w:tcPr>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t>Ⅲ天山山地温性草原、森林生态区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08" w:type="pct"/>
                  <w:vMerge w:val="continue"/>
                  <w:tcBorders>
                    <w:tl2br w:val="nil"/>
                    <w:tr2bl w:val="nil"/>
                  </w:tcBorders>
                  <w:noWrap w:val="0"/>
                  <w:vAlign w:val="center"/>
                </w:tcPr>
                <w:p>
                  <w:pPr>
                    <w:pStyle w:val="22"/>
                    <w:rPr>
                      <w:rFonts w:hint="default" w:ascii="Times New Roman" w:hAnsi="Times New Roman" w:cs="Times New Roman"/>
                      <w:color w:val="auto"/>
                      <w:highlight w:val="none"/>
                    </w:rPr>
                  </w:pPr>
                </w:p>
              </w:tc>
              <w:tc>
                <w:tcPr>
                  <w:tcW w:w="807" w:type="pct"/>
                  <w:tcBorders>
                    <w:tl2br w:val="nil"/>
                    <w:tr2bl w:val="nil"/>
                  </w:tcBorders>
                  <w:noWrap w:val="0"/>
                  <w:vAlign w:val="center"/>
                </w:tcPr>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t>生态亚区</w:t>
                  </w:r>
                </w:p>
              </w:tc>
              <w:tc>
                <w:tcPr>
                  <w:tcW w:w="3784" w:type="pct"/>
                  <w:tcBorders>
                    <w:tl2br w:val="nil"/>
                    <w:tr2bl w:val="nil"/>
                  </w:tcBorders>
                  <w:noWrap w:val="0"/>
                  <w:vAlign w:val="center"/>
                </w:tcPr>
                <w:p>
                  <w:pPr>
                    <w:pStyle w:val="22"/>
                    <w:rPr>
                      <w:rFonts w:hint="default" w:ascii="Times New Roman" w:hAnsi="Times New Roman" w:eastAsia="宋体" w:cs="Times New Roman"/>
                      <w:snapToGrid w:val="0"/>
                      <w:color w:val="auto"/>
                      <w:spacing w:val="-2"/>
                      <w:kern w:val="0"/>
                      <w:highlight w:val="none"/>
                      <w:lang w:val="en-US" w:eastAsia="zh-CN"/>
                    </w:rPr>
                  </w:pPr>
                  <w:r>
                    <w:rPr>
                      <w:rFonts w:hint="default" w:ascii="Times New Roman" w:hAnsi="Times New Roman" w:eastAsia="宋体" w:cs="Times New Roman"/>
                      <w:snapToGrid w:val="0"/>
                      <w:color w:val="auto"/>
                      <w:spacing w:val="-2"/>
                      <w:kern w:val="0"/>
                      <w:highlight w:val="none"/>
                      <w:lang w:val="en-US" w:eastAsia="zh-CN"/>
                    </w:rPr>
                    <w:t>Ⅲ</w:t>
                  </w:r>
                  <w:r>
                    <w:rPr>
                      <w:rFonts w:hint="eastAsia" w:ascii="Times New Roman" w:hAnsi="Times New Roman" w:eastAsia="宋体" w:cs="Times New Roman"/>
                      <w:snapToGrid w:val="0"/>
                      <w:color w:val="auto"/>
                      <w:spacing w:val="-2"/>
                      <w:kern w:val="0"/>
                      <w:highlight w:val="none"/>
                      <w:vertAlign w:val="subscript"/>
                      <w:lang w:val="en-US" w:eastAsia="zh-CN"/>
                    </w:rPr>
                    <w:t>2</w:t>
                  </w:r>
                  <w:r>
                    <w:rPr>
                      <w:rFonts w:hint="eastAsia" w:ascii="Times New Roman" w:hAnsi="Times New Roman" w:eastAsia="宋体" w:cs="Times New Roman"/>
                      <w:snapToGrid w:val="0"/>
                      <w:color w:val="auto"/>
                      <w:spacing w:val="-2"/>
                      <w:kern w:val="0"/>
                      <w:highlight w:val="none"/>
                      <w:lang w:val="en-US" w:eastAsia="zh-CN"/>
                    </w:rPr>
                    <w:t>西部天山草原牧业、针叶林水源涵养及河谷绿洲农业</w:t>
                  </w:r>
                  <w:r>
                    <w:rPr>
                      <w:rFonts w:hint="default" w:ascii="Times New Roman" w:hAnsi="Times New Roman" w:eastAsia="宋体" w:cs="Times New Roman"/>
                      <w:snapToGrid w:val="0"/>
                      <w:color w:val="auto"/>
                      <w:spacing w:val="-2"/>
                      <w:kern w:val="0"/>
                      <w:highlight w:val="none"/>
                      <w:lang w:val="en-US" w:eastAsia="zh-CN"/>
                    </w:rPr>
                    <w:t>生态亚区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tcBorders>
                    <w:tl2br w:val="nil"/>
                    <w:tr2bl w:val="nil"/>
                  </w:tcBorders>
                  <w:noWrap w:val="0"/>
                  <w:vAlign w:val="center"/>
                </w:tcPr>
                <w:p>
                  <w:pPr>
                    <w:pStyle w:val="22"/>
                    <w:rPr>
                      <w:rFonts w:hint="default" w:ascii="Times New Roman" w:hAnsi="Times New Roman" w:cs="Times New Roman"/>
                      <w:color w:val="auto"/>
                      <w:highlight w:val="none"/>
                    </w:rPr>
                  </w:pPr>
                </w:p>
              </w:tc>
              <w:tc>
                <w:tcPr>
                  <w:tcW w:w="807" w:type="pct"/>
                  <w:tcBorders>
                    <w:tl2br w:val="nil"/>
                    <w:tr2bl w:val="nil"/>
                  </w:tcBorders>
                  <w:noWrap w:val="0"/>
                  <w:vAlign w:val="center"/>
                </w:tcPr>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t>生态功能区</w:t>
                  </w:r>
                </w:p>
              </w:tc>
              <w:tc>
                <w:tcPr>
                  <w:tcW w:w="3784" w:type="pct"/>
                  <w:tcBorders>
                    <w:tl2br w:val="nil"/>
                    <w:tr2bl w:val="nil"/>
                  </w:tcBorders>
                  <w:noWrap w:val="0"/>
                  <w:vAlign w:val="center"/>
                </w:tcPr>
                <w:p>
                  <w:pPr>
                    <w:pStyle w:val="22"/>
                    <w:rPr>
                      <w:rFonts w:hint="default" w:ascii="Times New Roman" w:hAnsi="Times New Roman" w:eastAsia="宋体" w:cs="Times New Roman"/>
                      <w:snapToGrid w:val="0"/>
                      <w:color w:val="auto"/>
                      <w:spacing w:val="-2"/>
                      <w:kern w:val="0"/>
                      <w:highlight w:val="none"/>
                      <w:lang w:val="en-US" w:eastAsia="zh-CN"/>
                    </w:rPr>
                  </w:pPr>
                  <w:r>
                    <w:rPr>
                      <w:rFonts w:hint="default" w:ascii="Times New Roman" w:hAnsi="Times New Roman" w:eastAsia="宋体" w:cs="Times New Roman"/>
                      <w:snapToGrid w:val="0"/>
                      <w:color w:val="auto"/>
                      <w:spacing w:val="-2"/>
                      <w:kern w:val="0"/>
                      <w:highlight w:val="none"/>
                      <w:lang w:val="en-US" w:eastAsia="zh-CN"/>
                    </w:rPr>
                    <w:t>3</w:t>
                  </w:r>
                  <w:r>
                    <w:rPr>
                      <w:rFonts w:hint="eastAsia" w:ascii="Times New Roman" w:hAnsi="Times New Roman" w:eastAsia="宋体" w:cs="Times New Roman"/>
                      <w:snapToGrid w:val="0"/>
                      <w:color w:val="auto"/>
                      <w:spacing w:val="-2"/>
                      <w:kern w:val="0"/>
                      <w:highlight w:val="none"/>
                      <w:lang w:val="en-US" w:eastAsia="zh-CN"/>
                    </w:rPr>
                    <w:t>4</w:t>
                  </w:r>
                  <w:r>
                    <w:rPr>
                      <w:rFonts w:hint="default" w:ascii="Times New Roman" w:hAnsi="Times New Roman" w:eastAsia="宋体" w:cs="Times New Roman"/>
                      <w:snapToGrid w:val="0"/>
                      <w:color w:val="auto"/>
                      <w:spacing w:val="-2"/>
                      <w:kern w:val="0"/>
                      <w:highlight w:val="none"/>
                      <w:lang w:val="en-US" w:eastAsia="zh-CN"/>
                    </w:rPr>
                    <w:t>．</w:t>
                  </w:r>
                  <w:r>
                    <w:rPr>
                      <w:rFonts w:hint="eastAsia" w:ascii="Times New Roman" w:hAnsi="Times New Roman" w:eastAsia="宋体" w:cs="Times New Roman"/>
                      <w:snapToGrid w:val="0"/>
                      <w:color w:val="auto"/>
                      <w:spacing w:val="-2"/>
                      <w:kern w:val="0"/>
                      <w:highlight w:val="none"/>
                      <w:lang w:val="en-US" w:eastAsia="zh-CN"/>
                    </w:rPr>
                    <w:t>婆罗科努山南坡生物多样性保护生态功能区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15" w:type="pct"/>
                  <w:gridSpan w:val="2"/>
                  <w:tcBorders>
                    <w:tl2br w:val="nil"/>
                    <w:tr2bl w:val="nil"/>
                  </w:tcBorders>
                  <w:noWrap w:val="0"/>
                  <w:vAlign w:val="center"/>
                </w:tcPr>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t>隶属行政区</w:t>
                  </w:r>
                </w:p>
              </w:tc>
              <w:tc>
                <w:tcPr>
                  <w:tcW w:w="3784" w:type="pct"/>
                  <w:tcBorders>
                    <w:tl2br w:val="nil"/>
                    <w:tr2bl w:val="nil"/>
                  </w:tcBorders>
                  <w:noWrap w:val="0"/>
                  <w:vAlign w:val="center"/>
                </w:tcPr>
                <w:p>
                  <w:pPr>
                    <w:pStyle w:val="22"/>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霍城县、</w:t>
                  </w:r>
                  <w:r>
                    <w:rPr>
                      <w:rFonts w:hint="default" w:ascii="Times New Roman" w:hAnsi="Times New Roman" w:cs="Times New Roman"/>
                      <w:color w:val="auto"/>
                      <w:highlight w:val="none"/>
                    </w:rPr>
                    <w:t>伊宁县、</w:t>
                  </w:r>
                  <w:r>
                    <w:rPr>
                      <w:rFonts w:hint="eastAsia" w:ascii="Times New Roman" w:hAnsi="Times New Roman" w:eastAsia="宋体" w:cs="Times New Roman"/>
                      <w:color w:val="auto"/>
                      <w:highlight w:val="none"/>
                      <w:lang w:val="en-US" w:eastAsia="zh-CN"/>
                    </w:rPr>
                    <w:t>尼勒克县、新源县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215" w:type="pct"/>
                  <w:gridSpan w:val="2"/>
                  <w:tcBorders>
                    <w:tl2br w:val="nil"/>
                    <w:tr2bl w:val="nil"/>
                  </w:tcBorders>
                  <w:noWrap w:val="0"/>
                  <w:vAlign w:val="center"/>
                </w:tcPr>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t>主要生态服务功能</w:t>
                  </w:r>
                </w:p>
              </w:tc>
              <w:tc>
                <w:tcPr>
                  <w:tcW w:w="3784" w:type="pct"/>
                  <w:tcBorders>
                    <w:tl2br w:val="nil"/>
                    <w:tr2bl w:val="nil"/>
                  </w:tcBorders>
                  <w:noWrap w:val="0"/>
                  <w:vAlign w:val="center"/>
                </w:tcPr>
                <w:p>
                  <w:pPr>
                    <w:pStyle w:val="22"/>
                    <w:rPr>
                      <w:rFonts w:hint="default" w:ascii="Times New Roman" w:hAnsi="Times New Roman" w:eastAsia="宋体" w:cs="Times New Roman"/>
                      <w:color w:val="auto"/>
                      <w:highlight w:val="none"/>
                      <w:lang w:val="en-US" w:eastAsia="zh-CN"/>
                    </w:rPr>
                  </w:pPr>
                  <w:r>
                    <w:rPr>
                      <w:rFonts w:hint="default" w:ascii="Times New Roman" w:hAnsi="Times New Roman" w:cs="Times New Roman"/>
                      <w:b w:val="0"/>
                      <w:i w:val="0"/>
                      <w:snapToGrid/>
                      <w:color w:val="auto"/>
                      <w:sz w:val="21"/>
                      <w:highlight w:val="none"/>
                    </w:rPr>
                    <w:t>水源</w:t>
                  </w:r>
                  <w:r>
                    <w:rPr>
                      <w:rFonts w:hint="eastAsia" w:ascii="Times New Roman" w:hAnsi="Times New Roman" w:cs="Times New Roman"/>
                      <w:b w:val="0"/>
                      <w:i w:val="0"/>
                      <w:snapToGrid/>
                      <w:color w:val="auto"/>
                      <w:sz w:val="21"/>
                      <w:highlight w:val="none"/>
                      <w:lang w:val="en-US" w:eastAsia="zh-CN"/>
                    </w:rPr>
                    <w:t>涵养</w:t>
                  </w:r>
                  <w:r>
                    <w:rPr>
                      <w:rFonts w:hint="default" w:ascii="Times New Roman" w:hAnsi="Times New Roman" w:cs="Times New Roman"/>
                      <w:b w:val="0"/>
                      <w:i w:val="0"/>
                      <w:snapToGrid/>
                      <w:color w:val="auto"/>
                      <w:sz w:val="21"/>
                      <w:highlight w:val="none"/>
                    </w:rPr>
                    <w:t>、生物多样性维护、</w:t>
                  </w:r>
                  <w:r>
                    <w:rPr>
                      <w:rFonts w:hint="eastAsia" w:ascii="Times New Roman" w:hAnsi="Times New Roman" w:cs="Times New Roman"/>
                      <w:b w:val="0"/>
                      <w:i w:val="0"/>
                      <w:snapToGrid/>
                      <w:color w:val="auto"/>
                      <w:sz w:val="21"/>
                      <w:highlight w:val="none"/>
                      <w:lang w:val="en-US" w:eastAsia="zh-CN"/>
                    </w:rPr>
                    <w:t>林</w:t>
                  </w:r>
                  <w:r>
                    <w:rPr>
                      <w:rFonts w:hint="default" w:ascii="Times New Roman" w:hAnsi="Times New Roman" w:cs="Times New Roman"/>
                      <w:b w:val="0"/>
                      <w:i w:val="0"/>
                      <w:snapToGrid/>
                      <w:color w:val="auto"/>
                      <w:sz w:val="21"/>
                      <w:highlight w:val="none"/>
                    </w:rPr>
                    <w:t>畜产品生产、</w:t>
                  </w:r>
                  <w:r>
                    <w:rPr>
                      <w:rFonts w:hint="eastAsia" w:ascii="Times New Roman" w:hAnsi="Times New Roman" w:cs="Times New Roman"/>
                      <w:b w:val="0"/>
                      <w:i w:val="0"/>
                      <w:snapToGrid/>
                      <w:color w:val="auto"/>
                      <w:sz w:val="21"/>
                      <w:highlight w:val="none"/>
                      <w:lang w:val="en-US" w:eastAsia="zh-CN"/>
                    </w:rPr>
                    <w:t>土</w:t>
                  </w:r>
                  <w:r>
                    <w:rPr>
                      <w:rFonts w:hint="default" w:ascii="Times New Roman" w:hAnsi="Times New Roman" w:cs="Times New Roman"/>
                      <w:b w:val="0"/>
                      <w:i w:val="0"/>
                      <w:snapToGrid/>
                      <w:color w:val="auto"/>
                      <w:sz w:val="21"/>
                      <w:highlight w:val="none"/>
                    </w:rPr>
                    <w:t>壤保持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215" w:type="pct"/>
                  <w:gridSpan w:val="2"/>
                  <w:tcBorders>
                    <w:tl2br w:val="nil"/>
                    <w:tr2bl w:val="nil"/>
                  </w:tcBorders>
                  <w:noWrap w:val="0"/>
                  <w:vAlign w:val="center"/>
                </w:tcPr>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t>主要生态问题</w:t>
                  </w:r>
                </w:p>
              </w:tc>
              <w:tc>
                <w:tcPr>
                  <w:tcW w:w="3784" w:type="pct"/>
                  <w:tcBorders>
                    <w:tl2br w:val="nil"/>
                    <w:tr2bl w:val="nil"/>
                  </w:tcBorders>
                  <w:noWrap w:val="0"/>
                  <w:vAlign w:val="center"/>
                </w:tcPr>
                <w:p>
                  <w:pPr>
                    <w:pStyle w:val="22"/>
                    <w:rPr>
                      <w:rFonts w:hint="eastAsia" w:ascii="Times New Roman" w:hAnsi="Times New Roman" w:eastAsia="宋体" w:cs="Times New Roman"/>
                      <w:color w:val="auto"/>
                      <w:highlight w:val="none"/>
                      <w:lang w:eastAsia="zh-CN"/>
                    </w:rPr>
                  </w:pPr>
                  <w:r>
                    <w:rPr>
                      <w:rFonts w:hint="default" w:ascii="Times New Roman" w:hAnsi="Times New Roman" w:cs="Times New Roman"/>
                      <w:b w:val="0"/>
                      <w:i w:val="0"/>
                      <w:snapToGrid/>
                      <w:color w:val="auto"/>
                      <w:sz w:val="21"/>
                      <w:highlight w:val="none"/>
                    </w:rPr>
                    <w:t>森林破坏、野生动物减少、山体滑坡、雪崩、水土流失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pct"/>
                  <w:gridSpan w:val="2"/>
                  <w:tcBorders>
                    <w:tl2br w:val="nil"/>
                    <w:tr2bl w:val="nil"/>
                  </w:tcBorders>
                  <w:noWrap w:val="0"/>
                  <w:vAlign w:val="center"/>
                </w:tcPr>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t>生态敏感因子</w:t>
                  </w:r>
                </w:p>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t>敏感程度</w:t>
                  </w:r>
                </w:p>
              </w:tc>
              <w:tc>
                <w:tcPr>
                  <w:tcW w:w="3784" w:type="pct"/>
                  <w:tcBorders>
                    <w:tl2br w:val="nil"/>
                    <w:tr2bl w:val="nil"/>
                  </w:tcBorders>
                  <w:noWrap w:val="0"/>
                  <w:vAlign w:val="center"/>
                </w:tcPr>
                <w:p>
                  <w:pPr>
                    <w:pStyle w:val="22"/>
                    <w:rPr>
                      <w:rFonts w:hint="eastAsia" w:ascii="Times New Roman" w:hAnsi="Times New Roman" w:eastAsia="宋体" w:cs="Times New Roman"/>
                      <w:b w:val="0"/>
                      <w:i w:val="0"/>
                      <w:snapToGrid/>
                      <w:color w:val="auto"/>
                      <w:sz w:val="21"/>
                      <w:highlight w:val="none"/>
                      <w:lang w:eastAsia="zh-CN"/>
                    </w:rPr>
                  </w:pPr>
                  <w:r>
                    <w:rPr>
                      <w:rFonts w:hint="default" w:ascii="Times New Roman" w:hAnsi="Times New Roman" w:eastAsia="宋体" w:cs="Times New Roman"/>
                      <w:b w:val="0"/>
                      <w:i w:val="0"/>
                      <w:snapToGrid/>
                      <w:color w:val="auto"/>
                      <w:sz w:val="21"/>
                      <w:highlight w:val="none"/>
                    </w:rPr>
                    <w:t>生物多样性和生境极度敏感，土壤侵蚀不</w:t>
                  </w:r>
                  <w:r>
                    <w:rPr>
                      <w:rFonts w:hint="eastAsia" w:ascii="Times New Roman" w:hAnsi="Times New Roman" w:eastAsia="宋体" w:cs="Times New Roman"/>
                      <w:b w:val="0"/>
                      <w:i w:val="0"/>
                      <w:snapToGrid/>
                      <w:color w:val="auto"/>
                      <w:sz w:val="21"/>
                      <w:highlight w:val="none"/>
                      <w:lang w:val="en-US" w:eastAsia="zh-CN"/>
                    </w:rPr>
                    <w:t>敏感</w:t>
                  </w:r>
                  <w:r>
                    <w:rPr>
                      <w:rFonts w:hint="default" w:ascii="Times New Roman" w:hAnsi="Times New Roman" w:eastAsia="宋体" w:cs="Times New Roman"/>
                      <w:b w:val="0"/>
                      <w:i w:val="0"/>
                      <w:snapToGrid/>
                      <w:color w:val="auto"/>
                      <w:sz w:val="21"/>
                      <w:highlight w:val="none"/>
                    </w:rPr>
                    <w:t>、轻度敏感</w:t>
                  </w:r>
                  <w:r>
                    <w:rPr>
                      <w:rFonts w:hint="eastAsia" w:ascii="Times New Roman" w:hAnsi="Times New Roman" w:eastAsia="宋体" w:cs="Times New Roman"/>
                      <w:b w:val="0"/>
                      <w:i w:val="0"/>
                      <w:snapToGrid/>
                      <w:color w:val="auto"/>
                      <w:sz w:val="21"/>
                      <w:highlight w:val="none"/>
                      <w:lang w:eastAsia="zh-CN"/>
                    </w:rPr>
                    <w:t>，</w:t>
                  </w:r>
                </w:p>
                <w:p>
                  <w:pPr>
                    <w:pStyle w:val="22"/>
                    <w:rPr>
                      <w:rFonts w:hint="default" w:ascii="Times New Roman" w:hAnsi="Times New Roman" w:eastAsia="宋体" w:cs="Times New Roman"/>
                      <w:b w:val="0"/>
                      <w:i w:val="0"/>
                      <w:snapToGrid/>
                      <w:color w:val="auto"/>
                      <w:sz w:val="21"/>
                      <w:highlight w:val="none"/>
                    </w:rPr>
                  </w:pPr>
                  <w:r>
                    <w:rPr>
                      <w:rFonts w:hint="default" w:ascii="Times New Roman" w:hAnsi="Times New Roman" w:eastAsia="宋体" w:cs="Times New Roman"/>
                      <w:b w:val="0"/>
                      <w:i w:val="0"/>
                      <w:snapToGrid/>
                      <w:color w:val="auto"/>
                      <w:sz w:val="21"/>
                      <w:highlight w:val="none"/>
                    </w:rPr>
                    <w:t>土地沙漠化、土壤盐渍化不敏感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215" w:type="pct"/>
                  <w:gridSpan w:val="2"/>
                  <w:tcBorders>
                    <w:tl2br w:val="nil"/>
                    <w:tr2bl w:val="nil"/>
                  </w:tcBorders>
                  <w:noWrap w:val="0"/>
                  <w:vAlign w:val="center"/>
                </w:tcPr>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t>保护目标</w:t>
                  </w:r>
                </w:p>
              </w:tc>
              <w:tc>
                <w:tcPr>
                  <w:tcW w:w="3784" w:type="pct"/>
                  <w:tcBorders>
                    <w:tl2br w:val="nil"/>
                    <w:tr2bl w:val="nil"/>
                  </w:tcBorders>
                  <w:noWrap w:val="0"/>
                  <w:vAlign w:val="center"/>
                </w:tcPr>
                <w:p>
                  <w:pPr>
                    <w:pStyle w:val="22"/>
                    <w:rPr>
                      <w:rFonts w:hint="default" w:ascii="Times New Roman" w:hAnsi="Times New Roman" w:eastAsia="宋体" w:cs="Times New Roman"/>
                      <w:b w:val="0"/>
                      <w:i w:val="0"/>
                      <w:snapToGrid/>
                      <w:color w:val="auto"/>
                      <w:sz w:val="21"/>
                      <w:highlight w:val="none"/>
                      <w:lang w:val="en-US" w:eastAsia="zh-CN"/>
                    </w:rPr>
                  </w:pPr>
                  <w:r>
                    <w:rPr>
                      <w:rFonts w:hint="eastAsia" w:ascii="Times New Roman" w:hAnsi="Times New Roman" w:eastAsia="宋体" w:cs="Times New Roman"/>
                      <w:b w:val="0"/>
                      <w:i w:val="0"/>
                      <w:snapToGrid/>
                      <w:color w:val="auto"/>
                      <w:sz w:val="21"/>
                      <w:highlight w:val="none"/>
                      <w:lang w:val="en-US" w:eastAsia="zh-CN"/>
                    </w:rPr>
                    <w:t>保护自然景观</w:t>
                  </w:r>
                  <w:r>
                    <w:rPr>
                      <w:rFonts w:hint="default" w:ascii="Times New Roman" w:hAnsi="Times New Roman" w:eastAsia="宋体" w:cs="Times New Roman"/>
                      <w:b w:val="0"/>
                      <w:i w:val="0"/>
                      <w:snapToGrid/>
                      <w:color w:val="auto"/>
                      <w:sz w:val="21"/>
                      <w:highlight w:val="none"/>
                    </w:rPr>
                    <w:t>和野果林、保护四爪陆龟和黑蜂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215" w:type="pct"/>
                  <w:gridSpan w:val="2"/>
                  <w:tcBorders>
                    <w:tl2br w:val="nil"/>
                    <w:tr2bl w:val="nil"/>
                  </w:tcBorders>
                  <w:noWrap w:val="0"/>
                  <w:vAlign w:val="center"/>
                </w:tcPr>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t>保护措施</w:t>
                  </w:r>
                </w:p>
              </w:tc>
              <w:tc>
                <w:tcPr>
                  <w:tcW w:w="3784" w:type="pct"/>
                  <w:tcBorders>
                    <w:tl2br w:val="nil"/>
                    <w:tr2bl w:val="nil"/>
                  </w:tcBorders>
                  <w:noWrap w:val="0"/>
                  <w:vAlign w:val="center"/>
                </w:tcPr>
                <w:p>
                  <w:pPr>
                    <w:pStyle w:val="22"/>
                    <w:rPr>
                      <w:rFonts w:hint="default" w:ascii="Times New Roman" w:hAnsi="Times New Roman" w:eastAsia="宋体" w:cs="Times New Roman"/>
                      <w:b w:val="0"/>
                      <w:i w:val="0"/>
                      <w:snapToGrid/>
                      <w:color w:val="auto"/>
                      <w:sz w:val="21"/>
                      <w:highlight w:val="none"/>
                      <w:lang w:val="en-US" w:eastAsia="zh-CN"/>
                    </w:rPr>
                  </w:pPr>
                  <w:r>
                    <w:rPr>
                      <w:rFonts w:hint="eastAsia" w:ascii="Times New Roman" w:hAnsi="Times New Roman" w:eastAsia="宋体" w:cs="Times New Roman"/>
                      <w:b w:val="0"/>
                      <w:i w:val="0"/>
                      <w:snapToGrid/>
                      <w:color w:val="auto"/>
                      <w:sz w:val="21"/>
                      <w:highlight w:val="none"/>
                      <w:lang w:val="en-US" w:eastAsia="zh-CN"/>
                    </w:rPr>
                    <w:t>森林分类经营、完善保护区建设管理、草原减牧、防治地质灾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pct"/>
                  <w:gridSpan w:val="2"/>
                  <w:tcBorders>
                    <w:tl2br w:val="nil"/>
                    <w:tr2bl w:val="nil"/>
                  </w:tcBorders>
                  <w:noWrap w:val="0"/>
                  <w:vAlign w:val="center"/>
                </w:tcPr>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t>发展方向</w:t>
                  </w:r>
                </w:p>
              </w:tc>
              <w:tc>
                <w:tcPr>
                  <w:tcW w:w="3784" w:type="pct"/>
                  <w:tcBorders>
                    <w:tl2br w:val="nil"/>
                    <w:tr2bl w:val="nil"/>
                  </w:tcBorders>
                  <w:noWrap w:val="0"/>
                  <w:vAlign w:val="center"/>
                </w:tcPr>
                <w:p>
                  <w:pPr>
                    <w:pStyle w:val="22"/>
                    <w:spacing w:line="240" w:lineRule="auto"/>
                    <w:rPr>
                      <w:rFonts w:hint="eastAsia" w:ascii="Times New Roman" w:hAnsi="Times New Roman" w:eastAsia="宋体" w:cs="Times New Roman"/>
                      <w:b w:val="0"/>
                      <w:i w:val="0"/>
                      <w:snapToGrid/>
                      <w:color w:val="auto"/>
                      <w:sz w:val="21"/>
                      <w:highlight w:val="none"/>
                      <w:lang w:val="en-US" w:eastAsia="zh-CN"/>
                    </w:rPr>
                  </w:pPr>
                  <w:r>
                    <w:rPr>
                      <w:rFonts w:hint="default" w:ascii="Times New Roman" w:hAnsi="Times New Roman" w:eastAsia="宋体" w:cs="Times New Roman"/>
                      <w:b w:val="0"/>
                      <w:i w:val="0"/>
                      <w:snapToGrid/>
                      <w:color w:val="auto"/>
                      <w:sz w:val="21"/>
                      <w:highlight w:val="none"/>
                      <w:lang w:val="en-US" w:eastAsia="zh-CN"/>
                    </w:rPr>
                    <w:t>维护生物多样性与自然景观的完整性，实现林牧业协调发展与永续利用</w:t>
                  </w:r>
                </w:p>
              </w:tc>
            </w:tr>
          </w:tbl>
          <w:p>
            <w:pPr>
              <w:bidi w:val="0"/>
              <w:rPr>
                <w:rFonts w:hint="eastAsia" w:ascii="Times New Roman" w:hAnsi="Times New Roman" w:eastAsia="宋体" w:cs="Times New Roman"/>
                <w:color w:val="auto"/>
                <w:spacing w:val="6"/>
                <w:sz w:val="24"/>
                <w:highlight w:val="none"/>
                <w:lang w:val="en-US" w:eastAsia="zh-CN"/>
              </w:rPr>
            </w:pPr>
            <w:r>
              <w:rPr>
                <w:rFonts w:hint="eastAsia" w:ascii="Times New Roman" w:hAnsi="Times New Roman" w:eastAsia="宋体" w:cs="Times New Roman"/>
                <w:color w:val="auto"/>
                <w:spacing w:val="6"/>
                <w:sz w:val="24"/>
                <w:highlight w:val="none"/>
                <w:lang w:val="en-US" w:eastAsia="zh-CN"/>
              </w:rPr>
              <w:t>根据《伊犁州直生态环境保护总体规划》相关内容，本</w:t>
            </w:r>
            <w:r>
              <w:rPr>
                <w:rFonts w:hint="eastAsia" w:cs="Times New Roman"/>
                <w:color w:val="auto"/>
                <w:spacing w:val="6"/>
                <w:sz w:val="24"/>
                <w:highlight w:val="none"/>
                <w:lang w:val="en-US" w:eastAsia="zh-CN"/>
              </w:rPr>
              <w:t>项目所在果赛</w:t>
            </w:r>
            <w:r>
              <w:rPr>
                <w:rFonts w:hint="eastAsia" w:ascii="Times New Roman" w:hAnsi="Times New Roman" w:eastAsia="宋体" w:cs="Times New Roman"/>
                <w:color w:val="auto"/>
                <w:spacing w:val="6"/>
                <w:sz w:val="24"/>
                <w:highlight w:val="none"/>
                <w:lang w:val="en-US" w:eastAsia="zh-CN"/>
              </w:rPr>
              <w:t>景区属于水源涵养区。详见图</w:t>
            </w:r>
            <w:r>
              <w:rPr>
                <w:rFonts w:hint="eastAsia" w:cs="Times New Roman"/>
                <w:color w:val="auto"/>
                <w:spacing w:val="6"/>
                <w:sz w:val="24"/>
                <w:highlight w:val="none"/>
                <w:lang w:val="en-US" w:eastAsia="zh-CN"/>
              </w:rPr>
              <w:t>1-1</w:t>
            </w:r>
            <w:r>
              <w:rPr>
                <w:rFonts w:hint="eastAsia" w:ascii="Times New Roman" w:hAnsi="Times New Roman" w:eastAsia="宋体" w:cs="Times New Roman"/>
                <w:color w:val="auto"/>
                <w:spacing w:val="6"/>
                <w:sz w:val="24"/>
                <w:highlight w:val="none"/>
                <w:lang w:val="en-US" w:eastAsia="zh-CN"/>
              </w:rPr>
              <w:t>。</w:t>
            </w:r>
          </w:p>
          <w:p>
            <w:pPr>
              <w:pStyle w:val="2"/>
              <w:rPr>
                <w:rFonts w:hint="eastAsia"/>
                <w:color w:val="auto"/>
                <w:lang w:val="en-US" w:eastAsia="zh-CN"/>
              </w:rPr>
            </w:pPr>
            <w:r>
              <w:rPr>
                <w:rFonts w:hint="default"/>
                <w:color w:val="auto"/>
                <w:lang w:val="en-US" w:eastAsia="zh-CN"/>
              </w:rPr>
              <w:drawing>
                <wp:inline distT="0" distB="0" distL="114300" distR="114300">
                  <wp:extent cx="5106670" cy="3611880"/>
                  <wp:effectExtent l="0" t="0" r="17780" b="7620"/>
                  <wp:docPr id="3" name="图片 3" descr="1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_00"/>
                          <pic:cNvPicPr>
                            <a:picLocks noChangeAspect="1"/>
                          </pic:cNvPicPr>
                        </pic:nvPicPr>
                        <pic:blipFill>
                          <a:blip r:embed="rId14"/>
                          <a:stretch>
                            <a:fillRect/>
                          </a:stretch>
                        </pic:blipFill>
                        <pic:spPr>
                          <a:xfrm>
                            <a:off x="0" y="0"/>
                            <a:ext cx="5106670" cy="3611880"/>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val="0"/>
              <w:snapToGrid w:val="0"/>
              <w:spacing w:before="0" w:beforeLines="0" w:after="157" w:afterLines="50"/>
              <w:textAlignment w:val="auto"/>
              <w:rPr>
                <w:rFonts w:hint="eastAsia" w:ascii="Times New Roman" w:hAnsi="Times New Roman" w:eastAsia="宋体" w:cs="Times New Roman"/>
                <w:color w:val="auto"/>
                <w:spacing w:val="6"/>
                <w:sz w:val="24"/>
                <w:highlight w:val="none"/>
                <w:lang w:val="en-US" w:eastAsia="zh-CN"/>
              </w:rPr>
            </w:pPr>
            <w:r>
              <w:rPr>
                <w:rFonts w:hint="default" w:ascii="Times New Roman" w:hAnsi="Times New Roman" w:cs="Times New Roman"/>
                <w:color w:val="auto"/>
                <w:sz w:val="24"/>
                <w:szCs w:val="24"/>
                <w:highlight w:val="none"/>
                <w:lang w:val="en-US" w:eastAsia="zh-CN"/>
              </w:rPr>
              <w:t>图</w:t>
            </w:r>
            <w:r>
              <w:rPr>
                <w:rFonts w:hint="eastAsia" w:cs="Times New Roman"/>
                <w:color w:val="auto"/>
                <w:sz w:val="24"/>
                <w:szCs w:val="24"/>
                <w:highlight w:val="none"/>
                <w:lang w:val="en-US" w:eastAsia="zh-CN"/>
              </w:rPr>
              <w:t>1-1</w:t>
            </w:r>
            <w:r>
              <w:rPr>
                <w:rFonts w:hint="eastAsia" w:ascii="Times New Roman" w:hAnsi="Times New Roman"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伊犁州生态功能区划</w:t>
            </w:r>
            <w:r>
              <w:rPr>
                <w:rFonts w:hint="default" w:ascii="Times New Roman" w:hAnsi="Times New Roman" w:cs="Times New Roman"/>
                <w:color w:val="auto"/>
                <w:sz w:val="24"/>
                <w:szCs w:val="24"/>
                <w:highlight w:val="none"/>
                <w:lang w:val="en-US" w:eastAsia="zh-CN"/>
              </w:rPr>
              <w:t>图</w:t>
            </w:r>
          </w:p>
          <w:p>
            <w:pPr>
              <w:bidi w:val="0"/>
              <w:rPr>
                <w:rFonts w:hint="eastAsia" w:ascii="Times New Roman" w:hAnsi="Times New Roman" w:eastAsia="宋体" w:cs="Times New Roman"/>
                <w:color w:val="auto"/>
                <w:spacing w:val="6"/>
                <w:sz w:val="24"/>
                <w:highlight w:val="none"/>
                <w:lang w:val="en-US" w:eastAsia="zh-CN"/>
              </w:rPr>
            </w:pPr>
            <w:r>
              <w:rPr>
                <w:rFonts w:hint="eastAsia" w:ascii="Times New Roman" w:hAnsi="Times New Roman" w:eastAsia="宋体" w:cs="Times New Roman"/>
                <w:color w:val="auto"/>
                <w:spacing w:val="6"/>
                <w:sz w:val="24"/>
                <w:highlight w:val="none"/>
                <w:lang w:val="en-US" w:eastAsia="zh-CN"/>
              </w:rPr>
              <w:t>水源涵养区是指降水比较丰沛，河流上游山区的森林、草甸草原及冰川积雪区域，主要位于那拉提山、博罗科努山和乌孙山的中高山地带，主要包括冰川、永久积雪带，高山草甸带和森林、草甸草原带，总面积约2.6万km</w:t>
            </w:r>
            <w:r>
              <w:rPr>
                <w:rFonts w:hint="eastAsia" w:ascii="Times New Roman" w:hAnsi="Times New Roman" w:eastAsia="宋体" w:cs="Times New Roman"/>
                <w:color w:val="auto"/>
                <w:spacing w:val="6"/>
                <w:sz w:val="24"/>
                <w:highlight w:val="none"/>
                <w:vertAlign w:val="superscript"/>
                <w:lang w:val="en-US" w:eastAsia="zh-CN"/>
              </w:rPr>
              <w:t>2</w:t>
            </w:r>
            <w:r>
              <w:rPr>
                <w:rFonts w:hint="eastAsia" w:ascii="Times New Roman" w:hAnsi="Times New Roman" w:eastAsia="宋体" w:cs="Times New Roman"/>
                <w:color w:val="auto"/>
                <w:spacing w:val="6"/>
                <w:sz w:val="24"/>
                <w:highlight w:val="none"/>
                <w:lang w:val="en-US" w:eastAsia="zh-CN"/>
              </w:rPr>
              <w:t>。</w:t>
            </w:r>
          </w:p>
          <w:p>
            <w:pPr>
              <w:bidi w:val="0"/>
              <w:rPr>
                <w:rFonts w:hint="eastAsia" w:ascii="Times New Roman" w:hAnsi="Times New Roman" w:eastAsia="宋体" w:cs="Times New Roman"/>
                <w:color w:val="auto"/>
                <w:spacing w:val="6"/>
                <w:sz w:val="24"/>
                <w:highlight w:val="none"/>
                <w:lang w:val="en-US" w:eastAsia="zh-CN"/>
              </w:rPr>
            </w:pPr>
            <w:r>
              <w:rPr>
                <w:rFonts w:hint="eastAsia" w:ascii="Times New Roman" w:hAnsi="Times New Roman" w:eastAsia="宋体" w:cs="Times New Roman"/>
                <w:color w:val="auto"/>
                <w:spacing w:val="6"/>
                <w:sz w:val="24"/>
                <w:highlight w:val="none"/>
                <w:lang w:val="en-US" w:eastAsia="zh-CN"/>
              </w:rPr>
              <w:t>水源涵养区主要管控要求包括：禁止在冰川保护区进行一切开发建设活动，严格控制在永久积雪区的开发建设活动；禁止矿产资源勘探开发、工业企业建设和取料场弃渣场和生活垃圾处置场建设；禁止非保护性天然林采伐、采挖药材、破坏野生植物及其生境、林下打草作业等对生态环境产生影响的活动；严格控制旅游、交通、水电等开发建设；实施严格的草畜平衡制度，实施草场划区休牧、阶段性禁牧和季节性轮牧，恢复草原水源涵养能力。</w:t>
            </w:r>
          </w:p>
          <w:p>
            <w:pPr>
              <w:bidi w:val="0"/>
              <w:rPr>
                <w:rFonts w:hint="eastAsia" w:ascii="Times New Roman" w:hAnsi="Times New Roman" w:eastAsia="宋体" w:cs="Times New Roman"/>
                <w:color w:val="auto"/>
                <w:spacing w:val="6"/>
                <w:sz w:val="24"/>
                <w:highlight w:val="none"/>
                <w:lang w:val="en-US" w:eastAsia="zh-CN"/>
              </w:rPr>
            </w:pPr>
            <w:r>
              <w:rPr>
                <w:rFonts w:hint="eastAsia" w:ascii="Times New Roman" w:hAnsi="Times New Roman" w:eastAsia="宋体" w:cs="Times New Roman"/>
                <w:color w:val="auto"/>
                <w:spacing w:val="6"/>
                <w:sz w:val="24"/>
                <w:highlight w:val="none"/>
                <w:lang w:val="en-US" w:eastAsia="zh-CN"/>
              </w:rPr>
              <w:t>本</w:t>
            </w:r>
            <w:r>
              <w:rPr>
                <w:rFonts w:hint="eastAsia" w:cs="Times New Roman"/>
                <w:color w:val="auto"/>
                <w:spacing w:val="6"/>
                <w:sz w:val="24"/>
                <w:highlight w:val="none"/>
                <w:lang w:val="en-US" w:eastAsia="zh-CN"/>
              </w:rPr>
              <w:t>项目</w:t>
            </w:r>
            <w:r>
              <w:rPr>
                <w:rFonts w:hint="eastAsia" w:ascii="Times New Roman" w:hAnsi="Times New Roman" w:eastAsia="宋体" w:cs="Times New Roman"/>
                <w:color w:val="auto"/>
                <w:spacing w:val="6"/>
                <w:sz w:val="24"/>
                <w:highlight w:val="none"/>
                <w:lang w:val="en-US" w:eastAsia="zh-CN"/>
              </w:rPr>
              <w:t>建设不涉及冰川保护区进行开发建设活动、未进行矿产资源勘探开发、工业企业建设和取料场弃渣场和生活垃圾处置场建设；未进行非保护性天然林采伐、采挖药材、破坏野生植物及其生境、林下打草作业等对生态环境产生影响的活动；符合水源涵养区的管控要求。</w:t>
            </w:r>
          </w:p>
          <w:p>
            <w:pPr>
              <w:pStyle w:val="2"/>
              <w:rPr>
                <w:rFonts w:hint="default"/>
                <w:color w:val="auto"/>
                <w:lang w:val="en-US" w:eastAsia="zh-CN"/>
              </w:rPr>
            </w:pPr>
          </w:p>
          <w:p>
            <w:pPr>
              <w:bidi w:val="0"/>
              <w:ind w:left="0" w:leftChars="0" w:firstLine="0" w:firstLineChars="0"/>
              <w:rPr>
                <w:rFonts w:hint="eastAsia"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6.</w:t>
            </w:r>
            <w:r>
              <w:rPr>
                <w:rFonts w:hint="eastAsia"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val="en-US" w:eastAsia="zh-CN"/>
              </w:rPr>
              <w:t>土地利用现状</w:t>
            </w:r>
            <w:r>
              <w:rPr>
                <w:rFonts w:hint="eastAsia" w:ascii="Times New Roman" w:hAnsi="Times New Roman" w:eastAsia="宋体" w:cs="Times New Roman"/>
                <w:b/>
                <w:bCs/>
                <w:color w:val="auto"/>
                <w:lang w:val="en-US" w:eastAsia="zh-CN"/>
              </w:rPr>
              <w:t>调查</w:t>
            </w:r>
          </w:p>
          <w:p>
            <w:pPr>
              <w:bidi w:val="0"/>
              <w:rPr>
                <w:rFonts w:hint="default"/>
                <w:color w:val="auto"/>
                <w:lang w:val="en-US" w:eastAsia="zh-CN"/>
              </w:rPr>
            </w:pPr>
            <w:r>
              <w:rPr>
                <w:rFonts w:hint="eastAsia"/>
                <w:color w:val="auto"/>
                <w:lang w:val="en-US" w:eastAsia="zh-CN"/>
              </w:rPr>
              <w:t>本项目所在果赛景区内</w:t>
            </w:r>
            <w:r>
              <w:rPr>
                <w:rFonts w:hint="eastAsia" w:eastAsia="宋体" w:cs="Times New Roman"/>
                <w:color w:val="auto"/>
              </w:rPr>
              <w:t>土地利用主要以高覆盖度</w:t>
            </w:r>
            <w:r>
              <w:rPr>
                <w:rFonts w:hint="eastAsia" w:cs="Times New Roman"/>
                <w:color w:val="auto"/>
                <w:lang w:val="en-US" w:eastAsia="zh-CN"/>
              </w:rPr>
              <w:t>天然</w:t>
            </w:r>
            <w:r>
              <w:rPr>
                <w:rFonts w:hint="eastAsia" w:eastAsia="宋体" w:cs="Times New Roman"/>
                <w:color w:val="auto"/>
              </w:rPr>
              <w:t>草地、有林地、疏林地、低覆盖度草地、中覆盖度草地构成</w:t>
            </w:r>
            <w:r>
              <w:rPr>
                <w:rFonts w:hint="eastAsia" w:cs="Times New Roman"/>
                <w:color w:val="auto"/>
                <w:lang w:eastAsia="zh-CN"/>
              </w:rPr>
              <w:t>。</w:t>
            </w:r>
            <w:r>
              <w:rPr>
                <w:rFonts w:hint="default"/>
                <w:color w:val="auto"/>
              </w:rPr>
              <w:t>本项目</w:t>
            </w:r>
            <w:r>
              <w:rPr>
                <w:rFonts w:hint="eastAsia"/>
                <w:color w:val="auto"/>
                <w:lang w:val="en-US" w:eastAsia="zh-CN"/>
              </w:rPr>
              <w:t>总占地面积412.95亩，均为永久占地</w:t>
            </w:r>
            <w:r>
              <w:rPr>
                <w:rFonts w:hint="default"/>
                <w:color w:val="auto"/>
                <w:lang w:val="en-US" w:eastAsia="zh-CN"/>
              </w:rPr>
              <w:t>，</w:t>
            </w:r>
            <w:r>
              <w:rPr>
                <w:rFonts w:hint="eastAsia"/>
                <w:color w:val="auto"/>
                <w:lang w:val="en-US" w:eastAsia="zh-CN"/>
              </w:rPr>
              <w:t>土地利用主要以有林地和天然牧草地为主</w:t>
            </w:r>
            <w:r>
              <w:rPr>
                <w:rFonts w:hint="default"/>
                <w:color w:val="auto"/>
                <w:lang w:val="en-US" w:eastAsia="zh-CN"/>
              </w:rPr>
              <w:t>。</w:t>
            </w:r>
            <w:r>
              <w:rPr>
                <w:rFonts w:hint="eastAsia" w:ascii="Times New Roman" w:hAnsi="Times New Roman" w:eastAsia="宋体" w:cs="Times New Roman"/>
                <w:color w:val="auto"/>
                <w:spacing w:val="6"/>
                <w:sz w:val="24"/>
                <w:highlight w:val="none"/>
                <w:lang w:val="en-US" w:eastAsia="zh-CN"/>
              </w:rPr>
              <w:t>环评要求建设单位在施工前取得当地林草部门同意征占手续，同时应按照国家相关规定办理用地手续方可开工建设，并在作业区周边按照“占多少，补多少”的原则进行占补平衡。</w:t>
            </w:r>
          </w:p>
          <w:p>
            <w:pPr>
              <w:bidi w:val="0"/>
              <w:ind w:left="0" w:leftChars="0" w:right="0" w:rightChars="0" w:firstLine="0" w:firstLineChars="0"/>
              <w:jc w:val="center"/>
              <w:rPr>
                <w:rFonts w:hint="default"/>
                <w:color w:val="auto"/>
                <w:lang w:val="en-US" w:eastAsia="zh-CN"/>
              </w:rPr>
            </w:pPr>
            <w:r>
              <w:rPr>
                <w:rFonts w:hint="default"/>
                <w:color w:val="auto"/>
                <w:lang w:val="en-US" w:eastAsia="zh-CN"/>
              </w:rPr>
              <w:drawing>
                <wp:inline distT="0" distB="0" distL="114300" distR="114300">
                  <wp:extent cx="5057775" cy="3895090"/>
                  <wp:effectExtent l="0" t="0" r="9525" b="10160"/>
                  <wp:docPr id="26" name="图片 26" descr="G:/正在做/2024年/环评/霍城县果子沟阿力麻里（一期）项目环境影响评价报告表/图/土地利用.jpg土地利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G:/正在做/2024年/环评/霍城县果子沟阿力麻里（一期）项目环境影响评价报告表/图/土地利用.jpg土地利用"/>
                          <pic:cNvPicPr>
                            <a:picLocks noChangeAspect="1"/>
                          </pic:cNvPicPr>
                        </pic:nvPicPr>
                        <pic:blipFill>
                          <a:blip r:embed="rId15"/>
                          <a:srcRect l="1583" r="1583"/>
                          <a:stretch>
                            <a:fillRect/>
                          </a:stretch>
                        </pic:blipFill>
                        <pic:spPr>
                          <a:xfrm>
                            <a:off x="0" y="0"/>
                            <a:ext cx="5057775" cy="3895090"/>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图3-</w:t>
            </w:r>
            <w:r>
              <w:rPr>
                <w:rFonts w:hint="eastAsia" w:ascii="Times New Roman" w:hAnsi="Times New Roman" w:cs="Times New Roman"/>
                <w:color w:val="auto"/>
                <w:sz w:val="24"/>
                <w:szCs w:val="24"/>
                <w:highlight w:val="none"/>
                <w:lang w:val="en-US" w:eastAsia="zh-CN"/>
              </w:rPr>
              <w:t xml:space="preserve">2  </w:t>
            </w:r>
            <w:r>
              <w:rPr>
                <w:rFonts w:hint="default" w:ascii="Times New Roman" w:hAnsi="Times New Roman" w:cs="Times New Roman"/>
                <w:color w:val="auto"/>
                <w:sz w:val="24"/>
                <w:szCs w:val="24"/>
                <w:highlight w:val="none"/>
                <w:lang w:val="en-US" w:eastAsia="zh-CN"/>
              </w:rPr>
              <w:t>土壤</w:t>
            </w:r>
            <w:r>
              <w:rPr>
                <w:rFonts w:hint="eastAsia" w:ascii="Times New Roman" w:hAnsi="Times New Roman" w:cs="Times New Roman"/>
                <w:color w:val="auto"/>
                <w:sz w:val="24"/>
                <w:szCs w:val="24"/>
                <w:highlight w:val="none"/>
                <w:lang w:val="en-US" w:eastAsia="zh-CN"/>
              </w:rPr>
              <w:t>利用现状</w:t>
            </w:r>
            <w:r>
              <w:rPr>
                <w:rFonts w:hint="default" w:ascii="Times New Roman" w:hAnsi="Times New Roman" w:cs="Times New Roman"/>
                <w:color w:val="auto"/>
                <w:sz w:val="24"/>
                <w:szCs w:val="24"/>
                <w:highlight w:val="none"/>
                <w:lang w:val="en-US" w:eastAsia="zh-CN"/>
              </w:rPr>
              <w:t>图</w:t>
            </w:r>
          </w:p>
          <w:p>
            <w:pPr>
              <w:bidi w:val="0"/>
              <w:ind w:left="0" w:leftChars="0" w:firstLine="0" w:firstLineChars="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6.</w:t>
            </w:r>
            <w:r>
              <w:rPr>
                <w:rFonts w:hint="eastAsia"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lang w:val="en-US" w:eastAsia="zh-CN"/>
              </w:rPr>
              <w:t>土壤类型</w:t>
            </w:r>
            <w:r>
              <w:rPr>
                <w:rFonts w:hint="eastAsia" w:ascii="Times New Roman" w:hAnsi="Times New Roman" w:eastAsia="宋体" w:cs="Times New Roman"/>
                <w:b/>
                <w:bCs/>
                <w:color w:val="auto"/>
                <w:lang w:val="en-US" w:eastAsia="zh-CN"/>
              </w:rPr>
              <w:t>调查</w:t>
            </w:r>
          </w:p>
          <w:p>
            <w:pPr>
              <w:bidi w:val="0"/>
              <w:rPr>
                <w:rFonts w:hint="default"/>
                <w:color w:val="auto"/>
                <w:lang w:val="en-US" w:eastAsia="zh-CN"/>
              </w:rPr>
            </w:pPr>
            <w:r>
              <w:rPr>
                <w:rFonts w:hint="eastAsia"/>
                <w:color w:val="auto"/>
                <w:kern w:val="0"/>
              </w:rPr>
              <w:t>本</w:t>
            </w:r>
            <w:r>
              <w:rPr>
                <w:rFonts w:hint="eastAsia"/>
                <w:color w:val="auto"/>
                <w:kern w:val="0"/>
                <w:lang w:val="en-US" w:eastAsia="zh-CN"/>
              </w:rPr>
              <w:t>项目所在果赛景区内</w:t>
            </w:r>
            <w:r>
              <w:rPr>
                <w:rFonts w:hint="eastAsia"/>
                <w:color w:val="auto"/>
                <w:kern w:val="0"/>
              </w:rPr>
              <w:t>土壤类型主要为灰褐土、高山草甸土及黑钙土。</w:t>
            </w:r>
            <w:r>
              <w:rPr>
                <w:rFonts w:hint="eastAsia"/>
                <w:color w:val="auto"/>
                <w:kern w:val="0"/>
                <w:lang w:val="en-US" w:eastAsia="zh-CN"/>
              </w:rPr>
              <w:t>本项目占地土壤类型主要为亚高山</w:t>
            </w:r>
            <w:r>
              <w:rPr>
                <w:rFonts w:hint="eastAsia" w:cs="Times New Roman"/>
                <w:color w:val="auto"/>
              </w:rPr>
              <w:t>草甸</w:t>
            </w:r>
            <w:r>
              <w:rPr>
                <w:rFonts w:hint="eastAsia" w:cs="Times New Roman"/>
                <w:color w:val="auto"/>
                <w:lang w:val="en-US" w:eastAsia="zh-CN"/>
              </w:rPr>
              <w:t>土和灰钙土。</w:t>
            </w:r>
            <w:r>
              <w:rPr>
                <w:rFonts w:hint="eastAsia" w:cs="Times New Roman"/>
                <w:color w:val="auto"/>
              </w:rPr>
              <w:t>草甸、草原土壤（0-50cm）有机碳密度分别为13.75kg/m</w:t>
            </w:r>
            <w:r>
              <w:rPr>
                <w:rFonts w:hint="eastAsia" w:cs="Times New Roman"/>
                <w:color w:val="auto"/>
                <w:vertAlign w:val="superscript"/>
              </w:rPr>
              <w:t>2</w:t>
            </w:r>
            <w:r>
              <w:rPr>
                <w:rFonts w:hint="eastAsia" w:cs="Times New Roman"/>
                <w:color w:val="auto"/>
              </w:rPr>
              <w:t>，速效氮含量为25.48mg/kg，速效磷含量为4.24mg/kg，速效钾含量为255.27mg/kg，含</w:t>
            </w:r>
            <w:r>
              <w:rPr>
                <w:rFonts w:hint="eastAsia" w:cs="Times New Roman"/>
                <w:color w:val="auto"/>
                <w:lang w:val="en-US" w:eastAsia="zh-CN"/>
              </w:rPr>
              <w:t>量较高。灰钙土表层弱腐殖化，土壤有机质含量在1-2.5%。</w:t>
            </w:r>
          </w:p>
          <w:p>
            <w:pPr>
              <w:bidi w:val="0"/>
              <w:ind w:left="0" w:leftChars="0" w:firstLine="0" w:firstLineChars="0"/>
              <w:rPr>
                <w:rFonts w:hint="default"/>
                <w:color w:val="auto"/>
                <w:lang w:val="en-US" w:eastAsia="zh-CN"/>
              </w:rPr>
            </w:pPr>
            <w:r>
              <w:rPr>
                <w:rFonts w:hint="default"/>
                <w:color w:val="auto"/>
                <w:lang w:val="en-US" w:eastAsia="zh-CN"/>
              </w:rPr>
              <w:drawing>
                <wp:inline distT="0" distB="0" distL="114300" distR="114300">
                  <wp:extent cx="4989195" cy="3855085"/>
                  <wp:effectExtent l="0" t="0" r="1905" b="12065"/>
                  <wp:docPr id="27" name="图片 27" descr="G:/正在做/2024年/环评/霍城县果子沟阿力麻里（一期）项目环境影响评价报告表/图/土壤.jpg土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G:/正在做/2024年/环评/霍城县果子沟阿力麻里（一期）项目环境影响评价报告表/图/土壤.jpg土壤"/>
                          <pic:cNvPicPr>
                            <a:picLocks noChangeAspect="1"/>
                          </pic:cNvPicPr>
                        </pic:nvPicPr>
                        <pic:blipFill>
                          <a:blip r:embed="rId16"/>
                          <a:srcRect t="6" b="6"/>
                          <a:stretch>
                            <a:fillRect/>
                          </a:stretch>
                        </pic:blipFill>
                        <pic:spPr>
                          <a:xfrm>
                            <a:off x="0" y="0"/>
                            <a:ext cx="4989195" cy="3855085"/>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图3-3  土壤类型分布图</w:t>
            </w:r>
          </w:p>
          <w:p>
            <w:pPr>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6.4水土流失现状</w:t>
            </w:r>
          </w:p>
          <w:p>
            <w:pPr>
              <w:bidi w:val="0"/>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根据《新疆自治区级水土流失重点预防区和重点治理区复核划分成果》（新水水保[2019]4号），本项目所在行政区属于“新疆维吾尔自治区级水土流失重点</w:t>
            </w:r>
            <w:r>
              <w:rPr>
                <w:rFonts w:hint="eastAsia" w:ascii="Times New Roman" w:hAnsi="Times New Roman" w:eastAsia="宋体" w:cs="Times New Roman"/>
                <w:color w:val="auto"/>
                <w:kern w:val="0"/>
                <w:lang w:val="en-US" w:eastAsia="zh-CN"/>
              </w:rPr>
              <w:t>预防</w:t>
            </w:r>
            <w:r>
              <w:rPr>
                <w:rFonts w:hint="default" w:ascii="Times New Roman" w:hAnsi="Times New Roman" w:eastAsia="宋体" w:cs="Times New Roman"/>
                <w:color w:val="auto"/>
                <w:kern w:val="0"/>
                <w:lang w:val="en-US" w:eastAsia="zh-CN"/>
              </w:rPr>
              <w:t>区”。</w:t>
            </w:r>
          </w:p>
          <w:p>
            <w:pPr>
              <w:bidi w:val="0"/>
              <w:rPr>
                <w:rFonts w:hint="eastAsia"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从项目区的自然环境概况、水土流失现状调查及引起土壤侵蚀的外应力和侵蚀形式分析，该区域侵蚀方式以</w:t>
            </w:r>
            <w:r>
              <w:rPr>
                <w:rFonts w:hint="eastAsia" w:ascii="Times New Roman" w:hAnsi="Times New Roman" w:eastAsia="宋体" w:cs="Times New Roman"/>
                <w:color w:val="auto"/>
                <w:kern w:val="0"/>
                <w:lang w:val="en-US" w:eastAsia="zh-CN"/>
              </w:rPr>
              <w:t>风</w:t>
            </w:r>
            <w:r>
              <w:rPr>
                <w:rFonts w:hint="default" w:ascii="Times New Roman" w:hAnsi="Times New Roman" w:eastAsia="宋体" w:cs="Times New Roman"/>
                <w:color w:val="auto"/>
                <w:kern w:val="0"/>
                <w:lang w:val="en-US" w:eastAsia="zh-CN"/>
              </w:rPr>
              <w:t>力侵蚀为主。根据《土壤侵蚀分类分级标准》（SL190－96），确定项目区土壤侵蚀强度属于轻度</w:t>
            </w:r>
            <w:r>
              <w:rPr>
                <w:rFonts w:hint="eastAsia" w:ascii="Times New Roman" w:hAnsi="Times New Roman" w:eastAsia="宋体" w:cs="Times New Roman"/>
                <w:color w:val="auto"/>
                <w:kern w:val="0"/>
                <w:lang w:val="en-US" w:eastAsia="zh-CN"/>
              </w:rPr>
              <w:t>风</w:t>
            </w:r>
            <w:r>
              <w:rPr>
                <w:rFonts w:hint="default" w:ascii="Times New Roman" w:hAnsi="Times New Roman" w:eastAsia="宋体" w:cs="Times New Roman"/>
                <w:color w:val="auto"/>
                <w:kern w:val="0"/>
                <w:lang w:val="en-US" w:eastAsia="zh-CN"/>
              </w:rPr>
              <w:t>力侵蚀，该区域原地貌土壤侵蚀模数为1000t/km</w:t>
            </w:r>
            <w:r>
              <w:rPr>
                <w:rFonts w:hint="default" w:ascii="Times New Roman" w:hAnsi="Times New Roman" w:eastAsia="宋体" w:cs="Times New Roman"/>
                <w:color w:val="auto"/>
                <w:kern w:val="0"/>
                <w:vertAlign w:val="superscript"/>
                <w:lang w:val="en-US" w:eastAsia="zh-CN"/>
              </w:rPr>
              <w:t>2</w:t>
            </w:r>
            <w:r>
              <w:rPr>
                <w:rFonts w:hint="default" w:ascii="Times New Roman" w:hAnsi="Times New Roman" w:eastAsia="宋体" w:cs="Times New Roman"/>
                <w:color w:val="auto"/>
                <w:kern w:val="0"/>
                <w:lang w:val="en-US" w:eastAsia="zh-CN"/>
              </w:rPr>
              <w:t>·a。</w:t>
            </w:r>
          </w:p>
          <w:p>
            <w:pPr>
              <w:bidi w:val="0"/>
              <w:ind w:left="0" w:leftChars="0" w:firstLine="0" w:firstLineChars="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6.</w:t>
            </w:r>
            <w:r>
              <w:rPr>
                <w:rFonts w:hint="eastAsia" w:ascii="Times New Roman" w:hAnsi="Times New Roman" w:eastAsia="宋体" w:cs="Times New Roman"/>
                <w:b/>
                <w:bCs/>
                <w:color w:val="auto"/>
                <w:lang w:val="en-US" w:eastAsia="zh-CN"/>
              </w:rPr>
              <w:t>5陆生植被调查</w:t>
            </w:r>
          </w:p>
          <w:p>
            <w:pPr>
              <w:bidi w:val="0"/>
              <w:rPr>
                <w:rFonts w:hint="eastAsia" w:eastAsia="宋体"/>
                <w:color w:val="auto"/>
                <w:lang w:val="en-US" w:eastAsia="zh-CN"/>
              </w:rPr>
            </w:pPr>
            <w:r>
              <w:rPr>
                <w:rFonts w:hint="eastAsia"/>
                <w:color w:val="auto"/>
                <w:kern w:val="0"/>
              </w:rPr>
              <w:t>本</w:t>
            </w:r>
            <w:r>
              <w:rPr>
                <w:rFonts w:hint="eastAsia"/>
                <w:color w:val="auto"/>
                <w:kern w:val="0"/>
                <w:lang w:val="en-US" w:eastAsia="zh-CN"/>
              </w:rPr>
              <w:t>项目所在果赛景区内</w:t>
            </w:r>
            <w:r>
              <w:rPr>
                <w:rFonts w:hint="eastAsia" w:eastAsia="宋体" w:cs="Times New Roman"/>
                <w:color w:val="auto"/>
                <w:szCs w:val="21"/>
              </w:rPr>
              <w:t>植被类型主要有5个，分别为：雪岭云杉林、拂子茅高禾草草甸、细果薹草草甸、羊茅草原、紫花鸢尾、准噶尔薹草、草原糙苏、早熟禾、杂草草甸</w:t>
            </w:r>
            <w:r>
              <w:rPr>
                <w:rFonts w:hint="eastAsia" w:eastAsia="宋体" w:cs="Times New Roman"/>
                <w:color w:val="auto"/>
                <w:szCs w:val="21"/>
                <w:lang w:eastAsia="zh-CN"/>
              </w:rPr>
              <w:t>。</w:t>
            </w:r>
          </w:p>
          <w:p>
            <w:pPr>
              <w:bidi w:val="0"/>
              <w:rPr>
                <w:rFonts w:hint="default" w:ascii="Times New Roman" w:hAnsi="Times New Roman" w:cs="Times New Roman"/>
                <w:color w:val="auto"/>
                <w:kern w:val="0"/>
                <w:lang w:val="en-US" w:eastAsia="zh-CN"/>
              </w:rPr>
            </w:pPr>
            <w:r>
              <w:rPr>
                <w:rFonts w:hint="eastAsia"/>
                <w:color w:val="auto"/>
                <w:lang w:val="en-US" w:eastAsia="zh-CN"/>
              </w:rPr>
              <w:t>本项目占地区域植被类型主</w:t>
            </w:r>
            <w:r>
              <w:rPr>
                <w:rFonts w:hint="eastAsia" w:ascii="Times New Roman" w:hAnsi="Times New Roman" w:cs="Times New Roman"/>
                <w:color w:val="auto"/>
                <w:kern w:val="0"/>
                <w:lang w:val="en-US" w:eastAsia="zh-CN"/>
              </w:rPr>
              <w:t>要以乔木和草本为主，主要植被种类为有雪岭云杉、羊茅、草原苔草和草原老鹳草、细叶早熟禾。区域内主要植物名录见表1-4。</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ind w:left="0" w:leftChars="0" w:right="0" w:rightChars="0" w:firstLine="0" w:firstLineChars="0"/>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表1-4   评价区域内主要植物名录</w:t>
            </w:r>
          </w:p>
          <w:tbl>
            <w:tblPr>
              <w:tblStyle w:val="13"/>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390"/>
              <w:gridCol w:w="4086"/>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27" w:type="dxa"/>
                  <w:tcBorders>
                    <w:top w:val="single" w:color="auto" w:sz="12" w:space="0"/>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序号</w:t>
                  </w:r>
                </w:p>
              </w:tc>
              <w:tc>
                <w:tcPr>
                  <w:tcW w:w="1390"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中文名称</w:t>
                  </w:r>
                </w:p>
              </w:tc>
              <w:tc>
                <w:tcPr>
                  <w:tcW w:w="4086"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拉丁名称</w:t>
                  </w:r>
                </w:p>
              </w:tc>
              <w:tc>
                <w:tcPr>
                  <w:tcW w:w="1675" w:type="dxa"/>
                  <w:tcBorders>
                    <w:top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生活型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27" w:type="dxa"/>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一</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松科</w:t>
                  </w:r>
                </w:p>
              </w:tc>
              <w:tc>
                <w:tcPr>
                  <w:tcW w:w="408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Arial" w:hAnsi="Arial" w:eastAsia="宋体" w:cs="Arial"/>
                      <w:i w:val="0"/>
                      <w:iCs w:val="0"/>
                      <w:caps w:val="0"/>
                      <w:color w:val="000000"/>
                      <w:spacing w:val="0"/>
                      <w:sz w:val="18"/>
                      <w:szCs w:val="18"/>
                      <w:shd w:val="clear" w:fill="FFFFFF"/>
                      <w:lang w:val="en-US" w:eastAsia="zh-CN"/>
                    </w:rPr>
                  </w:pPr>
                  <w:r>
                    <w:rPr>
                      <w:rFonts w:ascii="Arial" w:hAnsi="Arial" w:eastAsia="宋体" w:cs="Arial"/>
                      <w:i w:val="0"/>
                      <w:iCs w:val="0"/>
                      <w:caps w:val="0"/>
                      <w:color w:val="000000"/>
                      <w:spacing w:val="0"/>
                      <w:sz w:val="18"/>
                      <w:szCs w:val="18"/>
                      <w:shd w:val="clear" w:fill="FFFFFF"/>
                    </w:rPr>
                    <w:t>Pinaceae Spreng. ex F. Rudolphi</w:t>
                  </w:r>
                  <w:r>
                    <w:rPr>
                      <w:rFonts w:hint="eastAsia" w:ascii="Arial" w:hAnsi="Arial" w:cs="Arial"/>
                      <w:i w:val="0"/>
                      <w:iCs w:val="0"/>
                      <w:caps w:val="0"/>
                      <w:color w:val="000000"/>
                      <w:spacing w:val="0"/>
                      <w:sz w:val="18"/>
                      <w:szCs w:val="18"/>
                      <w:shd w:val="clear" w:fill="FFFFFF"/>
                      <w:lang w:val="en-US" w:eastAsia="zh-CN"/>
                    </w:rPr>
                    <w:t>.</w:t>
                  </w:r>
                </w:p>
              </w:tc>
              <w:tc>
                <w:tcPr>
                  <w:tcW w:w="167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27" w:type="dxa"/>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雪岭云杉</w:t>
                  </w:r>
                </w:p>
              </w:tc>
              <w:tc>
                <w:tcPr>
                  <w:tcW w:w="408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i w:val="0"/>
                      <w:iCs w:val="0"/>
                      <w:caps w:val="0"/>
                      <w:color w:val="000000"/>
                      <w:spacing w:val="0"/>
                      <w:sz w:val="18"/>
                      <w:szCs w:val="18"/>
                      <w:shd w:val="clear" w:fill="FFFFFF"/>
                      <w:lang w:val="en-US" w:eastAsia="zh-CN"/>
                    </w:rPr>
                  </w:pPr>
                  <w:r>
                    <w:rPr>
                      <w:rFonts w:ascii="Arial" w:hAnsi="Arial" w:eastAsia="宋体" w:cs="Arial"/>
                      <w:i w:val="0"/>
                      <w:iCs w:val="0"/>
                      <w:caps w:val="0"/>
                      <w:color w:val="000000"/>
                      <w:spacing w:val="0"/>
                      <w:sz w:val="18"/>
                      <w:szCs w:val="18"/>
                      <w:shd w:val="clear" w:fill="FFFFFF"/>
                    </w:rPr>
                    <w:t>P.schrenkiana Fischet Mey.</w:t>
                  </w:r>
                </w:p>
              </w:tc>
              <w:tc>
                <w:tcPr>
                  <w:tcW w:w="167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针叶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27" w:type="dxa"/>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二</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禾本科</w:t>
                  </w:r>
                </w:p>
              </w:tc>
              <w:tc>
                <w:tcPr>
                  <w:tcW w:w="408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Gramineae</w:t>
                  </w:r>
                  <w:r>
                    <w:rPr>
                      <w:rFonts w:hint="eastAsia" w:ascii="Times New Roman" w:hAnsi="Times New Roman" w:cs="Times New Roman"/>
                      <w:color w:val="auto"/>
                      <w:kern w:val="2"/>
                      <w:sz w:val="21"/>
                      <w:szCs w:val="21"/>
                      <w:highlight w:val="none"/>
                      <w:vertAlign w:val="baseline"/>
                      <w:lang w:val="en-US" w:eastAsia="zh-CN" w:bidi="ar-SA"/>
                    </w:rPr>
                    <w:t>.</w:t>
                  </w:r>
                </w:p>
              </w:tc>
              <w:tc>
                <w:tcPr>
                  <w:tcW w:w="167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27" w:type="dxa"/>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羊茅</w:t>
                  </w:r>
                </w:p>
              </w:tc>
              <w:tc>
                <w:tcPr>
                  <w:tcW w:w="408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i w:val="0"/>
                      <w:iCs w:val="0"/>
                      <w:caps w:val="0"/>
                      <w:color w:val="000000"/>
                      <w:spacing w:val="0"/>
                      <w:sz w:val="18"/>
                      <w:szCs w:val="18"/>
                      <w:shd w:val="clear" w:fill="FFFFFF"/>
                      <w:lang w:val="en-US" w:eastAsia="zh-CN"/>
                    </w:rPr>
                  </w:pPr>
                  <w:r>
                    <w:rPr>
                      <w:rFonts w:hint="default" w:ascii="Arial" w:hAnsi="Arial" w:eastAsia="宋体" w:cs="Arial"/>
                      <w:i w:val="0"/>
                      <w:iCs w:val="0"/>
                      <w:caps w:val="0"/>
                      <w:color w:val="000000"/>
                      <w:spacing w:val="0"/>
                      <w:sz w:val="18"/>
                      <w:szCs w:val="18"/>
                      <w:shd w:val="clear" w:fill="FFFFFF"/>
                      <w:lang w:val="en-US" w:eastAsia="zh-CN"/>
                    </w:rPr>
                    <w:t>Festuca ovina L.</w:t>
                  </w:r>
                </w:p>
              </w:tc>
              <w:tc>
                <w:tcPr>
                  <w:tcW w:w="167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多年生草本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27" w:type="dxa"/>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细叶早熟禾</w:t>
                  </w:r>
                </w:p>
              </w:tc>
              <w:tc>
                <w:tcPr>
                  <w:tcW w:w="408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i w:val="0"/>
                      <w:iCs w:val="0"/>
                      <w:caps w:val="0"/>
                      <w:color w:val="000000"/>
                      <w:spacing w:val="0"/>
                      <w:sz w:val="18"/>
                      <w:szCs w:val="18"/>
                      <w:shd w:val="clear" w:fill="FFFFFF"/>
                      <w:lang w:val="en-US" w:eastAsia="zh-CN"/>
                    </w:rPr>
                  </w:pPr>
                  <w:r>
                    <w:rPr>
                      <w:rFonts w:ascii="Arial" w:hAnsi="Arial" w:eastAsia="宋体" w:cs="Arial"/>
                      <w:i w:val="0"/>
                      <w:iCs w:val="0"/>
                      <w:caps w:val="0"/>
                      <w:color w:val="000000"/>
                      <w:spacing w:val="0"/>
                      <w:sz w:val="18"/>
                      <w:szCs w:val="18"/>
                      <w:shd w:val="clear" w:fill="FFFFFF"/>
                    </w:rPr>
                    <w:t>Poa angustifolia L.</w:t>
                  </w:r>
                </w:p>
              </w:tc>
              <w:tc>
                <w:tcPr>
                  <w:tcW w:w="167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多年生草本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27" w:type="dxa"/>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三</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莎草科</w:t>
                  </w:r>
                </w:p>
              </w:tc>
              <w:tc>
                <w:tcPr>
                  <w:tcW w:w="408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Arial" w:hAnsi="Arial" w:eastAsia="宋体" w:cs="Arial"/>
                      <w:i w:val="0"/>
                      <w:iCs w:val="0"/>
                      <w:caps w:val="0"/>
                      <w:color w:val="000000"/>
                      <w:spacing w:val="0"/>
                      <w:sz w:val="18"/>
                      <w:szCs w:val="18"/>
                      <w:shd w:val="clear" w:fill="FFFFFF"/>
                      <w:lang w:val="en-US" w:eastAsia="zh-CN"/>
                    </w:rPr>
                  </w:pPr>
                  <w:r>
                    <w:rPr>
                      <w:rFonts w:ascii="Arial" w:hAnsi="Arial" w:eastAsia="宋体" w:cs="Arial"/>
                      <w:i w:val="0"/>
                      <w:iCs w:val="0"/>
                      <w:caps w:val="0"/>
                      <w:color w:val="000000"/>
                      <w:spacing w:val="0"/>
                      <w:sz w:val="18"/>
                      <w:szCs w:val="18"/>
                      <w:shd w:val="clear" w:fill="FFFFFF"/>
                    </w:rPr>
                    <w:t>Cyperaceae </w:t>
                  </w:r>
                  <w:r>
                    <w:rPr>
                      <w:rFonts w:hint="eastAsia" w:ascii="Arial" w:hAnsi="Arial" w:cs="Arial"/>
                      <w:i w:val="0"/>
                      <w:iCs w:val="0"/>
                      <w:caps w:val="0"/>
                      <w:color w:val="000000"/>
                      <w:spacing w:val="0"/>
                      <w:sz w:val="18"/>
                      <w:szCs w:val="18"/>
                      <w:shd w:val="clear" w:fill="FFFFFF"/>
                      <w:lang w:val="en-US" w:eastAsia="zh-CN"/>
                    </w:rPr>
                    <w:t>.</w:t>
                  </w:r>
                </w:p>
              </w:tc>
              <w:tc>
                <w:tcPr>
                  <w:tcW w:w="167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27" w:type="dxa"/>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草原苔草</w:t>
                  </w:r>
                </w:p>
              </w:tc>
              <w:tc>
                <w:tcPr>
                  <w:tcW w:w="408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Arial" w:hAnsi="Arial" w:eastAsia="宋体" w:cs="Arial"/>
                      <w:i w:val="0"/>
                      <w:iCs w:val="0"/>
                      <w:caps w:val="0"/>
                      <w:color w:val="000000"/>
                      <w:spacing w:val="0"/>
                      <w:sz w:val="18"/>
                      <w:szCs w:val="18"/>
                      <w:shd w:val="clear" w:fill="FFFFFF"/>
                      <w:lang w:val="en-US" w:eastAsia="zh-CN"/>
                    </w:rPr>
                  </w:pPr>
                  <w:r>
                    <w:rPr>
                      <w:rFonts w:ascii="Arial" w:hAnsi="Arial" w:eastAsia="宋体" w:cs="Arial"/>
                      <w:i w:val="0"/>
                      <w:iCs w:val="0"/>
                      <w:caps w:val="0"/>
                      <w:color w:val="000000"/>
                      <w:spacing w:val="0"/>
                      <w:sz w:val="18"/>
                      <w:szCs w:val="18"/>
                      <w:shd w:val="clear" w:fill="FFFFFF"/>
                    </w:rPr>
                    <w:t>Carex liparocarpos Gaudin</w:t>
                  </w:r>
                  <w:r>
                    <w:rPr>
                      <w:rFonts w:hint="eastAsia" w:ascii="Arial" w:hAnsi="Arial" w:cs="Arial"/>
                      <w:i w:val="0"/>
                      <w:iCs w:val="0"/>
                      <w:caps w:val="0"/>
                      <w:color w:val="000000"/>
                      <w:spacing w:val="0"/>
                      <w:sz w:val="18"/>
                      <w:szCs w:val="18"/>
                      <w:shd w:val="clear" w:fill="FFFFFF"/>
                      <w:lang w:val="en-US" w:eastAsia="zh-CN"/>
                    </w:rPr>
                    <w:t>.</w:t>
                  </w:r>
                </w:p>
              </w:tc>
              <w:tc>
                <w:tcPr>
                  <w:tcW w:w="167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多年生草本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27" w:type="dxa"/>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四</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fldChar w:fldCharType="begin"/>
                  </w:r>
                  <w:r>
                    <w:rPr>
                      <w:rFonts w:hint="eastAsia" w:ascii="Times New Roman" w:hAnsi="Times New Roman" w:cs="Times New Roman"/>
                      <w:color w:val="auto"/>
                      <w:kern w:val="2"/>
                      <w:sz w:val="21"/>
                      <w:szCs w:val="21"/>
                      <w:highlight w:val="none"/>
                      <w:vertAlign w:val="baseline"/>
                      <w:lang w:val="en-US" w:eastAsia="zh-CN" w:bidi="ar-SA"/>
                    </w:rPr>
                    <w:instrText xml:space="preserve"> HYPERLINK "https://baike.so.com/doc/6031139-6244140.html" \t "https://baike.so.com/doc/_blank" </w:instrText>
                  </w:r>
                  <w:r>
                    <w:rPr>
                      <w:rFonts w:hint="eastAsia" w:ascii="Times New Roman" w:hAnsi="Times New Roman" w:cs="Times New Roman"/>
                      <w:color w:val="auto"/>
                      <w:kern w:val="2"/>
                      <w:sz w:val="21"/>
                      <w:szCs w:val="21"/>
                      <w:highlight w:val="none"/>
                      <w:vertAlign w:val="baseline"/>
                      <w:lang w:val="en-US" w:eastAsia="zh-CN" w:bidi="ar-SA"/>
                    </w:rPr>
                    <w:fldChar w:fldCharType="separate"/>
                  </w:r>
                  <w:r>
                    <w:rPr>
                      <w:rFonts w:hint="default" w:ascii="Times New Roman" w:hAnsi="Times New Roman" w:cs="Times New Roman"/>
                      <w:color w:val="auto"/>
                      <w:kern w:val="2"/>
                      <w:sz w:val="21"/>
                      <w:szCs w:val="21"/>
                      <w:highlight w:val="none"/>
                      <w:vertAlign w:val="baseline"/>
                      <w:lang w:val="en-US" w:eastAsia="zh-CN" w:bidi="ar-SA"/>
                    </w:rPr>
                    <w:t>牻牛儿苗科</w:t>
                  </w:r>
                  <w:r>
                    <w:rPr>
                      <w:rFonts w:hint="default" w:ascii="Times New Roman" w:hAnsi="Times New Roman" w:cs="Times New Roman"/>
                      <w:color w:val="auto"/>
                      <w:kern w:val="2"/>
                      <w:sz w:val="21"/>
                      <w:szCs w:val="21"/>
                      <w:highlight w:val="none"/>
                      <w:vertAlign w:val="baseline"/>
                      <w:lang w:val="en-US" w:eastAsia="zh-CN" w:bidi="ar-SA"/>
                    </w:rPr>
                    <w:fldChar w:fldCharType="end"/>
                  </w:r>
                </w:p>
              </w:tc>
              <w:tc>
                <w:tcPr>
                  <w:tcW w:w="408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Arial" w:hAnsi="Arial" w:eastAsia="宋体" w:cs="Arial"/>
                      <w:i w:val="0"/>
                      <w:iCs w:val="0"/>
                      <w:caps w:val="0"/>
                      <w:color w:val="000000"/>
                      <w:spacing w:val="0"/>
                      <w:sz w:val="18"/>
                      <w:szCs w:val="18"/>
                      <w:shd w:val="clear" w:fill="FFFFFF"/>
                      <w:lang w:val="en-US" w:eastAsia="zh-CN"/>
                    </w:rPr>
                  </w:pPr>
                  <w:r>
                    <w:rPr>
                      <w:rFonts w:ascii="Arial" w:hAnsi="Arial" w:eastAsia="宋体" w:cs="Arial"/>
                      <w:i w:val="0"/>
                      <w:iCs w:val="0"/>
                      <w:caps w:val="0"/>
                      <w:color w:val="000000"/>
                      <w:spacing w:val="0"/>
                      <w:sz w:val="18"/>
                      <w:szCs w:val="18"/>
                      <w:shd w:val="clear" w:fill="FFFFFF"/>
                    </w:rPr>
                    <w:t>Geraniaceae</w:t>
                  </w:r>
                  <w:r>
                    <w:rPr>
                      <w:rFonts w:hint="eastAsia" w:ascii="Arial" w:hAnsi="Arial" w:eastAsia="宋体" w:cs="Arial"/>
                      <w:i w:val="0"/>
                      <w:iCs w:val="0"/>
                      <w:caps w:val="0"/>
                      <w:color w:val="000000"/>
                      <w:spacing w:val="0"/>
                      <w:sz w:val="18"/>
                      <w:szCs w:val="18"/>
                      <w:shd w:val="clear" w:fill="FFFFFF"/>
                      <w:lang w:val="en-US" w:eastAsia="zh-CN"/>
                    </w:rPr>
                    <w:t>.</w:t>
                  </w:r>
                </w:p>
              </w:tc>
              <w:tc>
                <w:tcPr>
                  <w:tcW w:w="167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27" w:type="dxa"/>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草原苔草</w:t>
                  </w:r>
                </w:p>
              </w:tc>
              <w:tc>
                <w:tcPr>
                  <w:tcW w:w="408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Arial" w:hAnsi="Arial" w:eastAsia="宋体" w:cs="Arial"/>
                      <w:i w:val="0"/>
                      <w:iCs w:val="0"/>
                      <w:caps w:val="0"/>
                      <w:color w:val="000000"/>
                      <w:spacing w:val="0"/>
                      <w:sz w:val="18"/>
                      <w:szCs w:val="18"/>
                      <w:shd w:val="clear" w:fill="FFFFFF"/>
                    </w:rPr>
                  </w:pPr>
                  <w:r>
                    <w:rPr>
                      <w:rFonts w:ascii="Arial" w:hAnsi="Arial" w:eastAsia="宋体" w:cs="Arial"/>
                      <w:i w:val="0"/>
                      <w:iCs w:val="0"/>
                      <w:caps w:val="0"/>
                      <w:color w:val="000000"/>
                      <w:spacing w:val="0"/>
                      <w:sz w:val="18"/>
                      <w:szCs w:val="18"/>
                      <w:shd w:val="clear" w:fill="FFFFFF"/>
                    </w:rPr>
                    <w:t>Geranium pratense</w:t>
                  </w:r>
                  <w:r>
                    <w:rPr>
                      <w:rFonts w:hint="default" w:ascii="Arial" w:hAnsi="Arial" w:eastAsia="宋体" w:cs="Arial"/>
                      <w:i w:val="0"/>
                      <w:iCs w:val="0"/>
                      <w:caps w:val="0"/>
                      <w:color w:val="000000"/>
                      <w:spacing w:val="0"/>
                      <w:sz w:val="18"/>
                      <w:szCs w:val="18"/>
                      <w:shd w:val="clear" w:fill="FFFFFF"/>
                    </w:rPr>
                    <w:t> L.</w:t>
                  </w:r>
                </w:p>
              </w:tc>
              <w:tc>
                <w:tcPr>
                  <w:tcW w:w="167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多年生草本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27" w:type="dxa"/>
                  <w:tcBorders>
                    <w:left w:val="nil"/>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w:t>
                  </w:r>
                </w:p>
              </w:tc>
              <w:tc>
                <w:tcPr>
                  <w:tcW w:w="1390"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草原老鹳草</w:t>
                  </w:r>
                </w:p>
              </w:tc>
              <w:tc>
                <w:tcPr>
                  <w:tcW w:w="4086"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Arial" w:hAnsi="Arial" w:eastAsia="宋体" w:cs="Arial"/>
                      <w:i w:val="0"/>
                      <w:iCs w:val="0"/>
                      <w:caps w:val="0"/>
                      <w:color w:val="000000"/>
                      <w:spacing w:val="0"/>
                      <w:sz w:val="18"/>
                      <w:szCs w:val="18"/>
                      <w:shd w:val="clear" w:fill="FFFFFF"/>
                    </w:rPr>
                  </w:pPr>
                  <w:r>
                    <w:rPr>
                      <w:rFonts w:ascii="Arial" w:hAnsi="Arial" w:eastAsia="宋体" w:cs="Arial"/>
                      <w:i w:val="0"/>
                      <w:iCs w:val="0"/>
                      <w:caps w:val="0"/>
                      <w:color w:val="000000"/>
                      <w:spacing w:val="0"/>
                      <w:sz w:val="18"/>
                      <w:szCs w:val="18"/>
                      <w:shd w:val="clear" w:fill="FFFFFF"/>
                    </w:rPr>
                    <w:t>Geranium pratense</w:t>
                  </w:r>
                  <w:r>
                    <w:rPr>
                      <w:rFonts w:hint="default" w:ascii="Arial" w:hAnsi="Arial" w:eastAsia="宋体" w:cs="Arial"/>
                      <w:i w:val="0"/>
                      <w:iCs w:val="0"/>
                      <w:caps w:val="0"/>
                      <w:color w:val="000000"/>
                      <w:spacing w:val="0"/>
                      <w:sz w:val="18"/>
                      <w:szCs w:val="18"/>
                      <w:shd w:val="clear" w:fill="FFFFFF"/>
                    </w:rPr>
                    <w:t> L.</w:t>
                  </w:r>
                </w:p>
              </w:tc>
              <w:tc>
                <w:tcPr>
                  <w:tcW w:w="1675" w:type="dxa"/>
                  <w:tcBorders>
                    <w:bottom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多年生草本</w:t>
                  </w:r>
                </w:p>
              </w:tc>
            </w:tr>
          </w:tbl>
          <w:p>
            <w:pPr>
              <w:bidi w:val="0"/>
              <w:ind w:left="0" w:leftChars="0" w:firstLine="0" w:firstLineChars="0"/>
              <w:rPr>
                <w:rFonts w:hint="default"/>
                <w:color w:val="auto"/>
                <w:lang w:val="en-US" w:eastAsia="zh-CN"/>
              </w:rPr>
            </w:pPr>
            <w:r>
              <w:rPr>
                <w:rFonts w:hint="default"/>
                <w:color w:val="auto"/>
                <w:lang w:val="en-US" w:eastAsia="zh-CN"/>
              </w:rPr>
              <w:drawing>
                <wp:inline distT="0" distB="0" distL="114300" distR="114300">
                  <wp:extent cx="4989195" cy="3855085"/>
                  <wp:effectExtent l="0" t="0" r="1905" b="12065"/>
                  <wp:docPr id="28" name="图片 28" descr="G:/正在做/2024年/环评/霍城县果子沟阿力麻里（一期）项目环境影响评价报告表/图/植被.jpg植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G:/正在做/2024年/环评/霍城县果子沟阿力麻里（一期）项目环境影响评价报告表/图/植被.jpg植被"/>
                          <pic:cNvPicPr>
                            <a:picLocks noChangeAspect="1"/>
                          </pic:cNvPicPr>
                        </pic:nvPicPr>
                        <pic:blipFill>
                          <a:blip r:embed="rId17"/>
                          <a:srcRect t="6" b="6"/>
                          <a:stretch>
                            <a:fillRect/>
                          </a:stretch>
                        </pic:blipFill>
                        <pic:spPr>
                          <a:xfrm>
                            <a:off x="0" y="0"/>
                            <a:ext cx="4989195" cy="3855085"/>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图3-</w:t>
            </w:r>
            <w:r>
              <w:rPr>
                <w:rFonts w:hint="eastAsia" w:ascii="Times New Roman" w:hAnsi="Times New Roman" w:cs="Times New Roman"/>
                <w:color w:val="auto"/>
                <w:sz w:val="24"/>
                <w:szCs w:val="24"/>
                <w:highlight w:val="none"/>
                <w:lang w:val="en-US" w:eastAsia="zh-CN"/>
              </w:rPr>
              <w:t>4  植被</w:t>
            </w:r>
            <w:r>
              <w:rPr>
                <w:rFonts w:hint="default" w:ascii="Times New Roman" w:hAnsi="Times New Roman" w:cs="Times New Roman"/>
                <w:color w:val="auto"/>
                <w:sz w:val="24"/>
                <w:szCs w:val="24"/>
                <w:highlight w:val="none"/>
                <w:lang w:val="en-US" w:eastAsia="zh-CN"/>
              </w:rPr>
              <w:t>类型分布图</w:t>
            </w:r>
          </w:p>
          <w:p>
            <w:pPr>
              <w:bidi w:val="0"/>
              <w:ind w:left="0" w:leftChars="0" w:firstLine="0" w:firstLineChars="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6.</w:t>
            </w:r>
            <w:r>
              <w:rPr>
                <w:rFonts w:hint="eastAsia" w:ascii="Times New Roman" w:hAnsi="Times New Roman" w:eastAsia="宋体" w:cs="Times New Roman"/>
                <w:b/>
                <w:bCs/>
                <w:color w:val="auto"/>
                <w:lang w:val="en-US" w:eastAsia="zh-CN"/>
              </w:rPr>
              <w:t>6野生动物现状调查</w:t>
            </w:r>
          </w:p>
          <w:p>
            <w:pPr>
              <w:bidi w:val="0"/>
              <w:rPr>
                <w:rFonts w:hint="eastAsia" w:eastAsia="宋体"/>
                <w:color w:val="auto"/>
                <w:lang w:eastAsia="zh-CN"/>
              </w:rPr>
            </w:pPr>
            <w:r>
              <w:rPr>
                <w:rFonts w:hint="eastAsia"/>
                <w:color w:val="auto"/>
                <w:kern w:val="0"/>
              </w:rPr>
              <w:t>本</w:t>
            </w:r>
            <w:r>
              <w:rPr>
                <w:rFonts w:hint="eastAsia"/>
                <w:color w:val="auto"/>
                <w:kern w:val="0"/>
                <w:lang w:val="en-US" w:eastAsia="zh-CN"/>
              </w:rPr>
              <w:t>项目所在果赛景区内</w:t>
            </w:r>
            <w:r>
              <w:rPr>
                <w:rFonts w:hint="default"/>
                <w:color w:val="auto"/>
                <w:lang w:val="en-US" w:eastAsia="zh-CN"/>
              </w:rPr>
              <w:t>有陆栖脊椎动物146种，隶属4个纲、21个目、52个科、109个属。其中被列入国家二类保护野生动物草原斑猫、兔狲、猞猁、马鹿、盘羊、雪鸡、鸢、乌灰鹘、红隼、猎隼、斑尾林鸽、蓑羽鹤、灰鹤等14种。有昆虫196种，林业害虫60多种。野生动物活动的范围有一定的区域性，在不同的区域可以看到不同种类野生动物的活动。</w:t>
            </w:r>
          </w:p>
          <w:p>
            <w:pPr>
              <w:bidi w:val="0"/>
              <w:rPr>
                <w:rFonts w:hint="eastAsia"/>
                <w:color w:val="auto"/>
                <w:lang w:val="en-US" w:eastAsia="zh-CN"/>
              </w:rPr>
            </w:pPr>
            <w:r>
              <w:rPr>
                <w:rFonts w:hint="eastAsia"/>
                <w:color w:val="auto"/>
                <w:lang w:val="en-US" w:eastAsia="zh-CN"/>
              </w:rPr>
              <w:t>本项目各地块</w:t>
            </w:r>
            <w:r>
              <w:rPr>
                <w:rFonts w:hint="eastAsia" w:ascii="Times New Roman" w:hAnsi="Times New Roman" w:eastAsia="宋体" w:cs="Times New Roman"/>
                <w:color w:val="auto"/>
                <w:lang w:val="en-US" w:eastAsia="zh-CN"/>
              </w:rPr>
              <w:t>海拔在1598-2368m，根据现场调查，</w:t>
            </w:r>
            <w:r>
              <w:rPr>
                <w:rFonts w:hint="eastAsia" w:cs="Times New Roman"/>
                <w:color w:val="auto"/>
                <w:lang w:val="en-US" w:eastAsia="zh-CN"/>
              </w:rPr>
              <w:t>本项目各地块中常见</w:t>
            </w:r>
            <w:r>
              <w:rPr>
                <w:rFonts w:hint="eastAsia" w:ascii="Times New Roman" w:hAnsi="Times New Roman" w:eastAsia="宋体" w:cs="Times New Roman"/>
                <w:color w:val="auto"/>
                <w:lang w:val="en-US" w:eastAsia="zh-CN"/>
              </w:rPr>
              <w:t>野生动物多为</w:t>
            </w:r>
            <w:r>
              <w:rPr>
                <w:rFonts w:hint="eastAsia"/>
                <w:lang w:val="zh-CN"/>
              </w:rPr>
              <w:t>秃鹫</w:t>
            </w:r>
            <w:r>
              <w:rPr>
                <w:rFonts w:hint="eastAsia"/>
                <w:color w:val="auto"/>
                <w:lang w:val="en-US" w:eastAsia="zh-CN"/>
              </w:rPr>
              <w:t>、</w:t>
            </w:r>
            <w:r>
              <w:rPr>
                <w:rFonts w:hint="eastAsia"/>
                <w:color w:val="auto"/>
                <w:kern w:val="28"/>
                <w:sz w:val="24"/>
              </w:rPr>
              <w:t>灰斑鸠</w:t>
            </w:r>
            <w:r>
              <w:rPr>
                <w:rFonts w:hint="eastAsia"/>
                <w:color w:val="auto"/>
                <w:kern w:val="28"/>
                <w:sz w:val="24"/>
                <w:lang w:eastAsia="zh-CN"/>
              </w:rPr>
              <w:t>、</w:t>
            </w:r>
            <w:r>
              <w:rPr>
                <w:rFonts w:hint="eastAsia"/>
                <w:color w:val="auto"/>
                <w:kern w:val="28"/>
                <w:sz w:val="24"/>
                <w:lang w:val="en-US" w:eastAsia="zh-CN"/>
              </w:rPr>
              <w:t>野鸡、乌鸦、</w:t>
            </w:r>
            <w:r>
              <w:rPr>
                <w:rFonts w:hint="eastAsia"/>
                <w:color w:val="auto"/>
                <w:kern w:val="28"/>
                <w:sz w:val="24"/>
              </w:rPr>
              <w:t>喜鹊、</w:t>
            </w:r>
            <w:r>
              <w:rPr>
                <w:rFonts w:hint="eastAsia"/>
                <w:color w:val="auto"/>
                <w:kern w:val="28"/>
                <w:sz w:val="24"/>
                <w:lang w:val="en-US" w:eastAsia="zh-CN"/>
              </w:rPr>
              <w:t>土拨鼠</w:t>
            </w:r>
            <w:r>
              <w:rPr>
                <w:rFonts w:hint="eastAsia"/>
                <w:color w:val="auto"/>
                <w:kern w:val="28"/>
                <w:sz w:val="24"/>
              </w:rPr>
              <w:t>、</w:t>
            </w:r>
            <w:r>
              <w:rPr>
                <w:rFonts w:hint="eastAsia"/>
                <w:color w:val="auto"/>
                <w:kern w:val="28"/>
                <w:sz w:val="24"/>
                <w:lang w:val="en-US" w:eastAsia="zh-CN"/>
              </w:rPr>
              <w:t>松鼠</w:t>
            </w:r>
            <w:r>
              <w:rPr>
                <w:rFonts w:hint="eastAsia"/>
                <w:color w:val="auto"/>
                <w:kern w:val="28"/>
                <w:sz w:val="24"/>
              </w:rPr>
              <w:t>、大耳</w:t>
            </w:r>
            <w:r>
              <w:rPr>
                <w:rFonts w:hint="eastAsia"/>
                <w:color w:val="auto"/>
                <w:kern w:val="28"/>
                <w:sz w:val="24"/>
                <w:lang w:val="en-US" w:eastAsia="zh-CN"/>
              </w:rPr>
              <w:t>猬</w:t>
            </w:r>
            <w:r>
              <w:rPr>
                <w:rFonts w:hint="eastAsia"/>
                <w:color w:val="auto"/>
                <w:kern w:val="28"/>
                <w:sz w:val="24"/>
              </w:rPr>
              <w:t>、草兔</w:t>
            </w:r>
            <w:r>
              <w:rPr>
                <w:rFonts w:hint="default"/>
                <w:color w:val="auto"/>
                <w:lang w:val="en-US" w:eastAsia="zh-CN"/>
              </w:rPr>
              <w:t>等</w:t>
            </w:r>
            <w:r>
              <w:rPr>
                <w:rFonts w:hint="eastAsia"/>
                <w:color w:val="auto"/>
                <w:lang w:val="en-US" w:eastAsia="zh-CN"/>
              </w:rPr>
              <w:t>。</w:t>
            </w:r>
            <w:r>
              <w:rPr>
                <w:rFonts w:hint="eastAsia" w:ascii="Times New Roman" w:hAnsi="Times New Roman" w:cs="Times New Roman"/>
                <w:color w:val="auto"/>
                <w:kern w:val="0"/>
                <w:lang w:val="en-US" w:eastAsia="zh-CN"/>
              </w:rPr>
              <w:t>区域内主要野生动物名录见表1-5。</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ind w:left="0" w:leftChars="0" w:right="0" w:rightChars="0" w:firstLine="0" w:firstLineChars="0"/>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表1-5   评价区域内主要野生动物名录</w:t>
            </w:r>
          </w:p>
          <w:tbl>
            <w:tblPr>
              <w:tblStyle w:val="13"/>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963"/>
              <w:gridCol w:w="1378"/>
              <w:gridCol w:w="3488"/>
              <w:gridCol w:w="658"/>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3" w:type="dxa"/>
                  <w:vMerge w:val="restart"/>
                  <w:tcBorders>
                    <w:top w:val="single" w:color="auto" w:sz="12" w:space="0"/>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highlight w:val="none"/>
                      <w:vertAlign w:val="baseline"/>
                      <w:lang w:val="en-US" w:eastAsia="zh-CN" w:bidi="ar-SA"/>
                    </w:rPr>
                  </w:pPr>
                  <w:r>
                    <w:rPr>
                      <w:rFonts w:hint="eastAsia" w:ascii="Times New Roman" w:hAnsi="Times New Roman" w:cs="Times New Roman"/>
                      <w:b/>
                      <w:bCs/>
                      <w:color w:val="auto"/>
                      <w:kern w:val="2"/>
                      <w:sz w:val="21"/>
                      <w:szCs w:val="21"/>
                      <w:highlight w:val="none"/>
                      <w:vertAlign w:val="baseline"/>
                      <w:lang w:val="en-US" w:eastAsia="zh-CN" w:bidi="ar-SA"/>
                    </w:rPr>
                    <w:t>类别</w:t>
                  </w:r>
                </w:p>
              </w:tc>
              <w:tc>
                <w:tcPr>
                  <w:tcW w:w="963"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种类</w:t>
                  </w:r>
                </w:p>
              </w:tc>
              <w:tc>
                <w:tcPr>
                  <w:tcW w:w="1378"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学名</w:t>
                  </w:r>
                </w:p>
              </w:tc>
              <w:tc>
                <w:tcPr>
                  <w:tcW w:w="3488" w:type="dxa"/>
                  <w:vMerge w:val="restart"/>
                  <w:tcBorders>
                    <w:top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生活习性</w:t>
                  </w:r>
                </w:p>
              </w:tc>
              <w:tc>
                <w:tcPr>
                  <w:tcW w:w="1346" w:type="dxa"/>
                  <w:gridSpan w:val="2"/>
                  <w:tcBorders>
                    <w:top w:val="single" w:color="auto" w:sz="12"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保护等级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3" w:type="dxa"/>
                  <w:vMerge w:val="continue"/>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96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137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3488" w:type="dxa"/>
                  <w:vMerge w:val="continue"/>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658" w:type="dxa"/>
                  <w:tcBorders>
                    <w:top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国家</w:t>
                  </w:r>
                </w:p>
              </w:tc>
              <w:tc>
                <w:tcPr>
                  <w:tcW w:w="688" w:type="dxa"/>
                  <w:tcBorders>
                    <w:top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color w:val="auto"/>
                      <w:kern w:val="2"/>
                      <w:sz w:val="21"/>
                      <w:szCs w:val="21"/>
                      <w:highlight w:val="none"/>
                      <w:vertAlign w:val="baseline"/>
                      <w:lang w:val="en-US" w:eastAsia="zh-CN" w:bidi="ar-SA"/>
                    </w:rPr>
                  </w:pPr>
                  <w:r>
                    <w:rPr>
                      <w:rFonts w:hint="eastAsia" w:cs="Times New Roman"/>
                      <w:b/>
                      <w:bCs/>
                      <w:color w:val="auto"/>
                      <w:kern w:val="2"/>
                      <w:sz w:val="21"/>
                      <w:szCs w:val="21"/>
                      <w:highlight w:val="none"/>
                      <w:vertAlign w:val="baseline"/>
                      <w:lang w:val="en-US" w:eastAsia="zh-CN" w:bidi="ar-SA"/>
                    </w:rPr>
                    <w:t>新疆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03" w:type="dxa"/>
                  <w:vMerge w:val="restart"/>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乳</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类</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草兔</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000000"/>
                      <w:spacing w:val="0"/>
                      <w:sz w:val="18"/>
                      <w:szCs w:val="18"/>
                      <w:shd w:val="clear" w:fill="FFFFFF"/>
                      <w:lang w:val="en-US" w:eastAsia="zh-CN"/>
                    </w:rPr>
                  </w:pPr>
                  <w:r>
                    <w:rPr>
                      <w:rFonts w:hint="default" w:ascii="Times New Roman" w:hAnsi="Times New Roman" w:eastAsia="宋体" w:cs="Times New Roman"/>
                      <w:i w:val="0"/>
                      <w:iCs w:val="0"/>
                      <w:caps w:val="0"/>
                      <w:color w:val="000000"/>
                      <w:spacing w:val="0"/>
                      <w:sz w:val="18"/>
                      <w:szCs w:val="18"/>
                      <w:shd w:val="clear" w:fill="FFFFFF"/>
                    </w:rPr>
                    <w:t>Lepus capensis</w:t>
                  </w:r>
                </w:p>
              </w:tc>
              <w:tc>
                <w:tcPr>
                  <w:tcW w:w="348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i w:val="0"/>
                      <w:iCs w:val="0"/>
                      <w:caps w:val="0"/>
                      <w:color w:val="000000"/>
                      <w:spacing w:val="0"/>
                      <w:sz w:val="18"/>
                      <w:szCs w:val="18"/>
                      <w:shd w:val="clear" w:fill="FFFFFF"/>
                      <w:lang w:val="en-US" w:eastAsia="zh-CN"/>
                    </w:rPr>
                  </w:pPr>
                  <w:r>
                    <w:rPr>
                      <w:rFonts w:hint="default" w:ascii="Times New Roman" w:hAnsi="Times New Roman" w:eastAsia="宋体" w:cs="Times New Roman"/>
                      <w:i w:val="0"/>
                      <w:iCs w:val="0"/>
                      <w:caps w:val="0"/>
                      <w:color w:val="000000"/>
                      <w:spacing w:val="0"/>
                      <w:sz w:val="18"/>
                      <w:szCs w:val="18"/>
                      <w:shd w:val="clear" w:fill="FFFFFF"/>
                    </w:rPr>
                    <w:t>夜间活动</w:t>
                  </w:r>
                  <w:r>
                    <w:rPr>
                      <w:rFonts w:hint="eastAsia" w:ascii="Times New Roman" w:hAnsi="Times New Roman" w:eastAsia="宋体" w:cs="Times New Roman"/>
                      <w:i w:val="0"/>
                      <w:iCs w:val="0"/>
                      <w:caps w:val="0"/>
                      <w:color w:val="000000"/>
                      <w:spacing w:val="0"/>
                      <w:sz w:val="18"/>
                      <w:szCs w:val="18"/>
                      <w:shd w:val="clear" w:fill="FFFFFF"/>
                      <w:lang w:eastAsia="zh-CN"/>
                    </w:rPr>
                    <w:t>，</w:t>
                  </w:r>
                  <w:r>
                    <w:rPr>
                      <w:rFonts w:hint="default" w:ascii="Times New Roman" w:hAnsi="Times New Roman" w:eastAsia="宋体" w:cs="Times New Roman"/>
                      <w:i w:val="0"/>
                      <w:iCs w:val="0"/>
                      <w:caps w:val="0"/>
                      <w:color w:val="000000"/>
                      <w:spacing w:val="0"/>
                      <w:sz w:val="18"/>
                      <w:szCs w:val="18"/>
                      <w:shd w:val="clear" w:fill="FFFFFF"/>
                    </w:rPr>
                    <w:t>终生生活于地面，不掘洞，善于奔跑</w:t>
                  </w:r>
                </w:p>
              </w:tc>
              <w:tc>
                <w:tcPr>
                  <w:tcW w:w="658" w:type="dxa"/>
                  <w:tcBorders>
                    <w:top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c>
                <w:tcPr>
                  <w:tcW w:w="688" w:type="dxa"/>
                  <w:tcBorders>
                    <w:top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703" w:type="dxa"/>
                  <w:vMerge w:val="continue"/>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土拨鼠</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000000"/>
                      <w:spacing w:val="0"/>
                      <w:sz w:val="18"/>
                      <w:szCs w:val="18"/>
                      <w:shd w:val="clear" w:fill="FFFFFF"/>
                      <w:lang w:val="en-US" w:eastAsia="zh-CN"/>
                    </w:rPr>
                  </w:pPr>
                  <w:r>
                    <w:rPr>
                      <w:rFonts w:hint="default" w:ascii="Times New Roman" w:hAnsi="Times New Roman" w:eastAsia="宋体" w:cs="Times New Roman"/>
                      <w:i w:val="0"/>
                      <w:iCs w:val="0"/>
                      <w:caps w:val="0"/>
                      <w:color w:val="000000"/>
                      <w:spacing w:val="0"/>
                      <w:sz w:val="18"/>
                      <w:szCs w:val="18"/>
                      <w:shd w:val="clear" w:fill="FFFFFF"/>
                    </w:rPr>
                    <w:t>prairie dog</w:t>
                  </w:r>
                </w:p>
              </w:tc>
              <w:tc>
                <w:tcPr>
                  <w:tcW w:w="348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i w:val="0"/>
                      <w:iCs w:val="0"/>
                      <w:caps w:val="0"/>
                      <w:color w:val="000000"/>
                      <w:spacing w:val="0"/>
                      <w:sz w:val="18"/>
                      <w:szCs w:val="18"/>
                      <w:shd w:val="clear" w:fill="FFFFFF"/>
                      <w:lang w:val="en-US" w:eastAsia="zh-CN"/>
                    </w:rPr>
                  </w:pPr>
                  <w:r>
                    <w:rPr>
                      <w:rFonts w:hint="default" w:ascii="Times New Roman" w:hAnsi="Times New Roman" w:eastAsia="宋体" w:cs="Times New Roman"/>
                      <w:i w:val="0"/>
                      <w:iCs w:val="0"/>
                      <w:caps w:val="0"/>
                      <w:color w:val="000000"/>
                      <w:spacing w:val="0"/>
                      <w:sz w:val="18"/>
                      <w:szCs w:val="18"/>
                      <w:shd w:val="clear" w:fill="FFFFFF"/>
                    </w:rPr>
                    <w:t>在白天活动，喜群居，善掘土，以素食为主</w:t>
                  </w:r>
                  <w:r>
                    <w:rPr>
                      <w:rFonts w:hint="eastAsia" w:ascii="Times New Roman" w:hAnsi="Times New Roman" w:eastAsia="宋体" w:cs="Times New Roman"/>
                      <w:i w:val="0"/>
                      <w:iCs w:val="0"/>
                      <w:caps w:val="0"/>
                      <w:color w:val="000000"/>
                      <w:spacing w:val="0"/>
                      <w:sz w:val="18"/>
                      <w:szCs w:val="18"/>
                      <w:shd w:val="clear" w:fill="FFFFFF"/>
                      <w:lang w:eastAsia="zh-CN"/>
                    </w:rPr>
                    <w:t>，</w:t>
                  </w:r>
                  <w:r>
                    <w:rPr>
                      <w:rFonts w:hint="default" w:ascii="Times New Roman" w:hAnsi="Times New Roman" w:eastAsia="宋体" w:cs="Times New Roman"/>
                      <w:i w:val="0"/>
                      <w:iCs w:val="0"/>
                      <w:caps w:val="0"/>
                      <w:color w:val="000000"/>
                      <w:spacing w:val="0"/>
                      <w:sz w:val="18"/>
                      <w:szCs w:val="18"/>
                      <w:shd w:val="clear" w:fill="FFFFFF"/>
                    </w:rPr>
                    <w:t>寿命可达15~20年</w:t>
                  </w:r>
                  <w:r>
                    <w:rPr>
                      <w:rFonts w:hint="eastAsia" w:ascii="Times New Roman" w:hAnsi="Times New Roman" w:eastAsia="宋体" w:cs="Times New Roman"/>
                      <w:i w:val="0"/>
                      <w:iCs w:val="0"/>
                      <w:caps w:val="0"/>
                      <w:color w:val="000000"/>
                      <w:spacing w:val="0"/>
                      <w:sz w:val="18"/>
                      <w:szCs w:val="18"/>
                      <w:shd w:val="clear" w:fill="FFFFFF"/>
                      <w:lang w:eastAsia="zh-CN"/>
                    </w:rPr>
                    <w:t>。</w:t>
                  </w:r>
                </w:p>
              </w:tc>
              <w:tc>
                <w:tcPr>
                  <w:tcW w:w="65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c>
                <w:tcPr>
                  <w:tcW w:w="68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3" w:type="dxa"/>
                  <w:vMerge w:val="continue"/>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松鼠</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000000"/>
                      <w:spacing w:val="0"/>
                      <w:sz w:val="18"/>
                      <w:szCs w:val="18"/>
                      <w:shd w:val="clear" w:fill="FFFFFF"/>
                      <w:lang w:val="en-US" w:eastAsia="zh-CN"/>
                    </w:rPr>
                  </w:pPr>
                  <w:r>
                    <w:rPr>
                      <w:rFonts w:hint="default" w:ascii="Times New Roman" w:hAnsi="Times New Roman" w:eastAsia="宋体" w:cs="Times New Roman"/>
                      <w:i w:val="0"/>
                      <w:iCs w:val="0"/>
                      <w:caps w:val="0"/>
                      <w:color w:val="000000"/>
                      <w:spacing w:val="0"/>
                      <w:sz w:val="18"/>
                      <w:szCs w:val="18"/>
                      <w:shd w:val="clear" w:fill="FFFFFF"/>
                    </w:rPr>
                    <w:t>Sciuridae</w:t>
                  </w:r>
                </w:p>
              </w:tc>
              <w:tc>
                <w:tcPr>
                  <w:tcW w:w="348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000000"/>
                      <w:spacing w:val="0"/>
                      <w:sz w:val="18"/>
                      <w:szCs w:val="18"/>
                      <w:shd w:val="clear" w:fill="FFFFFF"/>
                      <w:lang w:val="en-US" w:eastAsia="zh-CN"/>
                    </w:rPr>
                  </w:pPr>
                  <w:r>
                    <w:rPr>
                      <w:rFonts w:hint="default" w:ascii="Times New Roman" w:hAnsi="Times New Roman" w:eastAsia="宋体" w:cs="Times New Roman"/>
                      <w:i w:val="0"/>
                      <w:iCs w:val="0"/>
                      <w:caps w:val="0"/>
                      <w:color w:val="000000"/>
                      <w:spacing w:val="0"/>
                      <w:sz w:val="18"/>
                      <w:szCs w:val="18"/>
                      <w:shd w:val="clear" w:fill="FFFFFF"/>
                    </w:rPr>
                    <w:t>天明而起，天黑而息。早晚觅食货源，中午基本上在树上隐蔽处休息。每年繁殖1～2胎，每窝4～6只。</w:t>
                  </w:r>
                </w:p>
              </w:tc>
              <w:tc>
                <w:tcPr>
                  <w:tcW w:w="65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c>
                <w:tcPr>
                  <w:tcW w:w="68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03" w:type="dxa"/>
                  <w:vMerge w:val="continue"/>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大耳猬</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000000"/>
                      <w:spacing w:val="0"/>
                      <w:sz w:val="18"/>
                      <w:szCs w:val="18"/>
                      <w:shd w:val="clear" w:fill="FFFFFF"/>
                      <w:lang w:val="en-US" w:eastAsia="zh-CN"/>
                    </w:rPr>
                  </w:pPr>
                  <w:r>
                    <w:rPr>
                      <w:rFonts w:hint="default" w:ascii="Times New Roman" w:hAnsi="Times New Roman" w:eastAsia="宋体" w:cs="Times New Roman"/>
                      <w:i w:val="0"/>
                      <w:iCs w:val="0"/>
                      <w:caps w:val="0"/>
                      <w:color w:val="000000"/>
                      <w:spacing w:val="0"/>
                      <w:sz w:val="18"/>
                      <w:szCs w:val="18"/>
                      <w:shd w:val="clear" w:fill="FFFFFF"/>
                    </w:rPr>
                    <w:t>Hemiechinus auritus</w:t>
                  </w:r>
                </w:p>
              </w:tc>
              <w:tc>
                <w:tcPr>
                  <w:tcW w:w="348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i w:val="0"/>
                      <w:iCs w:val="0"/>
                      <w:caps w:val="0"/>
                      <w:color w:val="000000"/>
                      <w:spacing w:val="0"/>
                      <w:sz w:val="18"/>
                      <w:szCs w:val="18"/>
                      <w:shd w:val="clear" w:fill="FFFFFF"/>
                      <w:lang w:val="en-US" w:eastAsia="zh-CN"/>
                    </w:rPr>
                  </w:pPr>
                  <w:r>
                    <w:rPr>
                      <w:rFonts w:hint="default" w:ascii="Times New Roman" w:hAnsi="Times New Roman" w:eastAsia="宋体" w:cs="Times New Roman"/>
                      <w:i w:val="0"/>
                      <w:iCs w:val="0"/>
                      <w:caps w:val="0"/>
                      <w:color w:val="000000"/>
                      <w:spacing w:val="0"/>
                      <w:sz w:val="18"/>
                      <w:szCs w:val="18"/>
                      <w:shd w:val="clear" w:fill="FFFFFF"/>
                    </w:rPr>
                    <w:t>昼伏夜出、胆小怕光、多疑孤僻，冬眠，以家族</w:t>
                  </w:r>
                  <w:r>
                    <w:rPr>
                      <w:rFonts w:hint="default" w:ascii="Times New Roman" w:hAnsi="Times New Roman" w:eastAsia="宋体" w:cs="Times New Roman"/>
                      <w:i w:val="0"/>
                      <w:iCs w:val="0"/>
                      <w:caps w:val="0"/>
                      <w:color w:val="000000"/>
                      <w:spacing w:val="0"/>
                      <w:sz w:val="18"/>
                      <w:szCs w:val="18"/>
                      <w:shd w:val="clear" w:fill="FFFFFF"/>
                    </w:rPr>
                    <w:fldChar w:fldCharType="begin"/>
                  </w:r>
                  <w:r>
                    <w:rPr>
                      <w:rFonts w:hint="default" w:ascii="Times New Roman" w:hAnsi="Times New Roman" w:eastAsia="宋体" w:cs="Times New Roman"/>
                      <w:i w:val="0"/>
                      <w:iCs w:val="0"/>
                      <w:caps w:val="0"/>
                      <w:color w:val="000000"/>
                      <w:spacing w:val="0"/>
                      <w:sz w:val="18"/>
                      <w:szCs w:val="18"/>
                      <w:shd w:val="clear" w:fill="FFFFFF"/>
                    </w:rPr>
                    <w:instrText xml:space="preserve"> HYPERLINK "https://baike.so.com/doc/5682598-5895275.html" \t "https://baike.so.com/doc/_blank" </w:instrText>
                  </w:r>
                  <w:r>
                    <w:rPr>
                      <w:rFonts w:hint="default" w:ascii="Times New Roman" w:hAnsi="Times New Roman" w:eastAsia="宋体" w:cs="Times New Roman"/>
                      <w:i w:val="0"/>
                      <w:iCs w:val="0"/>
                      <w:caps w:val="0"/>
                      <w:color w:val="000000"/>
                      <w:spacing w:val="0"/>
                      <w:sz w:val="18"/>
                      <w:szCs w:val="18"/>
                      <w:shd w:val="clear" w:fill="FFFFFF"/>
                    </w:rPr>
                    <w:fldChar w:fldCharType="separate"/>
                  </w:r>
                  <w:r>
                    <w:rPr>
                      <w:rFonts w:hint="default" w:ascii="Times New Roman" w:hAnsi="Times New Roman" w:eastAsia="宋体" w:cs="Times New Roman"/>
                      <w:i w:val="0"/>
                      <w:iCs w:val="0"/>
                      <w:caps w:val="0"/>
                      <w:color w:val="000000"/>
                      <w:spacing w:val="0"/>
                      <w:sz w:val="18"/>
                      <w:szCs w:val="18"/>
                      <w:shd w:val="clear" w:fill="FFFFFF"/>
                    </w:rPr>
                    <w:t>群落</w:t>
                  </w:r>
                  <w:r>
                    <w:rPr>
                      <w:rFonts w:hint="default" w:ascii="Times New Roman" w:hAnsi="Times New Roman" w:eastAsia="宋体" w:cs="Times New Roman"/>
                      <w:i w:val="0"/>
                      <w:iCs w:val="0"/>
                      <w:caps w:val="0"/>
                      <w:color w:val="000000"/>
                      <w:spacing w:val="0"/>
                      <w:sz w:val="18"/>
                      <w:szCs w:val="18"/>
                      <w:shd w:val="clear" w:fill="FFFFFF"/>
                    </w:rPr>
                    <w:fldChar w:fldCharType="end"/>
                  </w:r>
                  <w:r>
                    <w:rPr>
                      <w:rFonts w:hint="default" w:ascii="Times New Roman" w:hAnsi="Times New Roman" w:eastAsia="宋体" w:cs="Times New Roman"/>
                      <w:i w:val="0"/>
                      <w:iCs w:val="0"/>
                      <w:caps w:val="0"/>
                      <w:color w:val="000000"/>
                      <w:spacing w:val="0"/>
                      <w:sz w:val="18"/>
                      <w:szCs w:val="18"/>
                      <w:shd w:val="clear" w:fill="FFFFFF"/>
                    </w:rPr>
                    <w:t>为单位栖息和繁殖，杂食性，主要以昆虫为主</w:t>
                  </w:r>
                </w:p>
              </w:tc>
              <w:tc>
                <w:tcPr>
                  <w:tcW w:w="65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p>
              </w:tc>
              <w:tc>
                <w:tcPr>
                  <w:tcW w:w="68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03" w:type="dxa"/>
                  <w:vMerge w:val="restart"/>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鸟类</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zh-CN" w:eastAsia="zh-CN" w:bidi="ar-SA"/>
                    </w:rPr>
                    <w:t>秃鹫</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000000"/>
                      <w:spacing w:val="0"/>
                      <w:sz w:val="18"/>
                      <w:szCs w:val="18"/>
                      <w:shd w:val="clear" w:fill="FFFFFF"/>
                      <w:lang w:val="en-US" w:eastAsia="zh-CN"/>
                    </w:rPr>
                  </w:pPr>
                  <w:r>
                    <w:rPr>
                      <w:rFonts w:hint="default" w:ascii="Times New Roman" w:hAnsi="Times New Roman" w:eastAsia="宋体" w:cs="Times New Roman"/>
                      <w:i w:val="0"/>
                      <w:iCs w:val="0"/>
                      <w:caps w:val="0"/>
                      <w:color w:val="000000"/>
                      <w:spacing w:val="0"/>
                      <w:sz w:val="18"/>
                      <w:szCs w:val="18"/>
                      <w:shd w:val="clear" w:fill="FFFFFF"/>
                    </w:rPr>
                    <w:t>Aegypius monachus</w:t>
                  </w:r>
                </w:p>
              </w:tc>
              <w:tc>
                <w:tcPr>
                  <w:tcW w:w="348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000000"/>
                      <w:spacing w:val="0"/>
                      <w:sz w:val="18"/>
                      <w:szCs w:val="18"/>
                      <w:shd w:val="clear" w:fill="FFFFFF"/>
                      <w:lang w:val="en-US" w:eastAsia="zh-CN"/>
                    </w:rPr>
                  </w:pPr>
                  <w:r>
                    <w:rPr>
                      <w:rFonts w:hint="default" w:ascii="Times New Roman" w:hAnsi="Times New Roman" w:eastAsia="宋体" w:cs="Times New Roman"/>
                      <w:i w:val="0"/>
                      <w:iCs w:val="0"/>
                      <w:caps w:val="0"/>
                      <w:color w:val="000000"/>
                      <w:spacing w:val="0"/>
                      <w:sz w:val="18"/>
                      <w:szCs w:val="18"/>
                      <w:shd w:val="clear" w:fill="FFFFFF"/>
                    </w:rPr>
                    <w:t>主要栖息于低山丘陵和高山荒原与森林中的荒岩草地、山谷溪流和林缘地带，常单独活动</w:t>
                  </w:r>
                </w:p>
              </w:tc>
              <w:tc>
                <w:tcPr>
                  <w:tcW w:w="65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Ⅱ</w:t>
                  </w:r>
                </w:p>
              </w:tc>
              <w:tc>
                <w:tcPr>
                  <w:tcW w:w="68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03" w:type="dxa"/>
                  <w:vMerge w:val="continue"/>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灰斑鸠</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000000"/>
                      <w:spacing w:val="0"/>
                      <w:sz w:val="18"/>
                      <w:szCs w:val="18"/>
                      <w:shd w:val="clear" w:fill="FFFFFF"/>
                      <w:lang w:val="en-US" w:eastAsia="zh-CN"/>
                    </w:rPr>
                  </w:pPr>
                  <w:r>
                    <w:rPr>
                      <w:rFonts w:hint="default" w:ascii="Times New Roman" w:hAnsi="Times New Roman" w:eastAsia="宋体" w:cs="Times New Roman"/>
                      <w:i w:val="0"/>
                      <w:iCs w:val="0"/>
                      <w:caps w:val="0"/>
                      <w:color w:val="000000"/>
                      <w:spacing w:val="0"/>
                      <w:sz w:val="18"/>
                      <w:szCs w:val="18"/>
                      <w:shd w:val="clear" w:fill="FFFFFF"/>
                    </w:rPr>
                    <w:t>Streptopelia decaocto</w:t>
                  </w:r>
                </w:p>
              </w:tc>
              <w:tc>
                <w:tcPr>
                  <w:tcW w:w="348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000000"/>
                      <w:spacing w:val="0"/>
                      <w:sz w:val="18"/>
                      <w:szCs w:val="18"/>
                      <w:shd w:val="clear" w:fill="FFFFFF"/>
                      <w:lang w:val="en-US" w:eastAsia="zh-CN"/>
                    </w:rPr>
                  </w:pPr>
                  <w:r>
                    <w:rPr>
                      <w:rFonts w:hint="default" w:ascii="Times New Roman" w:hAnsi="Times New Roman" w:eastAsia="宋体" w:cs="Times New Roman"/>
                      <w:i w:val="0"/>
                      <w:iCs w:val="0"/>
                      <w:caps w:val="0"/>
                      <w:color w:val="000000"/>
                      <w:spacing w:val="0"/>
                      <w:sz w:val="18"/>
                      <w:szCs w:val="18"/>
                      <w:shd w:val="clear" w:fill="FFFFFF"/>
                    </w:rPr>
                    <w:t>栖息于平原、山麓和低山丘陵地带树林中</w:t>
                  </w:r>
                </w:p>
              </w:tc>
              <w:tc>
                <w:tcPr>
                  <w:tcW w:w="65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c>
                <w:tcPr>
                  <w:tcW w:w="68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03" w:type="dxa"/>
                  <w:vMerge w:val="continue"/>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野鸡</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000000"/>
                      <w:spacing w:val="0"/>
                      <w:sz w:val="18"/>
                      <w:szCs w:val="18"/>
                      <w:shd w:val="clear" w:fill="FFFFFF"/>
                      <w:lang w:val="en-US" w:eastAsia="zh-CN"/>
                    </w:rPr>
                  </w:pPr>
                  <w:r>
                    <w:rPr>
                      <w:rFonts w:hint="default" w:ascii="Times New Roman" w:hAnsi="Times New Roman" w:eastAsia="宋体" w:cs="Times New Roman"/>
                      <w:i w:val="0"/>
                      <w:iCs w:val="0"/>
                      <w:caps w:val="0"/>
                      <w:color w:val="000000"/>
                      <w:spacing w:val="0"/>
                      <w:sz w:val="18"/>
                      <w:szCs w:val="18"/>
                      <w:shd w:val="clear" w:fill="FFFFFF"/>
                    </w:rPr>
                    <w:t>Phasianus colchicus</w:t>
                  </w:r>
                </w:p>
              </w:tc>
              <w:tc>
                <w:tcPr>
                  <w:tcW w:w="348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i w:val="0"/>
                      <w:iCs w:val="0"/>
                      <w:caps w:val="0"/>
                      <w:color w:val="000000"/>
                      <w:spacing w:val="0"/>
                      <w:sz w:val="18"/>
                      <w:szCs w:val="18"/>
                      <w:shd w:val="clear" w:fill="FFFFFF"/>
                      <w:lang w:val="en-US" w:eastAsia="zh-CN"/>
                    </w:rPr>
                  </w:pPr>
                  <w:r>
                    <w:rPr>
                      <w:rFonts w:hint="eastAsia" w:ascii="Times New Roman" w:hAnsi="Times New Roman" w:eastAsia="宋体" w:cs="Times New Roman"/>
                      <w:i w:val="0"/>
                      <w:iCs w:val="0"/>
                      <w:caps w:val="0"/>
                      <w:color w:val="000000"/>
                      <w:spacing w:val="0"/>
                      <w:sz w:val="18"/>
                      <w:szCs w:val="18"/>
                      <w:shd w:val="clear" w:fill="FFFFFF"/>
                      <w:lang w:val="en-US" w:eastAsia="zh-CN"/>
                    </w:rPr>
                    <w:t>山区的草丛、灌木丛、小竹簇、山谷甸子、林缘草地等处是野鸡经常生活的地方</w:t>
                  </w:r>
                </w:p>
              </w:tc>
              <w:tc>
                <w:tcPr>
                  <w:tcW w:w="65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p>
              </w:tc>
              <w:tc>
                <w:tcPr>
                  <w:tcW w:w="68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03" w:type="dxa"/>
                  <w:vMerge w:val="continue"/>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乌鸦</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i w:val="0"/>
                      <w:iCs w:val="0"/>
                      <w:caps w:val="0"/>
                      <w:color w:val="000000"/>
                      <w:spacing w:val="0"/>
                      <w:sz w:val="18"/>
                      <w:szCs w:val="18"/>
                      <w:shd w:val="clear" w:fill="FFFFFF"/>
                      <w:lang w:val="en-US" w:eastAsia="zh-CN"/>
                    </w:rPr>
                  </w:pPr>
                  <w:r>
                    <w:rPr>
                      <w:rFonts w:hint="default" w:ascii="Times New Roman" w:hAnsi="Times New Roman" w:eastAsia="宋体" w:cs="Times New Roman"/>
                      <w:i w:val="0"/>
                      <w:iCs w:val="0"/>
                      <w:caps w:val="0"/>
                      <w:color w:val="000000"/>
                      <w:spacing w:val="0"/>
                      <w:sz w:val="18"/>
                      <w:szCs w:val="18"/>
                      <w:shd w:val="clear" w:fill="FFFFFF"/>
                    </w:rPr>
                    <w:t>Corvus</w:t>
                  </w:r>
                  <w:r>
                    <w:rPr>
                      <w:rFonts w:hint="eastAsia" w:ascii="Times New Roman" w:hAnsi="Times New Roman" w:cs="Times New Roman"/>
                      <w:i w:val="0"/>
                      <w:iCs w:val="0"/>
                      <w:caps w:val="0"/>
                      <w:color w:val="000000"/>
                      <w:spacing w:val="0"/>
                      <w:sz w:val="18"/>
                      <w:szCs w:val="18"/>
                      <w:shd w:val="clear" w:fill="FFFFFF"/>
                      <w:lang w:val="en-US" w:eastAsia="zh-CN"/>
                    </w:rPr>
                    <w:t xml:space="preserve"> c</w:t>
                  </w:r>
                  <w:r>
                    <w:rPr>
                      <w:rFonts w:hint="eastAsia" w:ascii="Times New Roman" w:hAnsi="Times New Roman" w:eastAsia="宋体" w:cs="Times New Roman"/>
                      <w:i w:val="0"/>
                      <w:iCs w:val="0"/>
                      <w:caps w:val="0"/>
                      <w:color w:val="000000"/>
                      <w:spacing w:val="0"/>
                      <w:sz w:val="18"/>
                      <w:szCs w:val="18"/>
                      <w:shd w:val="clear" w:fill="FFFFFF"/>
                      <w:lang w:val="en-US" w:eastAsia="zh-CN"/>
                    </w:rPr>
                    <w:t>orone</w:t>
                  </w:r>
                </w:p>
              </w:tc>
              <w:tc>
                <w:tcPr>
                  <w:tcW w:w="348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i w:val="0"/>
                      <w:iCs w:val="0"/>
                      <w:caps w:val="0"/>
                      <w:color w:val="000000"/>
                      <w:spacing w:val="0"/>
                      <w:sz w:val="18"/>
                      <w:szCs w:val="18"/>
                      <w:shd w:val="clear" w:fill="FFFFFF"/>
                      <w:lang w:val="en-US" w:eastAsia="zh-CN"/>
                    </w:rPr>
                  </w:pPr>
                  <w:r>
                    <w:rPr>
                      <w:rFonts w:hint="eastAsia" w:ascii="Times New Roman" w:hAnsi="Times New Roman" w:eastAsia="宋体" w:cs="Times New Roman"/>
                      <w:i w:val="0"/>
                      <w:iCs w:val="0"/>
                      <w:caps w:val="0"/>
                      <w:color w:val="000000"/>
                      <w:spacing w:val="0"/>
                      <w:sz w:val="18"/>
                      <w:szCs w:val="18"/>
                      <w:shd w:val="clear" w:fill="FFFFFF"/>
                      <w:lang w:val="en-US" w:eastAsia="zh-CN"/>
                    </w:rPr>
                    <w:t>喜结大群栖息，取食于矮草地及农耕地乌鸦，以无脊椎动物为主要食物</w:t>
                  </w:r>
                </w:p>
              </w:tc>
              <w:tc>
                <w:tcPr>
                  <w:tcW w:w="65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p>
              </w:tc>
              <w:tc>
                <w:tcPr>
                  <w:tcW w:w="688"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03" w:type="dxa"/>
                  <w:vMerge w:val="continue"/>
                  <w:tcBorders>
                    <w:left w:val="nil"/>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p>
              </w:tc>
              <w:tc>
                <w:tcPr>
                  <w:tcW w:w="963"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喜鹊</w:t>
                  </w:r>
                </w:p>
              </w:tc>
              <w:tc>
                <w:tcPr>
                  <w:tcW w:w="1378"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Arial" w:hAnsi="Arial" w:eastAsia="宋体" w:cs="Arial"/>
                      <w:i w:val="0"/>
                      <w:iCs w:val="0"/>
                      <w:caps w:val="0"/>
                      <w:color w:val="000000"/>
                      <w:spacing w:val="0"/>
                      <w:sz w:val="18"/>
                      <w:szCs w:val="18"/>
                      <w:shd w:val="clear" w:fill="FFFFFF"/>
                    </w:rPr>
                  </w:pPr>
                  <w:r>
                    <w:rPr>
                      <w:rFonts w:ascii="Arial" w:hAnsi="Arial" w:eastAsia="宋体" w:cs="Arial"/>
                      <w:i w:val="0"/>
                      <w:iCs w:val="0"/>
                      <w:caps w:val="0"/>
                      <w:color w:val="000000"/>
                      <w:spacing w:val="0"/>
                      <w:sz w:val="18"/>
                      <w:szCs w:val="18"/>
                      <w:shd w:val="clear" w:fill="FFFFFF"/>
                    </w:rPr>
                    <w:t>Picapica</w:t>
                  </w:r>
                </w:p>
              </w:tc>
              <w:tc>
                <w:tcPr>
                  <w:tcW w:w="3488" w:type="dxa"/>
                  <w:tcBorders>
                    <w:bottom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i w:val="0"/>
                      <w:iCs w:val="0"/>
                      <w:caps w:val="0"/>
                      <w:color w:val="000000"/>
                      <w:spacing w:val="0"/>
                      <w:sz w:val="18"/>
                      <w:szCs w:val="18"/>
                      <w:shd w:val="clear" w:fill="FFFFFF"/>
                      <w:lang w:val="en-US" w:eastAsia="zh-CN"/>
                    </w:rPr>
                  </w:pPr>
                  <w:r>
                    <w:rPr>
                      <w:rFonts w:hint="eastAsia" w:ascii="Times New Roman" w:hAnsi="Times New Roman" w:eastAsia="宋体" w:cs="Times New Roman"/>
                      <w:i w:val="0"/>
                      <w:iCs w:val="0"/>
                      <w:caps w:val="0"/>
                      <w:color w:val="000000"/>
                      <w:spacing w:val="0"/>
                      <w:sz w:val="18"/>
                      <w:szCs w:val="18"/>
                      <w:shd w:val="clear" w:fill="FFFFFF"/>
                      <w:lang w:val="en-US" w:eastAsia="zh-CN"/>
                    </w:rPr>
                    <w:t>西息于开阔的松林及阔叶林和城镇居民区。杂食性，但</w:t>
                  </w:r>
                  <w:r>
                    <w:rPr>
                      <w:rFonts w:hint="eastAsia" w:ascii="Times New Roman" w:hAnsi="Times New Roman" w:cs="Times New Roman"/>
                      <w:i w:val="0"/>
                      <w:iCs w:val="0"/>
                      <w:caps w:val="0"/>
                      <w:color w:val="000000"/>
                      <w:spacing w:val="0"/>
                      <w:sz w:val="18"/>
                      <w:szCs w:val="18"/>
                      <w:shd w:val="clear" w:fill="FFFFFF"/>
                      <w:lang w:val="en-US" w:eastAsia="zh-CN"/>
                    </w:rPr>
                    <w:t>以</w:t>
                  </w:r>
                  <w:r>
                    <w:rPr>
                      <w:rFonts w:hint="eastAsia" w:ascii="Times New Roman" w:hAnsi="Times New Roman" w:eastAsia="宋体" w:cs="Times New Roman"/>
                      <w:i w:val="0"/>
                      <w:iCs w:val="0"/>
                      <w:caps w:val="0"/>
                      <w:color w:val="000000"/>
                      <w:spacing w:val="0"/>
                      <w:sz w:val="18"/>
                      <w:szCs w:val="18"/>
                      <w:shd w:val="clear" w:fill="FFFFFF"/>
                      <w:lang w:val="en-US" w:eastAsia="zh-CN"/>
                    </w:rPr>
                    <w:t>动物性食物为主，兼食一些植物果实及种子</w:t>
                  </w:r>
                </w:p>
              </w:tc>
              <w:tc>
                <w:tcPr>
                  <w:tcW w:w="658" w:type="dxa"/>
                  <w:tcBorders>
                    <w:bottom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p>
              </w:tc>
              <w:tc>
                <w:tcPr>
                  <w:tcW w:w="688" w:type="dxa"/>
                  <w:tcBorders>
                    <w:bottom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p>
              </w:tc>
            </w:tr>
          </w:tbl>
          <w:p>
            <w:pPr>
              <w:pStyle w:val="10"/>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78" w:hRule="atLeast"/>
          <w:jc w:val="center"/>
        </w:trPr>
        <w:tc>
          <w:tcPr>
            <w:tcW w:w="266" w:type="pct"/>
            <w:noWrap w:val="0"/>
            <w:vAlign w:val="center"/>
          </w:tcPr>
          <w:p>
            <w:pPr>
              <w:pStyle w:val="17"/>
              <w:bidi w:val="0"/>
              <w:rPr>
                <w:rFonts w:hint="default"/>
                <w:color w:val="auto"/>
                <w:sz w:val="24"/>
                <w:szCs w:val="24"/>
                <w:lang w:val="en-US" w:eastAsia="zh-CN"/>
              </w:rPr>
            </w:pPr>
            <w:r>
              <w:rPr>
                <w:rFonts w:hint="default"/>
                <w:color w:val="auto"/>
                <w:sz w:val="24"/>
                <w:szCs w:val="24"/>
                <w:lang w:val="en-US" w:eastAsia="zh-CN"/>
              </w:rPr>
              <w:t>与项目有关的原有环境污染和生态破坏问题</w:t>
            </w:r>
          </w:p>
        </w:tc>
        <w:tc>
          <w:tcPr>
            <w:tcW w:w="4733" w:type="pct"/>
            <w:noWrap w:val="0"/>
            <w:vAlign w:val="center"/>
          </w:tcPr>
          <w:p>
            <w:pPr>
              <w:bidi w:val="0"/>
              <w:rPr>
                <w:rFonts w:hint="default"/>
                <w:color w:val="auto"/>
                <w:lang w:eastAsia="zh-CN"/>
              </w:rPr>
            </w:pPr>
            <w:r>
              <w:rPr>
                <w:rFonts w:hint="default"/>
                <w:color w:val="auto"/>
                <w:lang w:eastAsia="zh-CN"/>
              </w:rPr>
              <w:t>本项目属于新建项目，项目</w:t>
            </w:r>
            <w:r>
              <w:rPr>
                <w:rFonts w:hint="eastAsia"/>
                <w:color w:val="auto"/>
                <w:lang w:val="en-US" w:eastAsia="zh-CN"/>
              </w:rPr>
              <w:t>占地类型为天然草场，未占用基本农田，未在生态红线范围内，项目区生态环境良好，不存在与本项目</w:t>
            </w:r>
            <w:r>
              <w:rPr>
                <w:rFonts w:ascii="宋体" w:hAnsi="宋体" w:eastAsia="宋体" w:cs="宋体"/>
                <w:color w:val="auto"/>
                <w:sz w:val="24"/>
                <w:szCs w:val="24"/>
              </w:rPr>
              <w:t>有关的原有环境污染和生态破坏问题</w:t>
            </w:r>
            <w:r>
              <w:rPr>
                <w:rFonts w:hint="default"/>
                <w:color w:va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pStyle w:val="17"/>
              <w:bidi w:val="0"/>
              <w:rPr>
                <w:rFonts w:hint="default"/>
                <w:color w:val="auto"/>
                <w:sz w:val="24"/>
                <w:szCs w:val="24"/>
              </w:rPr>
            </w:pPr>
            <w:r>
              <w:rPr>
                <w:rFonts w:hint="default"/>
                <w:color w:val="auto"/>
                <w:sz w:val="24"/>
                <w:szCs w:val="24"/>
              </w:rPr>
              <w:t>生态环境保护目标</w:t>
            </w:r>
          </w:p>
        </w:tc>
        <w:tc>
          <w:tcPr>
            <w:tcW w:w="4733" w:type="pct"/>
            <w:noWrap w:val="0"/>
            <w:vAlign w:val="center"/>
          </w:tcPr>
          <w:p>
            <w:pPr>
              <w:bidi w:val="0"/>
              <w:rPr>
                <w:rFonts w:hint="default" w:ascii="Times New Roman" w:hAnsi="Times New Roman" w:cs="Times New Roman"/>
                <w:color w:val="auto"/>
                <w:sz w:val="24"/>
                <w:szCs w:val="24"/>
                <w:highlight w:val="none"/>
                <w:lang w:val="en-US" w:eastAsia="zh-CN"/>
              </w:rPr>
            </w:pPr>
            <w:r>
              <w:rPr>
                <w:rFonts w:hint="default"/>
                <w:color w:val="auto"/>
              </w:rPr>
              <w:t>本项目位于</w:t>
            </w:r>
            <w:r>
              <w:rPr>
                <w:rFonts w:hint="eastAsia"/>
                <w:color w:val="auto"/>
                <w:lang w:eastAsia="zh-CN"/>
              </w:rPr>
              <w:t>果子沟-赛里木湖景区</w:t>
            </w:r>
            <w:r>
              <w:rPr>
                <w:rFonts w:hint="default"/>
                <w:color w:val="auto"/>
              </w:rPr>
              <w:t>范围内，项目土地利用现状主要</w:t>
            </w:r>
            <w:r>
              <w:rPr>
                <w:rFonts w:hint="eastAsia"/>
                <w:color w:val="auto"/>
                <w:lang w:val="en-US" w:eastAsia="zh-CN"/>
              </w:rPr>
              <w:t>为天然牧</w:t>
            </w:r>
            <w:r>
              <w:rPr>
                <w:rFonts w:hint="default"/>
                <w:color w:val="auto"/>
              </w:rPr>
              <w:t>草地；现场踏勘时项目所在地及周边未发现国家重点保护的野生动植物资源和古树名木。亦不存在擅自改变林地用途、采伐林木行为，整体生态环境良好。生态环境保护目标如下：</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ind w:left="0" w:leftChars="0" w:right="0" w:rightChars="0" w:firstLine="0" w:firstLineChars="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表</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 xml:space="preserve">4  </w:t>
            </w:r>
            <w:r>
              <w:rPr>
                <w:rFonts w:hint="default" w:ascii="Times New Roman" w:hAnsi="Times New Roman" w:cs="Times New Roman"/>
                <w:color w:val="auto"/>
                <w:sz w:val="24"/>
                <w:szCs w:val="24"/>
                <w:highlight w:val="none"/>
                <w:lang w:val="en-US" w:eastAsia="zh-CN"/>
              </w:rPr>
              <w:t>生态环境主要保护目标</w:t>
            </w:r>
          </w:p>
          <w:tbl>
            <w:tblPr>
              <w:tblStyle w:val="13"/>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687"/>
              <w:gridCol w:w="863"/>
              <w:gridCol w:w="3065"/>
              <w:gridCol w:w="27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447" w:type="dxa"/>
                  <w:tcBorders>
                    <w:tl2br w:val="nil"/>
                    <w:tr2bl w:val="nil"/>
                  </w:tcBorders>
                  <w:vAlign w:val="center"/>
                </w:tcPr>
                <w:p>
                  <w:pPr>
                    <w:pStyle w:val="17"/>
                    <w:bidi w:val="0"/>
                    <w:jc w:val="center"/>
                    <w:rPr>
                      <w:rFonts w:hint="default"/>
                      <w:color w:val="auto"/>
                    </w:rPr>
                  </w:pPr>
                  <w:r>
                    <w:rPr>
                      <w:color w:val="auto"/>
                    </w:rPr>
                    <w:t>序号</w:t>
                  </w:r>
                </w:p>
              </w:tc>
              <w:tc>
                <w:tcPr>
                  <w:tcW w:w="687" w:type="dxa"/>
                  <w:tcBorders>
                    <w:tl2br w:val="nil"/>
                    <w:tr2bl w:val="nil"/>
                  </w:tcBorders>
                  <w:vAlign w:val="center"/>
                </w:tcPr>
                <w:p>
                  <w:pPr>
                    <w:pStyle w:val="17"/>
                    <w:bidi w:val="0"/>
                    <w:jc w:val="center"/>
                    <w:rPr>
                      <w:rFonts w:hint="default"/>
                      <w:color w:val="auto"/>
                    </w:rPr>
                  </w:pPr>
                  <w:r>
                    <w:rPr>
                      <w:color w:val="auto"/>
                    </w:rPr>
                    <w:t>保护目标</w:t>
                  </w:r>
                </w:p>
              </w:tc>
              <w:tc>
                <w:tcPr>
                  <w:tcW w:w="863" w:type="dxa"/>
                  <w:tcBorders>
                    <w:tl2br w:val="nil"/>
                    <w:tr2bl w:val="nil"/>
                  </w:tcBorders>
                  <w:vAlign w:val="center"/>
                </w:tcPr>
                <w:p>
                  <w:pPr>
                    <w:pStyle w:val="17"/>
                    <w:bidi w:val="0"/>
                    <w:jc w:val="center"/>
                    <w:rPr>
                      <w:rFonts w:hint="default"/>
                      <w:color w:val="auto"/>
                    </w:rPr>
                  </w:pPr>
                  <w:r>
                    <w:rPr>
                      <w:color w:val="auto"/>
                    </w:rPr>
                    <w:t>主要保护对象</w:t>
                  </w:r>
                </w:p>
              </w:tc>
              <w:tc>
                <w:tcPr>
                  <w:tcW w:w="3063" w:type="dxa"/>
                  <w:tcBorders>
                    <w:tl2br w:val="nil"/>
                    <w:tr2bl w:val="nil"/>
                  </w:tcBorders>
                  <w:vAlign w:val="center"/>
                </w:tcPr>
                <w:p>
                  <w:pPr>
                    <w:pStyle w:val="17"/>
                    <w:bidi w:val="0"/>
                    <w:jc w:val="center"/>
                    <w:rPr>
                      <w:rFonts w:hint="default"/>
                      <w:color w:val="auto"/>
                    </w:rPr>
                  </w:pPr>
                  <w:r>
                    <w:rPr>
                      <w:color w:val="auto"/>
                    </w:rPr>
                    <w:t>环境保护要求</w:t>
                  </w:r>
                </w:p>
              </w:tc>
              <w:tc>
                <w:tcPr>
                  <w:tcW w:w="2796" w:type="dxa"/>
                  <w:tcBorders>
                    <w:tl2br w:val="nil"/>
                    <w:tr2bl w:val="nil"/>
                  </w:tcBorders>
                  <w:vAlign w:val="center"/>
                </w:tcPr>
                <w:p>
                  <w:pPr>
                    <w:pStyle w:val="17"/>
                    <w:bidi w:val="0"/>
                    <w:jc w:val="center"/>
                    <w:rPr>
                      <w:rFonts w:hint="default"/>
                      <w:color w:val="auto"/>
                    </w:rPr>
                  </w:pPr>
                  <w:r>
                    <w:rPr>
                      <w:color w:val="auto"/>
                    </w:rPr>
                    <w:t>现场照片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447" w:type="dxa"/>
                  <w:tcBorders>
                    <w:tl2br w:val="nil"/>
                    <w:tr2bl w:val="nil"/>
                  </w:tcBorders>
                  <w:vAlign w:val="center"/>
                </w:tcPr>
                <w:p>
                  <w:pPr>
                    <w:pStyle w:val="17"/>
                    <w:bidi w:val="0"/>
                    <w:jc w:val="center"/>
                    <w:rPr>
                      <w:rFonts w:hint="default"/>
                      <w:color w:val="auto"/>
                    </w:rPr>
                  </w:pPr>
                  <w:r>
                    <w:rPr>
                      <w:color w:val="auto"/>
                    </w:rPr>
                    <w:t>1</w:t>
                  </w:r>
                </w:p>
              </w:tc>
              <w:tc>
                <w:tcPr>
                  <w:tcW w:w="687" w:type="dxa"/>
                  <w:tcBorders>
                    <w:tl2br w:val="nil"/>
                    <w:tr2bl w:val="nil"/>
                  </w:tcBorders>
                  <w:vAlign w:val="center"/>
                </w:tcPr>
                <w:p>
                  <w:pPr>
                    <w:pStyle w:val="17"/>
                    <w:bidi w:val="0"/>
                    <w:jc w:val="center"/>
                    <w:rPr>
                      <w:rFonts w:hint="default"/>
                      <w:color w:val="auto"/>
                    </w:rPr>
                  </w:pPr>
                  <w:r>
                    <w:rPr>
                      <w:color w:val="auto"/>
                    </w:rPr>
                    <w:t>草地</w:t>
                  </w:r>
                </w:p>
              </w:tc>
              <w:tc>
                <w:tcPr>
                  <w:tcW w:w="863" w:type="dxa"/>
                  <w:tcBorders>
                    <w:tl2br w:val="nil"/>
                    <w:tr2bl w:val="nil"/>
                  </w:tcBorders>
                  <w:vAlign w:val="center"/>
                </w:tcPr>
                <w:p>
                  <w:pPr>
                    <w:pStyle w:val="17"/>
                    <w:bidi w:val="0"/>
                    <w:jc w:val="center"/>
                    <w:rPr>
                      <w:color w:val="auto"/>
                    </w:rPr>
                  </w:pPr>
                  <w:r>
                    <w:rPr>
                      <w:color w:val="auto"/>
                    </w:rPr>
                    <w:t>天然</w:t>
                  </w:r>
                </w:p>
                <w:p>
                  <w:pPr>
                    <w:pStyle w:val="17"/>
                    <w:bidi w:val="0"/>
                    <w:jc w:val="center"/>
                    <w:rPr>
                      <w:rFonts w:hint="default"/>
                      <w:color w:val="auto"/>
                    </w:rPr>
                  </w:pPr>
                  <w:r>
                    <w:rPr>
                      <w:color w:val="auto"/>
                    </w:rPr>
                    <w:t>草场</w:t>
                  </w:r>
                </w:p>
              </w:tc>
              <w:tc>
                <w:tcPr>
                  <w:tcW w:w="3063" w:type="dxa"/>
                  <w:tcBorders>
                    <w:tl2br w:val="nil"/>
                    <w:tr2bl w:val="nil"/>
                  </w:tcBorders>
                  <w:vAlign w:val="center"/>
                </w:tcPr>
                <w:p>
                  <w:pPr>
                    <w:pStyle w:val="17"/>
                    <w:bidi w:val="0"/>
                    <w:jc w:val="center"/>
                    <w:rPr>
                      <w:rFonts w:hint="default"/>
                      <w:color w:val="auto"/>
                    </w:rPr>
                  </w:pPr>
                  <w:r>
                    <w:rPr>
                      <w:color w:val="auto"/>
                    </w:rPr>
                    <w:t>划定施工红线范围，施工行为控制在红线范围内，分段施工，保护项目控制区外草场不被破坏，避免临时占地破坏草场。合理安排施工时序，采取分层开挖、单独放、单独回填，保持土壤结构和肥力。施工结束后对临时占地进行恢复，对项目建设用地征用的草场进行资金补偿</w:t>
                  </w:r>
                </w:p>
              </w:tc>
              <w:tc>
                <w:tcPr>
                  <w:tcW w:w="2796" w:type="dxa"/>
                  <w:tcBorders>
                    <w:tl2br w:val="nil"/>
                    <w:tr2bl w:val="nil"/>
                  </w:tcBorders>
                  <w:vAlign w:val="center"/>
                </w:tcPr>
                <w:p>
                  <w:pPr>
                    <w:pStyle w:val="17"/>
                    <w:bidi w:val="0"/>
                    <w:jc w:val="center"/>
                    <w:rPr>
                      <w:rFonts w:hint="default"/>
                      <w:color w:val="auto"/>
                    </w:rPr>
                  </w:pPr>
                  <w:r>
                    <w:rPr>
                      <w:rFonts w:hint="default"/>
                      <w:color w:val="auto"/>
                    </w:rPr>
                    <w:drawing>
                      <wp:inline distT="0" distB="0" distL="114300" distR="114300">
                        <wp:extent cx="1609725" cy="1360170"/>
                        <wp:effectExtent l="0" t="0" r="9525" b="1143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8"/>
                                <a:stretch>
                                  <a:fillRect/>
                                </a:stretch>
                              </pic:blipFill>
                              <pic:spPr>
                                <a:xfrm>
                                  <a:off x="0" y="0"/>
                                  <a:ext cx="1609725" cy="136017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447" w:type="dxa"/>
                  <w:tcBorders>
                    <w:tl2br w:val="nil"/>
                    <w:tr2bl w:val="nil"/>
                  </w:tcBorders>
                  <w:vAlign w:val="center"/>
                </w:tcPr>
                <w:p>
                  <w:pPr>
                    <w:pStyle w:val="17"/>
                    <w:bidi w:val="0"/>
                    <w:jc w:val="center"/>
                    <w:rPr>
                      <w:rFonts w:hint="eastAsia" w:eastAsia="宋体"/>
                      <w:color w:val="auto"/>
                      <w:lang w:val="en-US" w:eastAsia="zh-CN"/>
                    </w:rPr>
                  </w:pPr>
                  <w:r>
                    <w:rPr>
                      <w:rFonts w:hint="eastAsia"/>
                      <w:color w:val="auto"/>
                      <w:lang w:val="en-US" w:eastAsia="zh-CN"/>
                    </w:rPr>
                    <w:t>2</w:t>
                  </w:r>
                </w:p>
              </w:tc>
              <w:tc>
                <w:tcPr>
                  <w:tcW w:w="687" w:type="dxa"/>
                  <w:tcBorders>
                    <w:tl2br w:val="nil"/>
                    <w:tr2bl w:val="nil"/>
                  </w:tcBorders>
                  <w:vAlign w:val="center"/>
                </w:tcPr>
                <w:p>
                  <w:pPr>
                    <w:pStyle w:val="17"/>
                    <w:bidi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土壤</w:t>
                  </w:r>
                </w:p>
              </w:tc>
              <w:tc>
                <w:tcPr>
                  <w:tcW w:w="863" w:type="dxa"/>
                  <w:tcBorders>
                    <w:tl2br w:val="nil"/>
                    <w:tr2bl w:val="nil"/>
                  </w:tcBorders>
                  <w:vAlign w:val="center"/>
                </w:tcPr>
                <w:p>
                  <w:pPr>
                    <w:pStyle w:val="17"/>
                    <w:bidi w:val="0"/>
                    <w:jc w:val="center"/>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亚高山</w:t>
                  </w:r>
                  <w:r>
                    <w:rPr>
                      <w:rFonts w:hint="eastAsia" w:ascii="Times New Roman" w:hAnsi="Times New Roman" w:eastAsia="宋体" w:cs="Times New Roman"/>
                      <w:color w:val="auto"/>
                    </w:rPr>
                    <w:t>草甸</w:t>
                  </w:r>
                  <w:r>
                    <w:rPr>
                      <w:rFonts w:hint="eastAsia" w:ascii="Times New Roman" w:hAnsi="Times New Roman" w:eastAsia="宋体" w:cs="Times New Roman"/>
                      <w:color w:val="auto"/>
                      <w:lang w:val="en-US" w:eastAsia="zh-CN"/>
                    </w:rPr>
                    <w:t>土</w:t>
                  </w:r>
                </w:p>
              </w:tc>
              <w:tc>
                <w:tcPr>
                  <w:tcW w:w="3063" w:type="dxa"/>
                  <w:tcBorders>
                    <w:tl2br w:val="nil"/>
                    <w:tr2bl w:val="nil"/>
                  </w:tcBorders>
                  <w:vAlign w:val="center"/>
                </w:tcPr>
                <w:p>
                  <w:pPr>
                    <w:pStyle w:val="17"/>
                    <w:bidi w:val="0"/>
                    <w:jc w:val="center"/>
                    <w:rPr>
                      <w:rFonts w:hint="default" w:eastAsia="宋体"/>
                      <w:color w:val="auto"/>
                      <w:lang w:val="en-US" w:eastAsia="zh-CN"/>
                    </w:rPr>
                  </w:pPr>
                  <w:r>
                    <w:rPr>
                      <w:color w:val="auto"/>
                    </w:rPr>
                    <w:t>严格划定施工区域，妥善保存表层土壤，</w:t>
                  </w:r>
                  <w:r>
                    <w:rPr>
                      <w:rFonts w:hint="eastAsia"/>
                      <w:color w:val="auto"/>
                      <w:lang w:val="en-US" w:eastAsia="zh-CN"/>
                    </w:rPr>
                    <w:t>施工期和运营期间废水严禁未经处理排放，废水处理设施采取重点防渗措施，垃圾做到日产日清。</w:t>
                  </w:r>
                </w:p>
              </w:tc>
              <w:tc>
                <w:tcPr>
                  <w:tcW w:w="2796" w:type="dxa"/>
                  <w:tcBorders>
                    <w:tl2br w:val="nil"/>
                    <w:tr2bl w:val="nil"/>
                  </w:tcBorders>
                  <w:vAlign w:val="center"/>
                </w:tcPr>
                <w:p>
                  <w:pPr>
                    <w:pStyle w:val="17"/>
                    <w:bidi w:val="0"/>
                    <w:jc w:val="center"/>
                    <w:rPr>
                      <w:rFonts w:hint="eastAsia" w:eastAsia="宋体"/>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447" w:type="dxa"/>
                  <w:tcBorders>
                    <w:tl2br w:val="nil"/>
                    <w:tr2bl w:val="nil"/>
                  </w:tcBorders>
                  <w:vAlign w:val="center"/>
                </w:tcPr>
                <w:p>
                  <w:pPr>
                    <w:pStyle w:val="17"/>
                    <w:bidi w:val="0"/>
                    <w:jc w:val="center"/>
                    <w:rPr>
                      <w:rFonts w:hint="default"/>
                      <w:color w:val="auto"/>
                    </w:rPr>
                  </w:pPr>
                  <w:r>
                    <w:rPr>
                      <w:color w:val="auto"/>
                    </w:rPr>
                    <w:t>2</w:t>
                  </w:r>
                </w:p>
              </w:tc>
              <w:tc>
                <w:tcPr>
                  <w:tcW w:w="687" w:type="dxa"/>
                  <w:tcBorders>
                    <w:tl2br w:val="nil"/>
                    <w:tr2bl w:val="nil"/>
                  </w:tcBorders>
                  <w:vAlign w:val="center"/>
                </w:tcPr>
                <w:p>
                  <w:pPr>
                    <w:pStyle w:val="17"/>
                    <w:bidi w:val="0"/>
                    <w:jc w:val="center"/>
                    <w:rPr>
                      <w:rFonts w:hint="default"/>
                      <w:color w:val="auto"/>
                    </w:rPr>
                  </w:pPr>
                  <w:r>
                    <w:rPr>
                      <w:color w:val="auto"/>
                    </w:rPr>
                    <w:t>野生动物</w:t>
                  </w:r>
                </w:p>
              </w:tc>
              <w:tc>
                <w:tcPr>
                  <w:tcW w:w="863" w:type="dxa"/>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野生动物、鸟类等</w:t>
                  </w:r>
                </w:p>
              </w:tc>
              <w:tc>
                <w:tcPr>
                  <w:tcW w:w="3063" w:type="dxa"/>
                  <w:tcBorders>
                    <w:tl2br w:val="nil"/>
                    <w:tr2bl w:val="nil"/>
                  </w:tcBorders>
                  <w:vAlign w:val="center"/>
                </w:tcPr>
                <w:p>
                  <w:pPr>
                    <w:pStyle w:val="17"/>
                    <w:bidi w:val="0"/>
                    <w:jc w:val="center"/>
                    <w:rPr>
                      <w:rFonts w:hint="default"/>
                      <w:color w:val="auto"/>
                    </w:rPr>
                  </w:pPr>
                  <w:r>
                    <w:rPr>
                      <w:color w:val="auto"/>
                    </w:rPr>
                    <w:t>严格划定施工区域，施工期加强环保宣传，保护项目控制区周边野生动物及植被不受项目施工破坏，严禁施工机械及人员对周边自然植被等进行碾压破坏，严禁猎杀项目区周边野生动物；运营期对管理人员及游客进行保护野生动物的宣传教育，禁止乱捕乱杀；设立警示牌，杜绝任何捕杀野生动物的非法行为；建设单位在运营期加强对旅游区内下站房索道驱动设施、水泵等产噪设备的日常维护和保养，避免超负荷运行，同时在设备选型上应采用低噪声设备，并采取基础减振等降噪措施，以确保设备产生的噪声对周围野生动物的影响不会增加；加强巡护，切实保障野生动物及其栖息的安全</w:t>
                  </w:r>
                </w:p>
              </w:tc>
              <w:tc>
                <w:tcPr>
                  <w:tcW w:w="2796" w:type="dxa"/>
                  <w:tcBorders>
                    <w:tl2br w:val="nil"/>
                    <w:tr2bl w:val="nil"/>
                  </w:tcBorders>
                  <w:vAlign w:val="center"/>
                </w:tcPr>
                <w:p>
                  <w:pPr>
                    <w:pStyle w:val="17"/>
                    <w:bidi w:val="0"/>
                    <w:jc w:val="center"/>
                    <w:rPr>
                      <w:rFonts w:hint="eastAsia" w:eastAsia="宋体"/>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447" w:type="dxa"/>
                  <w:tcBorders>
                    <w:tl2br w:val="nil"/>
                    <w:tr2bl w:val="nil"/>
                  </w:tcBorders>
                  <w:vAlign w:val="center"/>
                </w:tcPr>
                <w:p>
                  <w:pPr>
                    <w:pStyle w:val="17"/>
                    <w:bidi w:val="0"/>
                    <w:jc w:val="center"/>
                    <w:rPr>
                      <w:rFonts w:hint="default"/>
                      <w:color w:val="auto"/>
                    </w:rPr>
                  </w:pPr>
                  <w:r>
                    <w:rPr>
                      <w:color w:val="auto"/>
                    </w:rPr>
                    <w:t>3</w:t>
                  </w:r>
                </w:p>
              </w:tc>
              <w:tc>
                <w:tcPr>
                  <w:tcW w:w="687" w:type="dxa"/>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果子沟-赛里木湖景区</w:t>
                  </w:r>
                </w:p>
              </w:tc>
              <w:tc>
                <w:tcPr>
                  <w:tcW w:w="863" w:type="dxa"/>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风景区</w:t>
                  </w:r>
                </w:p>
              </w:tc>
              <w:tc>
                <w:tcPr>
                  <w:tcW w:w="3063" w:type="dxa"/>
                  <w:tcBorders>
                    <w:tl2br w:val="nil"/>
                    <w:tr2bl w:val="nil"/>
                  </w:tcBorders>
                  <w:vAlign w:val="center"/>
                </w:tcPr>
                <w:p>
                  <w:pPr>
                    <w:pStyle w:val="17"/>
                    <w:bidi w:val="0"/>
                    <w:jc w:val="center"/>
                    <w:rPr>
                      <w:rFonts w:hint="default"/>
                      <w:color w:val="auto"/>
                    </w:rPr>
                  </w:pPr>
                  <w:r>
                    <w:rPr>
                      <w:color w:val="auto"/>
                    </w:rPr>
                    <w:t>严格划定施工区域，施工期加强环保宣传，保护项目控制区周边野生动物及植被不受项目施工破坏，严禁施工机械及人员对周边自然植被等进行碾压破坏；运营期严禁猎杀项目区周边野生动物</w:t>
                  </w:r>
                </w:p>
              </w:tc>
              <w:tc>
                <w:tcPr>
                  <w:tcW w:w="2796" w:type="dxa"/>
                  <w:tcBorders>
                    <w:tl2br w:val="nil"/>
                    <w:tr2bl w:val="nil"/>
                  </w:tcBorders>
                  <w:vAlign w:val="center"/>
                </w:tcPr>
                <w:p>
                  <w:pPr>
                    <w:pStyle w:val="17"/>
                    <w:bidi w:val="0"/>
                    <w:jc w:val="center"/>
                    <w:rPr>
                      <w:rFonts w:hint="default"/>
                      <w:color w:val="auto"/>
                    </w:rPr>
                  </w:pPr>
                  <w:r>
                    <w:rPr>
                      <w:rFonts w:hint="default"/>
                      <w:color w:val="auto"/>
                    </w:rPr>
                    <w:drawing>
                      <wp:inline distT="0" distB="0" distL="114300" distR="114300">
                        <wp:extent cx="1624965" cy="1231265"/>
                        <wp:effectExtent l="0" t="0" r="13335" b="698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9"/>
                                <a:stretch>
                                  <a:fillRect/>
                                </a:stretch>
                              </pic:blipFill>
                              <pic:spPr>
                                <a:xfrm>
                                  <a:off x="0" y="0"/>
                                  <a:ext cx="1624965" cy="1231265"/>
                                </a:xfrm>
                                <a:prstGeom prst="rect">
                                  <a:avLst/>
                                </a:prstGeom>
                                <a:noFill/>
                                <a:ln>
                                  <a:noFill/>
                                </a:ln>
                              </pic:spPr>
                            </pic:pic>
                          </a:graphicData>
                        </a:graphic>
                      </wp:inline>
                    </w:drawing>
                  </w:r>
                </w:p>
              </w:tc>
            </w:tr>
          </w:tbl>
          <w:p>
            <w:pPr>
              <w:ind w:left="0" w:leftChars="0" w:firstLine="0" w:firstLineChars="0"/>
              <w:rPr>
                <w:rFonts w:hint="default"/>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noWrap w:val="0"/>
            <w:vAlign w:val="center"/>
          </w:tcPr>
          <w:p>
            <w:pPr>
              <w:pStyle w:val="17"/>
              <w:bidi w:val="0"/>
              <w:rPr>
                <w:rFonts w:hint="default" w:eastAsia="宋体"/>
                <w:color w:val="auto"/>
                <w:sz w:val="24"/>
                <w:szCs w:val="24"/>
                <w:lang w:val="en-US" w:eastAsia="zh-CN"/>
              </w:rPr>
            </w:pPr>
            <w:r>
              <w:rPr>
                <w:rFonts w:hint="eastAsia"/>
                <w:color w:val="auto"/>
                <w:sz w:val="24"/>
                <w:szCs w:val="24"/>
                <w:lang w:val="en-US" w:eastAsia="zh-CN"/>
              </w:rPr>
              <w:t>评价标准</w:t>
            </w:r>
          </w:p>
        </w:tc>
        <w:tc>
          <w:tcPr>
            <w:tcW w:w="4733" w:type="pct"/>
            <w:noWrap w:val="0"/>
            <w:vAlign w:val="center"/>
          </w:tcPr>
          <w:p>
            <w:pPr>
              <w:bidi w:val="0"/>
              <w:ind w:left="0" w:leftChars="0" w:firstLine="0" w:firstLineChars="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1 环境质量标准</w:t>
            </w:r>
          </w:p>
          <w:p>
            <w:pPr>
              <w:bidi w:val="0"/>
              <w:rPr>
                <w:rFonts w:hint="eastAsia"/>
                <w:color w:val="auto"/>
                <w:lang w:eastAsia="zh-CN"/>
              </w:rPr>
            </w:pPr>
            <w:r>
              <w:rPr>
                <w:rFonts w:hint="eastAsia"/>
                <w:color w:val="auto"/>
                <w:lang w:eastAsia="zh-CN"/>
              </w:rPr>
              <w:t>（1）</w:t>
            </w:r>
            <w:r>
              <w:rPr>
                <w:rFonts w:hint="default" w:ascii="Times New Roman" w:hAnsi="Times New Roman" w:cs="Times New Roman"/>
                <w:color w:val="auto"/>
                <w:sz w:val="24"/>
              </w:rPr>
              <w:t>大气环境：</w:t>
            </w:r>
            <w:r>
              <w:rPr>
                <w:rFonts w:hint="eastAsia"/>
                <w:color w:val="auto"/>
                <w:lang w:eastAsia="zh-CN"/>
              </w:rPr>
              <w:t>《环境空气质量标准》（GB3095-2012）及其修改单中的</w:t>
            </w:r>
            <w:r>
              <w:rPr>
                <w:rFonts w:hint="eastAsia"/>
                <w:color w:val="auto"/>
                <w:lang w:val="en-US" w:eastAsia="zh-CN"/>
              </w:rPr>
              <w:t>二</w:t>
            </w:r>
            <w:r>
              <w:rPr>
                <w:rFonts w:hint="eastAsia"/>
                <w:color w:val="auto"/>
                <w:lang w:eastAsia="zh-CN"/>
              </w:rPr>
              <w:t>级标准；</w:t>
            </w:r>
          </w:p>
          <w:p>
            <w:pPr>
              <w:bidi w:val="0"/>
              <w:rPr>
                <w:rFonts w:hint="eastAsia" w:eastAsia="宋体"/>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s="Times New Roman"/>
                <w:color w:val="auto"/>
                <w:sz w:val="24"/>
                <w:lang w:val="en-US" w:eastAsia="zh-CN"/>
              </w:rPr>
              <w:t>地表水</w:t>
            </w:r>
            <w:r>
              <w:rPr>
                <w:rFonts w:hint="default" w:ascii="Times New Roman" w:hAnsi="Times New Roman" w:cs="Times New Roman"/>
                <w:color w:val="auto"/>
                <w:sz w:val="24"/>
              </w:rPr>
              <w:t>环境：</w:t>
            </w:r>
            <w:r>
              <w:rPr>
                <w:rFonts w:hint="default" w:ascii="Times New Roman" w:hAnsi="Times New Roman" w:eastAsia="宋体" w:cs="Times New Roman"/>
                <w:color w:val="auto"/>
                <w:sz w:val="24"/>
                <w:szCs w:val="28"/>
                <w:highlight w:val="none"/>
              </w:rPr>
              <w:t>《地表水环境质量标准》（GB3838—2002）中Ⅱ类标准</w:t>
            </w:r>
            <w:r>
              <w:rPr>
                <w:rFonts w:hint="eastAsia" w:cs="Times New Roman"/>
                <w:color w:val="auto"/>
                <w:sz w:val="24"/>
                <w:szCs w:val="28"/>
                <w:highlight w:val="none"/>
                <w:lang w:eastAsia="zh-CN"/>
              </w:rPr>
              <w:t>；</w:t>
            </w:r>
          </w:p>
          <w:p>
            <w:pPr>
              <w:bidi w:val="0"/>
              <w:rPr>
                <w:rFonts w:hint="eastAsia"/>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地下水环境：</w:t>
            </w:r>
            <w:r>
              <w:rPr>
                <w:rFonts w:hint="eastAsia"/>
                <w:color w:val="auto"/>
                <w:lang w:eastAsia="zh-CN"/>
              </w:rPr>
              <w:t>《地下水质量标准》</w:t>
            </w:r>
            <w:r>
              <w:rPr>
                <w:rFonts w:hint="default"/>
                <w:color w:val="auto"/>
                <w:lang w:eastAsia="zh-CN"/>
              </w:rPr>
              <w:t>（GB/T14848-2017）Ⅲ类标准</w:t>
            </w:r>
            <w:r>
              <w:rPr>
                <w:rFonts w:hint="eastAsia"/>
                <w:color w:val="auto"/>
                <w:lang w:eastAsia="zh-CN"/>
              </w:rPr>
              <w:t>；</w:t>
            </w:r>
          </w:p>
          <w:p>
            <w:pPr>
              <w:bidi w:val="0"/>
              <w:rPr>
                <w:rFonts w:hint="eastAsia"/>
                <w:color w:val="auto"/>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）声</w:t>
            </w:r>
            <w:r>
              <w:rPr>
                <w:rFonts w:hint="eastAsia"/>
                <w:color w:val="auto"/>
                <w:lang w:val="en-US" w:eastAsia="zh-CN"/>
              </w:rPr>
              <w:t>环境：本项目G地块、金顶地块</w:t>
            </w:r>
            <w:r>
              <w:rPr>
                <w:rFonts w:hint="eastAsia"/>
                <w:color w:val="auto"/>
                <w:lang w:eastAsia="zh-CN"/>
              </w:rPr>
              <w:t>、</w:t>
            </w:r>
            <w:r>
              <w:rPr>
                <w:rFonts w:hint="eastAsia"/>
                <w:color w:val="auto"/>
                <w:lang w:val="en-US" w:eastAsia="zh-CN"/>
              </w:rPr>
              <w:t>D地块以及索道区域</w:t>
            </w:r>
            <w:r>
              <w:rPr>
                <w:rFonts w:hint="eastAsia"/>
                <w:color w:val="auto"/>
                <w:lang w:eastAsia="zh-CN"/>
              </w:rPr>
              <w:t>等游客密集区</w:t>
            </w:r>
            <w:r>
              <w:rPr>
                <w:rFonts w:hint="eastAsia"/>
                <w:color w:val="auto"/>
                <w:lang w:val="en-US" w:eastAsia="zh-CN"/>
              </w:rPr>
              <w:t>执行</w:t>
            </w:r>
            <w:r>
              <w:rPr>
                <w:rFonts w:hint="default"/>
                <w:color w:val="auto"/>
                <w:lang w:val="en-US" w:eastAsia="zh-CN"/>
              </w:rPr>
              <w:t>《声环境质量标准》（GB3096—2008）中</w:t>
            </w:r>
            <w:r>
              <w:rPr>
                <w:rFonts w:hint="eastAsia"/>
                <w:color w:val="auto"/>
                <w:lang w:val="en-US" w:eastAsia="zh-CN"/>
              </w:rPr>
              <w:t>2类标准</w:t>
            </w:r>
            <w:r>
              <w:rPr>
                <w:rFonts w:hint="eastAsia"/>
                <w:color w:val="auto"/>
                <w:lang w:eastAsia="zh-CN"/>
              </w:rPr>
              <w:t>，</w:t>
            </w:r>
            <w:r>
              <w:rPr>
                <w:rFonts w:hint="eastAsia"/>
                <w:color w:val="auto"/>
                <w:lang w:val="en-US" w:eastAsia="zh-CN"/>
              </w:rPr>
              <w:t>游服地块西侧为连霍公路，执行</w:t>
            </w:r>
            <w:r>
              <w:rPr>
                <w:rFonts w:hint="default"/>
                <w:color w:val="auto"/>
                <w:lang w:val="en-US" w:eastAsia="zh-CN"/>
              </w:rPr>
              <w:t>《声环境质量标准》（GB3096—2008）中</w:t>
            </w:r>
            <w:r>
              <w:rPr>
                <w:rFonts w:hint="eastAsia"/>
                <w:color w:val="auto"/>
                <w:lang w:val="en-US" w:eastAsia="zh-CN"/>
              </w:rPr>
              <w:t>4a类</w:t>
            </w:r>
            <w:r>
              <w:rPr>
                <w:rFonts w:hint="default"/>
                <w:color w:val="auto"/>
                <w:lang w:val="en-US" w:eastAsia="zh-CN"/>
              </w:rPr>
              <w:t>标准</w:t>
            </w:r>
            <w:r>
              <w:rPr>
                <w:rFonts w:hint="eastAsia"/>
                <w:color w:val="auto"/>
                <w:lang w:val="en-US" w:eastAsia="zh-CN"/>
              </w:rPr>
              <w:t>；</w:t>
            </w:r>
          </w:p>
          <w:p>
            <w:pPr>
              <w:bidi w:val="0"/>
              <w:ind w:left="0" w:leftChars="0" w:firstLine="0" w:firstLineChars="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 污染物排放标准</w:t>
            </w:r>
          </w:p>
          <w:p>
            <w:pPr>
              <w:bidi w:val="0"/>
              <w:ind w:left="0" w:leftChars="0" w:firstLine="0" w:firstLineChars="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2.1 施工期</w:t>
            </w:r>
          </w:p>
          <w:p>
            <w:pPr>
              <w:bidi w:val="0"/>
              <w:rPr>
                <w:rFonts w:hint="eastAsia"/>
                <w:color w:val="auto"/>
                <w:lang w:eastAsia="zh-CN"/>
              </w:rPr>
            </w:pPr>
            <w:r>
              <w:rPr>
                <w:rFonts w:hint="eastAsia"/>
                <w:color w:val="auto"/>
                <w:lang w:eastAsia="zh-CN"/>
              </w:rPr>
              <w:t>（1）</w:t>
            </w:r>
            <w:r>
              <w:rPr>
                <w:rFonts w:hint="eastAsia"/>
                <w:color w:val="auto"/>
                <w:lang w:val="en-US" w:eastAsia="zh-CN"/>
              </w:rPr>
              <w:t>废气：</w:t>
            </w:r>
            <w:r>
              <w:rPr>
                <w:rFonts w:hint="eastAsia"/>
                <w:color w:val="auto"/>
                <w:lang w:eastAsia="zh-CN"/>
              </w:rPr>
              <w:t>施工</w:t>
            </w:r>
            <w:r>
              <w:rPr>
                <w:rFonts w:hint="eastAsia"/>
                <w:color w:val="auto"/>
                <w:lang w:val="en-US" w:eastAsia="zh-CN"/>
              </w:rPr>
              <w:t>扬尘</w:t>
            </w:r>
            <w:r>
              <w:rPr>
                <w:rFonts w:hint="eastAsia"/>
                <w:color w:val="auto"/>
                <w:lang w:eastAsia="zh-CN"/>
              </w:rPr>
              <w:t>执行《大气污染物综合排放标准》（GB16297-1996）表2</w:t>
            </w:r>
            <w:r>
              <w:rPr>
                <w:rFonts w:hint="eastAsia"/>
                <w:color w:val="auto"/>
                <w:lang w:val="en-US" w:eastAsia="zh-CN"/>
              </w:rPr>
              <w:t>颗粒物无组织排放浓度限值</w:t>
            </w:r>
            <w:r>
              <w:rPr>
                <w:rFonts w:hint="eastAsia"/>
                <w:color w:val="auto"/>
                <w:lang w:eastAsia="zh-CN"/>
              </w:rPr>
              <w:t>；</w:t>
            </w:r>
          </w:p>
          <w:p>
            <w:pPr>
              <w:adjustRightInd/>
              <w:snapToGrid/>
              <w:spacing w:line="300" w:lineRule="atLeast"/>
              <w:ind w:firstLine="0" w:firstLineChars="0"/>
              <w:jc w:val="center"/>
              <w:rPr>
                <w:rFonts w:hint="default" w:ascii="Times New Roman" w:hAnsi="Times New Roman" w:eastAsia="Times New Roman" w:cs="Times New Roman"/>
                <w:b/>
                <w:color w:val="auto"/>
                <w:kern w:val="0"/>
                <w:sz w:val="24"/>
                <w:szCs w:val="20"/>
              </w:rPr>
            </w:pPr>
            <w:r>
              <w:rPr>
                <w:rFonts w:hint="default" w:ascii="Times New Roman" w:hAnsi="Times New Roman" w:eastAsia="Times New Roman" w:cs="Times New Roman"/>
                <w:b/>
                <w:color w:val="auto"/>
                <w:kern w:val="0"/>
                <w:sz w:val="24"/>
                <w:szCs w:val="20"/>
              </w:rPr>
              <w:t>表</w:t>
            </w:r>
            <w:r>
              <w:rPr>
                <w:rFonts w:hint="eastAsia" w:cs="Times New Roman"/>
                <w:b/>
                <w:color w:val="auto"/>
                <w:kern w:val="0"/>
                <w:sz w:val="24"/>
                <w:szCs w:val="20"/>
                <w:lang w:val="en-US" w:eastAsia="zh-CN"/>
              </w:rPr>
              <w:t>2-1</w:t>
            </w:r>
            <w:r>
              <w:rPr>
                <w:rFonts w:hint="default" w:ascii="Times New Roman" w:hAnsi="Times New Roman" w:eastAsia="Times New Roman" w:cs="Times New Roman"/>
                <w:b/>
                <w:color w:val="auto"/>
                <w:kern w:val="0"/>
                <w:sz w:val="24"/>
                <w:szCs w:val="20"/>
              </w:rPr>
              <w:t xml:space="preserve">   《大气污染物综合排放标准》（GB16297-1996）</w:t>
            </w:r>
          </w:p>
          <w:tbl>
            <w:tblPr>
              <w:tblStyle w:val="1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371"/>
              <w:gridCol w:w="3318"/>
              <w:gridCol w:w="21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08" w:type="pct"/>
                  <w:noWrap w:val="0"/>
                  <w:vAlign w:val="center"/>
                </w:tcPr>
                <w:p>
                  <w:pPr>
                    <w:adjustRightInd/>
                    <w:snapToGrid/>
                    <w:spacing w:line="300" w:lineRule="atLeast"/>
                    <w:ind w:firstLine="0" w:firstLineChars="0"/>
                    <w:jc w:val="center"/>
                    <w:rPr>
                      <w:rFonts w:hint="eastAsia" w:ascii="宋体" w:hAnsi="Times New Roman" w:eastAsia="Times New Roman" w:cs="Times New Roman"/>
                      <w:color w:val="auto"/>
                      <w:kern w:val="0"/>
                      <w:sz w:val="21"/>
                      <w:szCs w:val="21"/>
                    </w:rPr>
                  </w:pPr>
                  <w:r>
                    <w:rPr>
                      <w:rFonts w:hint="eastAsia" w:ascii="宋体" w:hAnsi="Times New Roman" w:eastAsia="Times New Roman" w:cs="Times New Roman"/>
                      <w:color w:val="auto"/>
                      <w:kern w:val="0"/>
                      <w:sz w:val="21"/>
                      <w:szCs w:val="21"/>
                    </w:rPr>
                    <w:t>污染物</w:t>
                  </w:r>
                </w:p>
              </w:tc>
              <w:tc>
                <w:tcPr>
                  <w:tcW w:w="3492" w:type="pct"/>
                  <w:gridSpan w:val="2"/>
                  <w:tcBorders>
                    <w:left w:val="single" w:color="auto" w:sz="4" w:space="0"/>
                  </w:tcBorders>
                  <w:noWrap w:val="0"/>
                  <w:vAlign w:val="center"/>
                </w:tcPr>
                <w:p>
                  <w:pPr>
                    <w:adjustRightInd/>
                    <w:snapToGrid/>
                    <w:spacing w:line="300" w:lineRule="atLeast"/>
                    <w:ind w:firstLine="0" w:firstLineChars="0"/>
                    <w:jc w:val="center"/>
                    <w:rPr>
                      <w:rFonts w:hint="eastAsia" w:ascii="宋体" w:hAnsi="Times New Roman" w:eastAsia="Times New Roman" w:cs="Times New Roman"/>
                      <w:color w:val="auto"/>
                      <w:kern w:val="0"/>
                      <w:sz w:val="21"/>
                      <w:szCs w:val="21"/>
                    </w:rPr>
                  </w:pPr>
                  <w:r>
                    <w:rPr>
                      <w:rFonts w:hint="eastAsia" w:ascii="宋体" w:hAnsi="Times New Roman" w:eastAsia="Times New Roman" w:cs="Times New Roman"/>
                      <w:color w:val="auto"/>
                      <w:kern w:val="0"/>
                      <w:sz w:val="21"/>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08" w:type="pct"/>
                  <w:noWrap w:val="0"/>
                  <w:vAlign w:val="center"/>
                </w:tcPr>
                <w:p>
                  <w:pPr>
                    <w:adjustRightInd/>
                    <w:snapToGrid/>
                    <w:spacing w:line="300" w:lineRule="atLeast"/>
                    <w:ind w:firstLine="0" w:firstLineChars="0"/>
                    <w:jc w:val="center"/>
                    <w:rPr>
                      <w:rFonts w:hint="eastAsia" w:ascii="宋体" w:hAnsi="Times New Roman" w:eastAsia="Times New Roman" w:cs="Times New Roman"/>
                      <w:color w:val="auto"/>
                      <w:kern w:val="0"/>
                      <w:sz w:val="21"/>
                      <w:szCs w:val="21"/>
                    </w:rPr>
                  </w:pPr>
                  <w:r>
                    <w:rPr>
                      <w:rFonts w:hint="eastAsia" w:ascii="宋体" w:hAnsi="Times New Roman" w:eastAsia="Times New Roman" w:cs="Times New Roman"/>
                      <w:color w:val="auto"/>
                      <w:kern w:val="0"/>
                      <w:sz w:val="21"/>
                      <w:szCs w:val="21"/>
                    </w:rPr>
                    <w:t>颗粒物</w:t>
                  </w:r>
                </w:p>
              </w:tc>
              <w:tc>
                <w:tcPr>
                  <w:tcW w:w="2110" w:type="pct"/>
                  <w:tcBorders>
                    <w:left w:val="single" w:color="auto" w:sz="4" w:space="0"/>
                  </w:tcBorders>
                  <w:noWrap w:val="0"/>
                  <w:vAlign w:val="center"/>
                </w:tcPr>
                <w:p>
                  <w:pPr>
                    <w:adjustRightInd/>
                    <w:snapToGrid/>
                    <w:spacing w:line="300" w:lineRule="atLeast"/>
                    <w:ind w:firstLine="0" w:firstLineChars="0"/>
                    <w:jc w:val="center"/>
                    <w:rPr>
                      <w:rFonts w:hint="eastAsia" w:ascii="宋体" w:hAnsi="Times New Roman" w:eastAsia="Times New Roman" w:cs="Times New Roman"/>
                      <w:color w:val="auto"/>
                      <w:kern w:val="0"/>
                      <w:sz w:val="21"/>
                      <w:szCs w:val="21"/>
                    </w:rPr>
                  </w:pPr>
                  <w:r>
                    <w:rPr>
                      <w:rFonts w:hint="eastAsia" w:ascii="宋体" w:hAnsi="Times New Roman" w:eastAsia="Times New Roman" w:cs="Times New Roman"/>
                      <w:color w:val="auto"/>
                      <w:kern w:val="0"/>
                      <w:sz w:val="21"/>
                      <w:szCs w:val="21"/>
                    </w:rPr>
                    <w:t>周界外浓度最高点</w:t>
                  </w:r>
                </w:p>
              </w:tc>
              <w:tc>
                <w:tcPr>
                  <w:tcW w:w="1382" w:type="pct"/>
                  <w:noWrap w:val="0"/>
                  <w:vAlign w:val="center"/>
                </w:tcPr>
                <w:p>
                  <w:pPr>
                    <w:adjustRightInd/>
                    <w:snapToGrid/>
                    <w:spacing w:line="300" w:lineRule="atLeast"/>
                    <w:ind w:firstLine="0" w:firstLineChars="0"/>
                    <w:jc w:val="center"/>
                    <w:rPr>
                      <w:rFonts w:hint="eastAsia" w:ascii="宋体"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1mg/m</w:t>
                  </w:r>
                  <w:r>
                    <w:rPr>
                      <w:rFonts w:hint="default" w:ascii="Times New Roman" w:hAnsi="Times New Roman" w:eastAsia="Times New Roman" w:cs="Times New Roman"/>
                      <w:color w:val="auto"/>
                      <w:kern w:val="0"/>
                      <w:sz w:val="21"/>
                      <w:szCs w:val="21"/>
                      <w:vertAlign w:val="superscript"/>
                    </w:rPr>
                    <w:t>3</w:t>
                  </w:r>
                </w:p>
              </w:tc>
            </w:tr>
          </w:tbl>
          <w:p>
            <w:pPr>
              <w:numPr>
                <w:ilvl w:val="0"/>
                <w:numId w:val="3"/>
              </w:numPr>
              <w:bidi w:val="0"/>
              <w:rPr>
                <w:rFonts w:hint="eastAsia"/>
                <w:color w:val="auto"/>
                <w:lang w:eastAsia="zh-CN"/>
              </w:rPr>
            </w:pPr>
            <w:r>
              <w:rPr>
                <w:rFonts w:hint="eastAsia"/>
                <w:color w:val="auto"/>
                <w:lang w:val="en-US" w:eastAsia="zh-CN"/>
              </w:rPr>
              <w:t>噪声：</w:t>
            </w:r>
            <w:r>
              <w:rPr>
                <w:rFonts w:hint="eastAsia"/>
                <w:color w:val="auto"/>
                <w:lang w:eastAsia="zh-CN"/>
              </w:rPr>
              <w:t>施工噪声执行《建筑施工场界环境噪声排放标准》（GB12523-2011）表</w:t>
            </w:r>
            <w:r>
              <w:rPr>
                <w:rFonts w:hint="eastAsia"/>
                <w:color w:val="auto"/>
                <w:lang w:val="en-US" w:eastAsia="zh-CN"/>
              </w:rPr>
              <w:t>1</w:t>
            </w:r>
            <w:r>
              <w:rPr>
                <w:rFonts w:hint="eastAsia"/>
                <w:color w:val="auto"/>
                <w:lang w:eastAsia="zh-CN"/>
              </w:rPr>
              <w:t>中的排放限值；</w:t>
            </w:r>
          </w:p>
          <w:p>
            <w:pPr>
              <w:snapToGrid w:val="0"/>
              <w:spacing w:line="240" w:lineRule="auto"/>
              <w:ind w:firstLine="480" w:firstLineChars="200"/>
              <w:jc w:val="both"/>
              <w:rPr>
                <w:rFonts w:hint="default" w:ascii="Times New Roman" w:hAnsi="Times New Roman" w:eastAsia="Times New Roman" w:cs="Times New Roman"/>
                <w:b/>
                <w:bCs/>
                <w:color w:val="auto"/>
                <w:kern w:val="0"/>
                <w:sz w:val="24"/>
                <w:szCs w:val="22"/>
                <w:highlight w:val="none"/>
              </w:rPr>
            </w:pPr>
            <w:r>
              <w:rPr>
                <w:rFonts w:hint="default" w:ascii="Times New Roman" w:hAnsi="Times New Roman" w:eastAsia="Times New Roman" w:cs="Times New Roman"/>
                <w:b/>
                <w:bCs/>
                <w:color w:val="auto"/>
                <w:kern w:val="0"/>
                <w:sz w:val="24"/>
                <w:szCs w:val="22"/>
                <w:highlight w:val="none"/>
              </w:rPr>
              <w:t>表</w:t>
            </w:r>
            <w:r>
              <w:rPr>
                <w:rFonts w:hint="eastAsia" w:eastAsia="Times New Roman" w:cs="Times New Roman"/>
                <w:b/>
                <w:bCs/>
                <w:color w:val="auto"/>
                <w:kern w:val="0"/>
                <w:sz w:val="24"/>
                <w:szCs w:val="22"/>
                <w:highlight w:val="none"/>
                <w:lang w:val="en-US" w:eastAsia="zh-CN"/>
              </w:rPr>
              <w:t>2-2</w:t>
            </w:r>
            <w:r>
              <w:rPr>
                <w:rFonts w:hint="eastAsia" w:ascii="Times New Roman" w:hAnsi="Times New Roman" w:eastAsia="Times New Roman" w:cs="Times New Roman"/>
                <w:b/>
                <w:bCs/>
                <w:color w:val="auto"/>
                <w:kern w:val="0"/>
                <w:sz w:val="24"/>
                <w:szCs w:val="22"/>
                <w:highlight w:val="none"/>
                <w:lang w:val="en-US" w:eastAsia="zh-CN"/>
              </w:rPr>
              <w:t xml:space="preserve">    </w:t>
            </w:r>
            <w:r>
              <w:rPr>
                <w:rFonts w:hint="eastAsia" w:ascii="Times New Roman" w:hAnsi="Times New Roman" w:eastAsia="Times New Roman" w:cs="Times New Roman"/>
                <w:b/>
                <w:bCs/>
                <w:color w:val="auto"/>
                <w:kern w:val="0"/>
                <w:sz w:val="24"/>
                <w:szCs w:val="22"/>
                <w:highlight w:val="none"/>
              </w:rPr>
              <w:t>《建筑施工场界环境噪声排放标准》（GB12523-2011）</w:t>
            </w:r>
          </w:p>
          <w:tbl>
            <w:tblPr>
              <w:tblStyle w:val="12"/>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930"/>
              <w:gridCol w:w="39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500" w:type="pct"/>
                  <w:tcBorders>
                    <w:tl2br w:val="nil"/>
                    <w:tr2bl w:val="nil"/>
                  </w:tcBorders>
                  <w:noWrap w:val="0"/>
                  <w:vAlign w:val="center"/>
                </w:tcPr>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t>昼间</w:t>
                  </w:r>
                </w:p>
              </w:tc>
              <w:tc>
                <w:tcPr>
                  <w:tcW w:w="2500" w:type="pct"/>
                  <w:tcBorders>
                    <w:tl2br w:val="nil"/>
                    <w:tr2bl w:val="nil"/>
                  </w:tcBorders>
                  <w:noWrap w:val="0"/>
                  <w:vAlign w:val="center"/>
                </w:tcPr>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500" w:type="pct"/>
                  <w:tcBorders>
                    <w:tl2br w:val="nil"/>
                    <w:tr2bl w:val="nil"/>
                  </w:tcBorders>
                  <w:noWrap w:val="0"/>
                  <w:vAlign w:val="center"/>
                </w:tcPr>
                <w:p>
                  <w:pPr>
                    <w:pStyle w:val="22"/>
                    <w:rPr>
                      <w:rFonts w:hint="default" w:ascii="Times New Roman" w:hAnsi="Times New Roman" w:cs="Times New Roman"/>
                      <w:color w:val="auto"/>
                      <w:highlight w:val="none"/>
                    </w:rPr>
                  </w:pPr>
                  <w:r>
                    <w:rPr>
                      <w:rFonts w:hint="eastAsia" w:ascii="Times New Roman" w:hAnsi="Times New Roman" w:eastAsia="宋体" w:cs="Times New Roman"/>
                      <w:color w:val="auto"/>
                      <w:highlight w:val="none"/>
                      <w:lang w:val="en-US" w:eastAsia="zh-CN"/>
                    </w:rPr>
                    <w:t>70</w:t>
                  </w:r>
                  <w:r>
                    <w:rPr>
                      <w:rFonts w:hint="default" w:ascii="Times New Roman" w:hAnsi="Times New Roman" w:cs="Times New Roman"/>
                      <w:color w:val="auto"/>
                      <w:highlight w:val="none"/>
                    </w:rPr>
                    <w:t>dB（A）</w:t>
                  </w:r>
                </w:p>
              </w:tc>
              <w:tc>
                <w:tcPr>
                  <w:tcW w:w="2500" w:type="pct"/>
                  <w:tcBorders>
                    <w:tl2br w:val="nil"/>
                    <w:tr2bl w:val="nil"/>
                  </w:tcBorders>
                  <w:noWrap w:val="0"/>
                  <w:vAlign w:val="center"/>
                </w:tcPr>
                <w:p>
                  <w:pPr>
                    <w:pStyle w:val="22"/>
                    <w:rPr>
                      <w:rFonts w:hint="default" w:ascii="Times New Roman" w:hAnsi="Times New Roman" w:cs="Times New Roman"/>
                      <w:color w:val="auto"/>
                      <w:highlight w:val="none"/>
                    </w:rPr>
                  </w:pPr>
                  <w:r>
                    <w:rPr>
                      <w:rFonts w:hint="eastAsia" w:ascii="Times New Roman" w:hAnsi="Times New Roman" w:eastAsia="宋体" w:cs="Times New Roman"/>
                      <w:color w:val="auto"/>
                      <w:highlight w:val="none"/>
                      <w:lang w:val="en-US" w:eastAsia="zh-CN"/>
                    </w:rPr>
                    <w:t>55</w:t>
                  </w:r>
                  <w:r>
                    <w:rPr>
                      <w:rFonts w:hint="default" w:ascii="Times New Roman" w:hAnsi="Times New Roman" w:cs="Times New Roman"/>
                      <w:color w:val="auto"/>
                      <w:highlight w:val="none"/>
                    </w:rPr>
                    <w:t>dB（A）</w:t>
                  </w:r>
                </w:p>
              </w:tc>
            </w:tr>
          </w:tbl>
          <w:p>
            <w:pPr>
              <w:bidi w:val="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固废：施工人员生活垃圾执行</w:t>
            </w:r>
            <w:r>
              <w:rPr>
                <w:rFonts w:hint="eastAsia"/>
                <w:color w:val="auto"/>
                <w:lang w:eastAsia="zh-CN"/>
              </w:rPr>
              <w:t>《生活垃圾填埋场污染控制标准》（GB16889-2008）的入场要求；</w:t>
            </w:r>
            <w:r>
              <w:rPr>
                <w:rFonts w:hint="eastAsia"/>
                <w:color w:val="auto"/>
                <w:lang w:val="en-US" w:eastAsia="zh-CN"/>
              </w:rPr>
              <w:t>建筑垃圾执行</w:t>
            </w:r>
            <w:r>
              <w:rPr>
                <w:rFonts w:hint="eastAsia"/>
                <w:color w:val="auto"/>
                <w:lang w:eastAsia="zh-CN"/>
              </w:rPr>
              <w:t>《一般工业固体废物贮存和填埋污染控制标准》（GB18599-2020）中相关标准。</w:t>
            </w:r>
          </w:p>
          <w:p>
            <w:pPr>
              <w:bidi w:val="0"/>
              <w:ind w:left="0" w:leftChars="0" w:firstLine="0" w:firstLineChars="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2.1运营期</w:t>
            </w:r>
          </w:p>
          <w:p>
            <w:pPr>
              <w:numPr>
                <w:ilvl w:val="0"/>
                <w:numId w:val="4"/>
              </w:numPr>
              <w:bidi w:val="0"/>
              <w:rPr>
                <w:rFonts w:hint="eastAsia"/>
                <w:color w:val="auto"/>
                <w:lang w:eastAsia="zh-CN"/>
              </w:rPr>
            </w:pPr>
            <w:r>
              <w:rPr>
                <w:rFonts w:hint="eastAsia"/>
                <w:color w:val="auto"/>
                <w:lang w:val="en-US" w:eastAsia="zh-CN"/>
              </w:rPr>
              <w:t>废气：污水处理设施</w:t>
            </w:r>
            <w:r>
              <w:rPr>
                <w:rFonts w:hint="eastAsia"/>
                <w:color w:val="auto"/>
                <w:lang w:eastAsia="zh-CN"/>
              </w:rPr>
              <w:t>“地埋式一体化污水处理设施”污染物主要为H</w:t>
            </w:r>
            <w:r>
              <w:rPr>
                <w:rFonts w:hint="eastAsia"/>
                <w:color w:val="auto"/>
                <w:vertAlign w:val="subscript"/>
                <w:lang w:eastAsia="zh-CN"/>
              </w:rPr>
              <w:t>2</w:t>
            </w:r>
            <w:r>
              <w:rPr>
                <w:rFonts w:hint="eastAsia"/>
                <w:color w:val="auto"/>
                <w:lang w:eastAsia="zh-CN"/>
              </w:rPr>
              <w:t>S、NH</w:t>
            </w:r>
            <w:r>
              <w:rPr>
                <w:rFonts w:hint="eastAsia"/>
                <w:color w:val="auto"/>
                <w:vertAlign w:val="subscript"/>
                <w:lang w:eastAsia="zh-CN"/>
              </w:rPr>
              <w:t>3</w:t>
            </w:r>
            <w:r>
              <w:rPr>
                <w:rFonts w:hint="eastAsia"/>
                <w:color w:val="auto"/>
                <w:lang w:eastAsia="zh-CN"/>
              </w:rPr>
              <w:t>、臭气浓度执行《恶臭污染物排放标准》（GB14554-93）“表1恶臭污染物厂界标准值”中的一级标准；</w:t>
            </w:r>
          </w:p>
          <w:p>
            <w:pPr>
              <w:adjustRightInd/>
              <w:snapToGrid/>
              <w:spacing w:line="300" w:lineRule="atLeast"/>
              <w:ind w:firstLine="0" w:firstLineChars="0"/>
              <w:jc w:val="center"/>
              <w:rPr>
                <w:rFonts w:hint="default" w:ascii="Times New Roman" w:hAnsi="Times New Roman" w:eastAsia="Times New Roman" w:cs="Times New Roman"/>
                <w:b/>
                <w:color w:val="auto"/>
                <w:kern w:val="0"/>
                <w:sz w:val="24"/>
                <w:szCs w:val="20"/>
              </w:rPr>
            </w:pPr>
            <w:r>
              <w:rPr>
                <w:rFonts w:hint="default" w:ascii="Times New Roman" w:hAnsi="Times New Roman" w:eastAsia="Times New Roman" w:cs="Times New Roman"/>
                <w:b/>
                <w:color w:val="auto"/>
                <w:kern w:val="0"/>
                <w:sz w:val="24"/>
                <w:szCs w:val="20"/>
              </w:rPr>
              <w:t>表</w:t>
            </w:r>
            <w:r>
              <w:rPr>
                <w:rFonts w:hint="eastAsia" w:eastAsia="Times New Roman" w:cs="Times New Roman"/>
                <w:b/>
                <w:color w:val="auto"/>
                <w:kern w:val="0"/>
                <w:sz w:val="24"/>
                <w:szCs w:val="20"/>
                <w:lang w:val="en-US" w:eastAsia="zh-CN"/>
              </w:rPr>
              <w:t>2-3</w:t>
            </w:r>
            <w:r>
              <w:rPr>
                <w:rFonts w:hint="default" w:ascii="Times New Roman" w:hAnsi="Times New Roman" w:eastAsia="Times New Roman" w:cs="Times New Roman"/>
                <w:b/>
                <w:color w:val="auto"/>
                <w:kern w:val="0"/>
                <w:sz w:val="24"/>
                <w:szCs w:val="20"/>
              </w:rPr>
              <w:t xml:space="preserve">    </w:t>
            </w:r>
            <w:r>
              <w:rPr>
                <w:rFonts w:hint="eastAsia" w:ascii="Times New Roman" w:hAnsi="Times New Roman" w:eastAsia="Times New Roman" w:cs="Times New Roman"/>
                <w:b/>
                <w:color w:val="auto"/>
                <w:kern w:val="0"/>
                <w:sz w:val="24"/>
                <w:szCs w:val="20"/>
                <w:lang w:eastAsia="zh-CN"/>
              </w:rPr>
              <w:t>《恶臭污染物排放标准》（GB14554-93）</w:t>
            </w:r>
          </w:p>
          <w:tbl>
            <w:tblPr>
              <w:tblStyle w:val="12"/>
              <w:tblW w:w="786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990"/>
              <w:gridCol w:w="387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35" w:type="pct"/>
                  <w:noWrap w:val="0"/>
                  <w:vAlign w:val="center"/>
                </w:tcPr>
                <w:p>
                  <w:pPr>
                    <w:adjustRightInd/>
                    <w:snapToGrid/>
                    <w:spacing w:line="300" w:lineRule="atLeast"/>
                    <w:ind w:firstLine="0" w:firstLineChars="0"/>
                    <w:jc w:val="center"/>
                    <w:rPr>
                      <w:rFonts w:hint="eastAsia" w:ascii="宋体" w:hAnsi="Times New Roman" w:eastAsia="Times New Roman" w:cs="Times New Roman"/>
                      <w:color w:val="auto"/>
                      <w:kern w:val="0"/>
                      <w:sz w:val="21"/>
                      <w:szCs w:val="21"/>
                    </w:rPr>
                  </w:pPr>
                  <w:r>
                    <w:rPr>
                      <w:rFonts w:hint="eastAsia" w:ascii="宋体" w:hAnsi="Times New Roman" w:eastAsia="Times New Roman" w:cs="Times New Roman"/>
                      <w:color w:val="auto"/>
                      <w:kern w:val="0"/>
                      <w:sz w:val="21"/>
                      <w:szCs w:val="21"/>
                    </w:rPr>
                    <w:t>污染物</w:t>
                  </w:r>
                </w:p>
              </w:tc>
              <w:tc>
                <w:tcPr>
                  <w:tcW w:w="2464" w:type="pct"/>
                  <w:tcBorders>
                    <w:left w:val="single" w:color="auto" w:sz="4" w:space="0"/>
                  </w:tcBorders>
                  <w:noWrap w:val="0"/>
                  <w:vAlign w:val="center"/>
                </w:tcPr>
                <w:p>
                  <w:pPr>
                    <w:adjustRightInd/>
                    <w:snapToGrid/>
                    <w:spacing w:line="300" w:lineRule="atLeast"/>
                    <w:ind w:firstLine="0" w:firstLineChars="0"/>
                    <w:jc w:val="center"/>
                    <w:rPr>
                      <w:rFonts w:hint="default" w:ascii="宋体" w:hAnsi="Times New Roman" w:eastAsia="宋体" w:cs="Times New Roman"/>
                      <w:color w:val="auto"/>
                      <w:kern w:val="0"/>
                      <w:sz w:val="21"/>
                      <w:szCs w:val="21"/>
                      <w:lang w:val="en-US" w:eastAsia="zh-CN"/>
                    </w:rPr>
                  </w:pPr>
                  <w:r>
                    <w:rPr>
                      <w:rFonts w:hint="eastAsia" w:ascii="宋体" w:hAnsi="Times New Roman" w:eastAsia="宋体" w:cs="Times New Roman"/>
                      <w:color w:val="auto"/>
                      <w:kern w:val="0"/>
                      <w:sz w:val="21"/>
                      <w:szCs w:val="21"/>
                      <w:lang w:val="en-US" w:eastAsia="zh-CN"/>
                    </w:rPr>
                    <w:t>一级（新建）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35" w:type="pct"/>
                  <w:noWrap w:val="0"/>
                  <w:vAlign w:val="center"/>
                </w:tcPr>
                <w:p>
                  <w:pPr>
                    <w:adjustRightInd/>
                    <w:snapToGrid/>
                    <w:spacing w:line="300" w:lineRule="atLeast"/>
                    <w:ind w:firstLine="0" w:firstLineChars="0"/>
                    <w:jc w:val="center"/>
                    <w:rPr>
                      <w:rFonts w:hint="eastAsia" w:ascii="宋体" w:hAnsi="Times New Roman" w:eastAsia="宋体" w:cs="Times New Roman"/>
                      <w:color w:val="auto"/>
                      <w:kern w:val="0"/>
                      <w:sz w:val="21"/>
                      <w:szCs w:val="21"/>
                      <w:lang w:eastAsia="zh-CN"/>
                    </w:rPr>
                  </w:pPr>
                  <w:r>
                    <w:rPr>
                      <w:rFonts w:hint="eastAsia" w:ascii="宋体" w:hAnsi="Times New Roman" w:eastAsia="宋体" w:cs="Times New Roman"/>
                      <w:color w:val="auto"/>
                      <w:kern w:val="0"/>
                      <w:sz w:val="21"/>
                      <w:szCs w:val="21"/>
                      <w:lang w:val="en-US" w:eastAsia="zh-CN"/>
                    </w:rPr>
                    <w:t>氨</w:t>
                  </w:r>
                </w:p>
              </w:tc>
              <w:tc>
                <w:tcPr>
                  <w:tcW w:w="2464" w:type="pct"/>
                  <w:tcBorders>
                    <w:left w:val="single" w:color="auto" w:sz="4" w:space="0"/>
                  </w:tcBorders>
                  <w:noWrap w:val="0"/>
                  <w:vAlign w:val="center"/>
                </w:tcPr>
                <w:p>
                  <w:pPr>
                    <w:adjustRightInd/>
                    <w:snapToGrid/>
                    <w:spacing w:line="300" w:lineRule="atLeast"/>
                    <w:ind w:firstLine="0" w:firstLineChars="0"/>
                    <w:jc w:val="center"/>
                    <w:rPr>
                      <w:rFonts w:hint="eastAsia" w:ascii="宋体"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1</w:t>
                  </w:r>
                  <w:r>
                    <w:rPr>
                      <w:rFonts w:hint="eastAsia" w:ascii="Times New Roman" w:hAnsi="Times New Roman" w:eastAsia="宋体" w:cs="Times New Roman"/>
                      <w:color w:val="auto"/>
                      <w:kern w:val="0"/>
                      <w:sz w:val="21"/>
                      <w:szCs w:val="21"/>
                      <w:lang w:val="en-US" w:eastAsia="zh-CN"/>
                    </w:rPr>
                    <w:t>.0</w:t>
                  </w:r>
                  <w:r>
                    <w:rPr>
                      <w:rFonts w:hint="default" w:ascii="Times New Roman" w:hAnsi="Times New Roman" w:eastAsia="Times New Roman" w:cs="Times New Roman"/>
                      <w:color w:val="auto"/>
                      <w:kern w:val="0"/>
                      <w:sz w:val="21"/>
                      <w:szCs w:val="21"/>
                    </w:rPr>
                    <w:t>mg/m</w:t>
                  </w:r>
                  <w:r>
                    <w:rPr>
                      <w:rFonts w:hint="default" w:ascii="Times New Roman" w:hAnsi="Times New Roman" w:eastAsia="Times New Roman" w:cs="Times New Roman"/>
                      <w:color w:val="auto"/>
                      <w:kern w:val="0"/>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35" w:type="pct"/>
                  <w:noWrap w:val="0"/>
                  <w:vAlign w:val="center"/>
                </w:tcPr>
                <w:p>
                  <w:pPr>
                    <w:adjustRightInd/>
                    <w:snapToGrid/>
                    <w:spacing w:line="300" w:lineRule="atLeast"/>
                    <w:ind w:firstLine="0" w:firstLineChars="0"/>
                    <w:jc w:val="center"/>
                    <w:rPr>
                      <w:rFonts w:hint="eastAsia" w:ascii="宋体" w:hAnsi="Times New Roman" w:eastAsia="宋体" w:cs="Times New Roman"/>
                      <w:color w:val="auto"/>
                      <w:kern w:val="0"/>
                      <w:sz w:val="21"/>
                      <w:szCs w:val="21"/>
                      <w:lang w:val="en-US" w:eastAsia="zh-CN"/>
                    </w:rPr>
                  </w:pPr>
                  <w:r>
                    <w:rPr>
                      <w:rFonts w:hint="eastAsia"/>
                      <w:color w:val="auto"/>
                      <w:sz w:val="21"/>
                      <w:szCs w:val="21"/>
                      <w:lang w:eastAsia="zh-CN"/>
                    </w:rPr>
                    <w:t>H</w:t>
                  </w:r>
                  <w:r>
                    <w:rPr>
                      <w:rFonts w:hint="eastAsia"/>
                      <w:color w:val="auto"/>
                      <w:sz w:val="21"/>
                      <w:szCs w:val="21"/>
                      <w:vertAlign w:val="subscript"/>
                      <w:lang w:eastAsia="zh-CN"/>
                    </w:rPr>
                    <w:t>2</w:t>
                  </w:r>
                  <w:r>
                    <w:rPr>
                      <w:rFonts w:hint="eastAsia"/>
                      <w:color w:val="auto"/>
                      <w:sz w:val="21"/>
                      <w:szCs w:val="21"/>
                      <w:lang w:eastAsia="zh-CN"/>
                    </w:rPr>
                    <w:t>S</w:t>
                  </w:r>
                </w:p>
              </w:tc>
              <w:tc>
                <w:tcPr>
                  <w:tcW w:w="2464" w:type="pct"/>
                  <w:tcBorders>
                    <w:left w:val="single" w:color="auto" w:sz="4" w:space="0"/>
                  </w:tcBorders>
                  <w:noWrap w:val="0"/>
                  <w:vAlign w:val="center"/>
                </w:tcPr>
                <w:p>
                  <w:pPr>
                    <w:adjustRightInd/>
                    <w:snapToGrid/>
                    <w:spacing w:line="300" w:lineRule="atLeast"/>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0.03</w:t>
                  </w:r>
                  <w:r>
                    <w:rPr>
                      <w:rFonts w:hint="default" w:ascii="Times New Roman" w:hAnsi="Times New Roman" w:eastAsia="Times New Roman" w:cs="Times New Roman"/>
                      <w:color w:val="auto"/>
                      <w:kern w:val="0"/>
                      <w:sz w:val="21"/>
                      <w:szCs w:val="21"/>
                    </w:rPr>
                    <w:t>mg/m</w:t>
                  </w:r>
                  <w:r>
                    <w:rPr>
                      <w:rFonts w:hint="default" w:ascii="Times New Roman" w:hAnsi="Times New Roman" w:eastAsia="Times New Roman" w:cs="Times New Roman"/>
                      <w:color w:val="auto"/>
                      <w:kern w:val="0"/>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35" w:type="pct"/>
                  <w:noWrap w:val="0"/>
                  <w:vAlign w:val="center"/>
                </w:tcPr>
                <w:p>
                  <w:pPr>
                    <w:adjustRightInd/>
                    <w:snapToGrid/>
                    <w:spacing w:line="300" w:lineRule="atLeast"/>
                    <w:ind w:firstLine="0" w:firstLineChars="0"/>
                    <w:jc w:val="center"/>
                    <w:rPr>
                      <w:rFonts w:hint="eastAsia" w:ascii="宋体" w:hAnsi="Times New Roman" w:eastAsia="宋体" w:cs="Times New Roman"/>
                      <w:color w:val="auto"/>
                      <w:kern w:val="0"/>
                      <w:sz w:val="21"/>
                      <w:szCs w:val="21"/>
                      <w:lang w:val="en-US" w:eastAsia="zh-CN"/>
                    </w:rPr>
                  </w:pPr>
                  <w:r>
                    <w:rPr>
                      <w:rFonts w:hint="eastAsia"/>
                      <w:color w:val="auto"/>
                      <w:sz w:val="21"/>
                      <w:szCs w:val="21"/>
                      <w:lang w:eastAsia="zh-CN"/>
                    </w:rPr>
                    <w:t>臭气浓度</w:t>
                  </w:r>
                </w:p>
              </w:tc>
              <w:tc>
                <w:tcPr>
                  <w:tcW w:w="2464" w:type="pct"/>
                  <w:tcBorders>
                    <w:left w:val="single" w:color="auto" w:sz="4" w:space="0"/>
                  </w:tcBorders>
                  <w:noWrap w:val="0"/>
                  <w:vAlign w:val="center"/>
                </w:tcPr>
                <w:p>
                  <w:pPr>
                    <w:adjustRightInd/>
                    <w:snapToGrid/>
                    <w:spacing w:line="300" w:lineRule="atLeast"/>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10（无量纲）</w:t>
                  </w:r>
                </w:p>
              </w:tc>
            </w:tr>
          </w:tbl>
          <w:p>
            <w:pPr>
              <w:numPr>
                <w:ilvl w:val="0"/>
                <w:numId w:val="0"/>
              </w:numPr>
              <w:bidi w:val="0"/>
              <w:ind w:firstLine="480" w:firstLineChars="200"/>
              <w:rPr>
                <w:rFonts w:hint="eastAsia"/>
                <w:color w:val="auto"/>
                <w:lang w:eastAsia="zh-CN"/>
              </w:rPr>
            </w:pPr>
            <w:r>
              <w:rPr>
                <w:rFonts w:hint="eastAsia"/>
                <w:color w:val="auto"/>
                <w:lang w:val="en-US" w:eastAsia="zh-CN"/>
              </w:rPr>
              <w:t>餐厅饮食油烟执行</w:t>
            </w:r>
            <w:r>
              <w:rPr>
                <w:rFonts w:hint="default" w:ascii="Times New Roman" w:hAnsi="Times New Roman" w:eastAsia="宋体" w:cs="Times New Roman"/>
                <w:b w:val="0"/>
                <w:bCs w:val="0"/>
                <w:color w:val="auto"/>
                <w:sz w:val="24"/>
                <w:szCs w:val="24"/>
              </w:rPr>
              <w:t>《饮食业油烟排放标准（试行）》（GB18483-2001）中油烟排放浓度≤2.0mg/m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的要求</w:t>
            </w:r>
            <w:r>
              <w:rPr>
                <w:rFonts w:hint="eastAsia"/>
                <w:color w:val="auto"/>
                <w:lang w:eastAsia="zh-CN"/>
              </w:rPr>
              <w:t>；</w:t>
            </w:r>
          </w:p>
          <w:p>
            <w:pPr>
              <w:numPr>
                <w:ilvl w:val="0"/>
                <w:numId w:val="4"/>
              </w:numPr>
              <w:bidi w:val="0"/>
              <w:ind w:left="0" w:leftChars="0" w:firstLine="480" w:firstLineChars="200"/>
              <w:rPr>
                <w:rFonts w:hint="eastAsia"/>
                <w:color w:val="auto"/>
                <w:lang w:eastAsia="zh-CN"/>
              </w:rPr>
            </w:pPr>
            <w:r>
              <w:rPr>
                <w:rFonts w:hint="eastAsia"/>
                <w:color w:val="auto"/>
                <w:lang w:val="en-US" w:eastAsia="zh-CN"/>
              </w:rPr>
              <w:t>噪声：本项目G地块、金顶地块</w:t>
            </w:r>
            <w:r>
              <w:rPr>
                <w:rFonts w:hint="eastAsia"/>
                <w:color w:val="auto"/>
                <w:lang w:eastAsia="zh-CN"/>
              </w:rPr>
              <w:t>、</w:t>
            </w:r>
            <w:r>
              <w:rPr>
                <w:rFonts w:hint="eastAsia"/>
                <w:color w:val="auto"/>
                <w:lang w:val="en-US" w:eastAsia="zh-CN"/>
              </w:rPr>
              <w:t>D地块以及索道区域</w:t>
            </w:r>
            <w:r>
              <w:rPr>
                <w:rFonts w:hint="eastAsia"/>
                <w:color w:val="auto"/>
                <w:lang w:eastAsia="zh-CN"/>
              </w:rPr>
              <w:t>等游客密集区执行《</w:t>
            </w:r>
            <w:r>
              <w:rPr>
                <w:rFonts w:hint="eastAsia"/>
                <w:color w:val="auto"/>
                <w:lang w:val="en-US" w:eastAsia="zh-CN"/>
              </w:rPr>
              <w:t>社会生活环境噪声排放标准</w:t>
            </w:r>
            <w:r>
              <w:rPr>
                <w:rFonts w:hint="eastAsia"/>
                <w:color w:val="auto"/>
                <w:lang w:eastAsia="zh-CN"/>
              </w:rPr>
              <w:t>》（GB</w:t>
            </w:r>
            <w:r>
              <w:rPr>
                <w:rFonts w:hint="eastAsia"/>
                <w:color w:val="auto"/>
                <w:lang w:val="en-US" w:eastAsia="zh-CN"/>
              </w:rPr>
              <w:t>22337</w:t>
            </w:r>
            <w:r>
              <w:rPr>
                <w:rFonts w:hint="eastAsia"/>
                <w:color w:val="auto"/>
                <w:lang w:eastAsia="zh-CN"/>
              </w:rPr>
              <w:t>-2008）中</w:t>
            </w:r>
            <w:r>
              <w:rPr>
                <w:rFonts w:hint="eastAsia" w:ascii="Times New Roman" w:hAnsi="Times New Roman" w:eastAsia="宋体" w:cs="Times New Roman"/>
                <w:color w:val="auto"/>
                <w:lang w:val="en-US" w:eastAsia="zh-CN"/>
              </w:rPr>
              <w:t>2类</w:t>
            </w:r>
            <w:r>
              <w:rPr>
                <w:rFonts w:hint="eastAsia" w:cs="Times New Roman"/>
                <w:color w:val="auto"/>
                <w:lang w:val="en-US" w:eastAsia="zh-CN"/>
              </w:rPr>
              <w:t>标准，</w:t>
            </w:r>
            <w:r>
              <w:rPr>
                <w:rFonts w:hint="eastAsia"/>
                <w:color w:val="auto"/>
                <w:lang w:val="en-US" w:eastAsia="zh-CN"/>
              </w:rPr>
              <w:t>游服地块西侧为连霍公路，执行</w:t>
            </w:r>
            <w:r>
              <w:rPr>
                <w:rFonts w:hint="eastAsia"/>
                <w:color w:val="auto"/>
                <w:lang w:eastAsia="zh-CN"/>
              </w:rPr>
              <w:t>《</w:t>
            </w:r>
            <w:r>
              <w:rPr>
                <w:rFonts w:hint="eastAsia"/>
                <w:color w:val="auto"/>
                <w:lang w:val="en-US" w:eastAsia="zh-CN"/>
              </w:rPr>
              <w:t>社会生活环境噪声排放标准</w:t>
            </w:r>
            <w:r>
              <w:rPr>
                <w:rFonts w:hint="eastAsia"/>
                <w:color w:val="auto"/>
                <w:lang w:eastAsia="zh-CN"/>
              </w:rPr>
              <w:t>》（GB</w:t>
            </w:r>
            <w:r>
              <w:rPr>
                <w:rFonts w:hint="eastAsia"/>
                <w:color w:val="auto"/>
                <w:lang w:val="en-US" w:eastAsia="zh-CN"/>
              </w:rPr>
              <w:t>22337</w:t>
            </w:r>
            <w:r>
              <w:rPr>
                <w:rFonts w:hint="eastAsia"/>
                <w:color w:val="auto"/>
                <w:lang w:eastAsia="zh-CN"/>
              </w:rPr>
              <w:t>-2008）中</w:t>
            </w:r>
            <w:r>
              <w:rPr>
                <w:rFonts w:hint="eastAsia" w:ascii="Times New Roman" w:hAnsi="Times New Roman" w:eastAsia="宋体" w:cs="Times New Roman"/>
                <w:color w:val="auto"/>
                <w:lang w:val="en-US" w:eastAsia="zh-CN"/>
              </w:rPr>
              <w:t>4类</w:t>
            </w:r>
            <w:r>
              <w:rPr>
                <w:rFonts w:hint="default" w:ascii="Times New Roman" w:hAnsi="Times New Roman" w:eastAsia="宋体" w:cs="Times New Roman"/>
                <w:color w:val="auto"/>
                <w:lang w:val="en-US" w:eastAsia="zh-CN"/>
              </w:rPr>
              <w:t>标准</w:t>
            </w:r>
            <w:r>
              <w:rPr>
                <w:rFonts w:hint="eastAsia"/>
                <w:color w:val="auto"/>
                <w:lang w:eastAsia="zh-CN"/>
              </w:rPr>
              <w:t>；</w:t>
            </w:r>
          </w:p>
          <w:p>
            <w:pPr>
              <w:adjustRightInd/>
              <w:snapToGrid/>
              <w:spacing w:line="300" w:lineRule="atLeast"/>
              <w:ind w:firstLine="0" w:firstLineChars="0"/>
              <w:jc w:val="center"/>
              <w:rPr>
                <w:rFonts w:hint="default" w:ascii="Times New Roman" w:hAnsi="Times New Roman" w:eastAsia="Times New Roman" w:cs="Times New Roman"/>
                <w:b/>
                <w:color w:val="auto"/>
                <w:kern w:val="0"/>
                <w:sz w:val="24"/>
                <w:szCs w:val="20"/>
              </w:rPr>
            </w:pPr>
            <w:r>
              <w:rPr>
                <w:rFonts w:hint="default" w:ascii="Times New Roman" w:hAnsi="Times New Roman" w:eastAsia="Times New Roman" w:cs="Times New Roman"/>
                <w:b/>
                <w:color w:val="auto"/>
                <w:kern w:val="0"/>
                <w:sz w:val="24"/>
                <w:szCs w:val="20"/>
              </w:rPr>
              <w:t>表</w:t>
            </w:r>
            <w:r>
              <w:rPr>
                <w:rFonts w:hint="eastAsia" w:cs="Times New Roman"/>
                <w:b/>
                <w:color w:val="auto"/>
                <w:kern w:val="0"/>
                <w:sz w:val="24"/>
                <w:szCs w:val="20"/>
                <w:lang w:val="en-US" w:eastAsia="zh-CN"/>
              </w:rPr>
              <w:t>2-4</w:t>
            </w:r>
            <w:r>
              <w:rPr>
                <w:rFonts w:hint="default" w:ascii="Times New Roman" w:hAnsi="Times New Roman" w:eastAsia="Times New Roman" w:cs="Times New Roman"/>
                <w:b/>
                <w:color w:val="auto"/>
                <w:kern w:val="0"/>
                <w:sz w:val="24"/>
                <w:szCs w:val="20"/>
              </w:rPr>
              <w:t xml:space="preserve">    </w:t>
            </w:r>
            <w:r>
              <w:rPr>
                <w:rFonts w:hint="eastAsia"/>
                <w:b/>
                <w:bCs/>
                <w:color w:val="auto"/>
                <w:lang w:eastAsia="zh-CN"/>
              </w:rPr>
              <w:t>《</w:t>
            </w:r>
            <w:r>
              <w:rPr>
                <w:rFonts w:hint="eastAsia"/>
                <w:b/>
                <w:bCs/>
                <w:color w:val="auto"/>
                <w:lang w:val="en-US" w:eastAsia="zh-CN"/>
              </w:rPr>
              <w:t>社会生活环境噪声排放标准</w:t>
            </w:r>
            <w:r>
              <w:rPr>
                <w:rFonts w:hint="eastAsia"/>
                <w:b/>
                <w:bCs/>
                <w:color w:val="auto"/>
                <w:lang w:eastAsia="zh-CN"/>
              </w:rPr>
              <w:t>》（GB</w:t>
            </w:r>
            <w:r>
              <w:rPr>
                <w:rFonts w:hint="eastAsia"/>
                <w:b/>
                <w:bCs/>
                <w:color w:val="auto"/>
                <w:lang w:val="en-US" w:eastAsia="zh-CN"/>
              </w:rPr>
              <w:t>22337</w:t>
            </w:r>
            <w:r>
              <w:rPr>
                <w:rFonts w:hint="eastAsia"/>
                <w:b/>
                <w:bCs/>
                <w:color w:val="auto"/>
                <w:lang w:eastAsia="zh-CN"/>
              </w:rPr>
              <w:t>-2008）</w:t>
            </w:r>
          </w:p>
          <w:tbl>
            <w:tblPr>
              <w:tblStyle w:val="1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07"/>
              <w:gridCol w:w="2528"/>
              <w:gridCol w:w="252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84" w:type="pct"/>
                  <w:noWrap w:val="0"/>
                  <w:vAlign w:val="center"/>
                </w:tcPr>
                <w:p>
                  <w:pPr>
                    <w:adjustRightInd/>
                    <w:snapToGrid/>
                    <w:spacing w:line="300" w:lineRule="atLeast"/>
                    <w:ind w:firstLine="0" w:firstLineChars="0"/>
                    <w:jc w:val="center"/>
                    <w:rPr>
                      <w:rFonts w:hint="default" w:ascii="宋体" w:hAnsi="Times New Roman" w:eastAsia="宋体" w:cs="Times New Roman"/>
                      <w:color w:val="auto"/>
                      <w:kern w:val="0"/>
                      <w:sz w:val="21"/>
                      <w:szCs w:val="21"/>
                      <w:lang w:val="en-US" w:eastAsia="zh-CN"/>
                    </w:rPr>
                  </w:pPr>
                  <w:r>
                    <w:rPr>
                      <w:rFonts w:hint="eastAsia" w:ascii="宋体" w:hAnsi="Times New Roman" w:eastAsia="宋体" w:cs="Times New Roman"/>
                      <w:color w:val="auto"/>
                      <w:kern w:val="0"/>
                      <w:sz w:val="21"/>
                      <w:szCs w:val="21"/>
                      <w:lang w:val="en-US" w:eastAsia="zh-CN"/>
                    </w:rPr>
                    <w:t>边界外声环境功能区类别</w:t>
                  </w:r>
                </w:p>
              </w:tc>
              <w:tc>
                <w:tcPr>
                  <w:tcW w:w="1607" w:type="pct"/>
                  <w:tcBorders>
                    <w:left w:val="single" w:color="auto" w:sz="4" w:space="0"/>
                  </w:tcBorders>
                  <w:noWrap w:val="0"/>
                  <w:vAlign w:val="center"/>
                </w:tcPr>
                <w:p>
                  <w:pPr>
                    <w:adjustRightInd/>
                    <w:snapToGrid/>
                    <w:spacing w:line="300" w:lineRule="atLeast"/>
                    <w:ind w:firstLine="0" w:firstLineChars="0"/>
                    <w:jc w:val="center"/>
                    <w:rPr>
                      <w:rFonts w:hint="default" w:ascii="宋体" w:hAnsi="Times New Roman" w:eastAsia="宋体" w:cs="Times New Roman"/>
                      <w:color w:val="auto"/>
                      <w:kern w:val="0"/>
                      <w:sz w:val="21"/>
                      <w:szCs w:val="21"/>
                      <w:lang w:val="en-US" w:eastAsia="zh-CN"/>
                    </w:rPr>
                  </w:pPr>
                  <w:r>
                    <w:rPr>
                      <w:rFonts w:hint="eastAsia" w:ascii="宋体" w:hAnsi="Times New Roman" w:eastAsia="宋体" w:cs="Times New Roman"/>
                      <w:color w:val="auto"/>
                      <w:kern w:val="0"/>
                      <w:sz w:val="21"/>
                      <w:szCs w:val="21"/>
                      <w:lang w:val="en-US" w:eastAsia="zh-CN"/>
                    </w:rPr>
                    <w:t>昼间</w:t>
                  </w:r>
                </w:p>
              </w:tc>
              <w:tc>
                <w:tcPr>
                  <w:tcW w:w="1607" w:type="pct"/>
                  <w:tcBorders>
                    <w:left w:val="single" w:color="auto" w:sz="4" w:space="0"/>
                  </w:tcBorders>
                  <w:noWrap w:val="0"/>
                  <w:vAlign w:val="center"/>
                </w:tcPr>
                <w:p>
                  <w:pPr>
                    <w:adjustRightInd/>
                    <w:snapToGrid/>
                    <w:spacing w:line="300" w:lineRule="atLeast"/>
                    <w:ind w:firstLine="0" w:firstLineChars="0"/>
                    <w:jc w:val="center"/>
                    <w:rPr>
                      <w:rFonts w:hint="default" w:ascii="宋体" w:hAnsi="Times New Roman" w:eastAsia="宋体" w:cs="Times New Roman"/>
                      <w:color w:val="auto"/>
                      <w:kern w:val="0"/>
                      <w:sz w:val="21"/>
                      <w:szCs w:val="21"/>
                      <w:lang w:val="en-US" w:eastAsia="zh-CN"/>
                    </w:rPr>
                  </w:pPr>
                  <w:r>
                    <w:rPr>
                      <w:rFonts w:hint="eastAsia" w:ascii="宋体" w:hAnsi="Times New Roman" w:eastAsia="宋体" w:cs="Times New Roman"/>
                      <w:color w:val="auto"/>
                      <w:kern w:val="0"/>
                      <w:sz w:val="21"/>
                      <w:szCs w:val="21"/>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1784" w:type="pct"/>
                  <w:noWrap w:val="0"/>
                  <w:vAlign w:val="center"/>
                </w:tcPr>
                <w:p>
                  <w:pPr>
                    <w:adjustRightInd/>
                    <w:snapToGrid/>
                    <w:spacing w:line="300" w:lineRule="atLeast"/>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2类</w:t>
                  </w:r>
                </w:p>
              </w:tc>
              <w:tc>
                <w:tcPr>
                  <w:tcW w:w="1607" w:type="pct"/>
                  <w:tcBorders>
                    <w:left w:val="single" w:color="auto" w:sz="4" w:space="0"/>
                  </w:tcBorders>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60</w:t>
                  </w:r>
                </w:p>
              </w:tc>
              <w:tc>
                <w:tcPr>
                  <w:tcW w:w="1607"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3" w:hRule="atLeast"/>
              </w:trPr>
              <w:tc>
                <w:tcPr>
                  <w:tcW w:w="1784" w:type="pct"/>
                  <w:noWrap w:val="0"/>
                  <w:vAlign w:val="center"/>
                </w:tcPr>
                <w:p>
                  <w:pPr>
                    <w:adjustRightInd/>
                    <w:snapToGrid/>
                    <w:spacing w:line="300" w:lineRule="atLeast"/>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4类</w:t>
                  </w:r>
                </w:p>
              </w:tc>
              <w:tc>
                <w:tcPr>
                  <w:tcW w:w="1607" w:type="pct"/>
                  <w:tcBorders>
                    <w:left w:val="single" w:color="auto" w:sz="4" w:space="0"/>
                  </w:tcBorders>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70</w:t>
                  </w:r>
                </w:p>
              </w:tc>
              <w:tc>
                <w:tcPr>
                  <w:tcW w:w="1607" w:type="pc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55</w:t>
                  </w:r>
                </w:p>
              </w:tc>
            </w:tr>
          </w:tbl>
          <w:p>
            <w:pPr>
              <w:pStyle w:val="23"/>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（3）废水：本项目生活污水经地埋式一体化污水处理设施处理后，定期由吸污车清运至当地生活污水处理厂处理，待果赛景区污水处理厂建成后运至景区污水处理厂处理。本项目生活污水执行</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污水综合排放标准</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GB</w:t>
            </w:r>
            <w:r>
              <w:rPr>
                <w:rFonts w:hint="eastAsia" w:ascii="Times New Roman" w:hAnsi="Times New Roman" w:eastAsia="宋体" w:cs="Times New Roman"/>
                <w:color w:val="auto"/>
                <w:kern w:val="2"/>
                <w:sz w:val="24"/>
                <w:szCs w:val="24"/>
                <w:lang w:val="en-US" w:eastAsia="zh-CN" w:bidi="ar-SA"/>
              </w:rPr>
              <w:t>8978</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1996）三级标准</w:t>
            </w:r>
            <w:r>
              <w:rPr>
                <w:rFonts w:hint="default" w:ascii="Times New Roman" w:hAnsi="Times New Roman" w:eastAsia="宋体" w:cs="Times New Roman"/>
                <w:color w:val="auto"/>
                <w:kern w:val="2"/>
                <w:sz w:val="24"/>
                <w:szCs w:val="24"/>
                <w:lang w:val="en-US" w:eastAsia="zh-CN" w:bidi="ar-SA"/>
              </w:rPr>
              <w:t>；</w:t>
            </w:r>
          </w:p>
          <w:p>
            <w:pPr>
              <w:spacing w:line="24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表</w:t>
            </w:r>
            <w:r>
              <w:rPr>
                <w:rFonts w:hint="eastAsia" w:cs="Times New Roman"/>
                <w:b/>
                <w:bCs/>
                <w:color w:val="auto"/>
                <w:sz w:val="24"/>
                <w:lang w:val="en-US" w:eastAsia="zh-CN"/>
              </w:rPr>
              <w:t>2-5</w:t>
            </w:r>
            <w:r>
              <w:rPr>
                <w:rFonts w:hint="default" w:ascii="Times New Roman" w:hAnsi="Times New Roman" w:eastAsia="宋体" w:cs="Times New Roman"/>
                <w:b/>
                <w:bCs/>
                <w:color w:val="auto"/>
                <w:sz w:val="24"/>
                <w:lang w:val="en-US" w:eastAsia="zh-CN"/>
              </w:rPr>
              <w:t xml:space="preserve"> </w:t>
            </w:r>
            <w:r>
              <w:rPr>
                <w:rFonts w:hint="eastAsia" w:ascii="Times New Roman" w:hAnsi="Times New Roman" w:eastAsia="宋体" w:cs="Times New Roman"/>
                <w:b/>
                <w:bCs/>
                <w:color w:val="auto"/>
                <w:sz w:val="24"/>
                <w:lang w:val="en-US" w:eastAsia="zh-CN"/>
              </w:rPr>
              <w:t xml:space="preserve">    《污水综合排放标准》(GB8978—1996)      </w:t>
            </w:r>
            <w:r>
              <w:rPr>
                <w:rFonts w:hint="default" w:ascii="Times New Roman" w:hAnsi="Times New Roman" w:eastAsia="宋体" w:cs="Times New Roman"/>
                <w:b/>
                <w:bCs/>
                <w:color w:val="auto"/>
                <w:sz w:val="24"/>
                <w:lang w:val="en-US" w:eastAsia="zh-CN"/>
              </w:rPr>
              <w:t>单位</w:t>
            </w:r>
            <w:r>
              <w:rPr>
                <w:rFonts w:hint="default" w:ascii="Times New Roman" w:hAnsi="Times New Roman" w:eastAsia="宋体" w:cs="Times New Roman"/>
                <w:b/>
                <w:bCs/>
                <w:color w:val="auto"/>
                <w:sz w:val="24"/>
              </w:rPr>
              <w:t>：mg/L</w:t>
            </w:r>
          </w:p>
          <w:tbl>
            <w:tblPr>
              <w:tblStyle w:val="1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3242"/>
              <w:gridCol w:w="35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07"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2062"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污染物项目</w:t>
                  </w:r>
                </w:p>
              </w:tc>
              <w:tc>
                <w:tcPr>
                  <w:tcW w:w="2230"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07"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062"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BOD</w:t>
                  </w:r>
                  <w:r>
                    <w:rPr>
                      <w:rFonts w:hint="eastAsia" w:ascii="Times New Roman" w:hAnsi="Times New Roman" w:eastAsia="宋体" w:cs="Times New Roman"/>
                      <w:color w:val="auto"/>
                      <w:kern w:val="0"/>
                      <w:sz w:val="21"/>
                      <w:szCs w:val="21"/>
                      <w:vertAlign w:val="subscript"/>
                      <w:lang w:val="en-US" w:eastAsia="zh-CN"/>
                    </w:rPr>
                    <w:t>5</w:t>
                  </w:r>
                </w:p>
              </w:tc>
              <w:tc>
                <w:tcPr>
                  <w:tcW w:w="2230"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07"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2062"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氨氮</w:t>
                  </w:r>
                </w:p>
              </w:tc>
              <w:tc>
                <w:tcPr>
                  <w:tcW w:w="2230"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707"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p>
              </w:tc>
              <w:tc>
                <w:tcPr>
                  <w:tcW w:w="2062"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SS</w:t>
                  </w:r>
                </w:p>
              </w:tc>
              <w:tc>
                <w:tcPr>
                  <w:tcW w:w="2230"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07"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w:t>
                  </w:r>
                </w:p>
              </w:tc>
              <w:tc>
                <w:tcPr>
                  <w:tcW w:w="2062"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COD</w:t>
                  </w:r>
                </w:p>
              </w:tc>
              <w:tc>
                <w:tcPr>
                  <w:tcW w:w="2230"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707"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c>
                <w:tcPr>
                  <w:tcW w:w="2062"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动植物油</w:t>
                  </w:r>
                </w:p>
              </w:tc>
              <w:tc>
                <w:tcPr>
                  <w:tcW w:w="2230" w:type="pct"/>
                  <w:tcBorders>
                    <w:tl2br w:val="nil"/>
                    <w:tr2bl w:val="nil"/>
                  </w:tcBorders>
                  <w:noWrap w:val="0"/>
                  <w:vAlign w:val="center"/>
                </w:tcPr>
                <w:p>
                  <w:pPr>
                    <w:keepNext w:val="0"/>
                    <w:keepLines w:val="0"/>
                    <w:pageBreakBefore w:val="0"/>
                    <w:widowControl/>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100</w:t>
                  </w:r>
                </w:p>
              </w:tc>
            </w:tr>
          </w:tbl>
          <w:p>
            <w:pPr>
              <w:bidi w:val="0"/>
              <w:rPr>
                <w:rFonts w:hint="eastAsia"/>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lang w:val="en-US" w:eastAsia="zh-CN"/>
              </w:rPr>
              <w:t>固废：工作人员和游客生活垃圾执行</w:t>
            </w:r>
            <w:r>
              <w:rPr>
                <w:rFonts w:hint="eastAsia"/>
                <w:color w:val="auto"/>
                <w:lang w:eastAsia="zh-CN"/>
              </w:rPr>
              <w:t>《生活垃圾填埋场污染控制标准》（GB16889-2008）的入场要求；危险废物的贮存执行《危险废物贮存污染控制标准》（GB18597-20</w:t>
            </w:r>
            <w:r>
              <w:rPr>
                <w:rFonts w:hint="eastAsia"/>
                <w:color w:val="auto"/>
                <w:lang w:val="en-US" w:eastAsia="zh-CN"/>
              </w:rPr>
              <w:t>23</w:t>
            </w:r>
            <w:r>
              <w:rPr>
                <w:rFonts w:hint="eastAsia"/>
                <w:color w:val="auto"/>
                <w:lang w:eastAsia="zh-CN"/>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266" w:type="pct"/>
            <w:noWrap w:val="0"/>
            <w:vAlign w:val="center"/>
          </w:tcPr>
          <w:p>
            <w:pPr>
              <w:pStyle w:val="17"/>
              <w:bidi w:val="0"/>
              <w:rPr>
                <w:rFonts w:hint="default"/>
                <w:color w:val="auto"/>
                <w:sz w:val="24"/>
                <w:szCs w:val="24"/>
              </w:rPr>
            </w:pPr>
            <w:r>
              <w:rPr>
                <w:rFonts w:hint="default"/>
                <w:color w:val="auto"/>
                <w:sz w:val="24"/>
                <w:szCs w:val="24"/>
              </w:rPr>
              <w:t>其他</w:t>
            </w:r>
          </w:p>
        </w:tc>
        <w:tc>
          <w:tcPr>
            <w:tcW w:w="4733" w:type="pct"/>
            <w:noWrap w:val="0"/>
            <w:vAlign w:val="center"/>
          </w:tcPr>
          <w:p>
            <w:pPr>
              <w:bidi w:val="0"/>
              <w:spacing w:line="240" w:lineRule="auto"/>
              <w:ind w:left="0" w:leftChars="0" w:right="0" w:rightChars="0" w:firstLine="0" w:firstLineChars="0"/>
              <w:jc w:val="center"/>
              <w:rPr>
                <w:rFonts w:hint="default"/>
                <w:color w:val="auto"/>
              </w:rPr>
            </w:pPr>
            <w:r>
              <w:rPr>
                <w:rFonts w:hint="eastAsia"/>
                <w:color w:val="auto"/>
                <w:lang w:val="en-US" w:eastAsia="zh-CN"/>
              </w:rPr>
              <w:t>无</w:t>
            </w:r>
          </w:p>
        </w:tc>
      </w:tr>
    </w:tbl>
    <w:p>
      <w:pPr>
        <w:ind w:left="0" w:leftChars="0" w:firstLine="0" w:firstLineChars="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br w:type="page"/>
      </w:r>
      <w:bookmarkStart w:id="6" w:name="_Toc30905"/>
      <w:r>
        <w:rPr>
          <w:rFonts w:hint="default" w:ascii="Times New Roman" w:hAnsi="Times New Roman" w:eastAsia="黑体" w:cs="Times New Roman"/>
          <w:snapToGrid w:val="0"/>
          <w:color w:val="auto"/>
          <w:sz w:val="30"/>
          <w:szCs w:val="30"/>
        </w:rPr>
        <w:t>四、生态环境影响分析</w:t>
      </w:r>
      <w:bookmarkEnd w:id="6"/>
    </w:p>
    <w:tbl>
      <w:tblPr>
        <w:tblStyle w:val="12"/>
        <w:tblW w:w="499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52"/>
        <w:gridCol w:w="799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03" w:hRule="atLeast"/>
          <w:jc w:val="center"/>
        </w:trPr>
        <w:tc>
          <w:tcPr>
            <w:tcW w:w="246" w:type="pct"/>
            <w:noWrap w:val="0"/>
            <w:tcMar>
              <w:left w:w="28" w:type="dxa"/>
              <w:right w:w="28" w:type="dxa"/>
            </w:tcMar>
            <w:vAlign w:val="center"/>
          </w:tcPr>
          <w:p>
            <w:pPr>
              <w:pStyle w:val="17"/>
              <w:bidi w:val="0"/>
              <w:rPr>
                <w:rFonts w:hint="default"/>
                <w:color w:val="auto"/>
                <w:sz w:val="24"/>
                <w:szCs w:val="24"/>
              </w:rPr>
            </w:pPr>
            <w:r>
              <w:rPr>
                <w:rFonts w:hint="default"/>
                <w:color w:val="auto"/>
                <w:sz w:val="24"/>
                <w:szCs w:val="24"/>
              </w:rPr>
              <w:t>施工期生态环境影响分析</w:t>
            </w:r>
          </w:p>
        </w:tc>
        <w:tc>
          <w:tcPr>
            <w:tcW w:w="4753" w:type="pct"/>
            <w:noWrap w:val="0"/>
            <w:vAlign w:val="top"/>
          </w:tcPr>
          <w:p>
            <w:pPr>
              <w:pStyle w:val="4"/>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1 </w:t>
            </w:r>
            <w:r>
              <w:rPr>
                <w:rFonts w:hint="default" w:ascii="Times New Roman" w:hAnsi="Times New Roman" w:eastAsia="宋体" w:cs="Times New Roman"/>
                <w:color w:val="auto"/>
                <w:lang w:val="en-US" w:eastAsia="zh-CN"/>
              </w:rPr>
              <w:t>施工期生态环境影响</w:t>
            </w:r>
            <w:r>
              <w:rPr>
                <w:rFonts w:hint="eastAsia" w:ascii="Times New Roman" w:hAnsi="Times New Roman" w:eastAsia="宋体" w:cs="Times New Roman"/>
                <w:color w:val="auto"/>
                <w:lang w:val="en-US" w:eastAsia="zh-CN"/>
              </w:rPr>
              <w:t>分析</w:t>
            </w:r>
          </w:p>
          <w:p>
            <w:pPr>
              <w:bidi w:val="0"/>
              <w:ind w:left="0" w:leftChars="0" w:firstLine="0" w:firstLineChars="0"/>
              <w:rPr>
                <w:rFonts w:hint="default"/>
                <w:b/>
                <w:bCs/>
                <w:color w:val="auto"/>
                <w:lang w:val="en-US" w:eastAsia="zh-CN"/>
              </w:rPr>
            </w:pPr>
            <w:r>
              <w:rPr>
                <w:rFonts w:hint="eastAsia"/>
                <w:b/>
                <w:bCs/>
                <w:color w:val="auto"/>
                <w:lang w:val="en-US" w:eastAsia="zh-CN"/>
              </w:rPr>
              <w:t>1.1</w:t>
            </w:r>
            <w:r>
              <w:rPr>
                <w:rFonts w:hint="default"/>
                <w:b/>
                <w:bCs/>
                <w:color w:val="auto"/>
                <w:lang w:val="en-US" w:eastAsia="zh-CN"/>
              </w:rPr>
              <w:t>对生态完整性的影响分析</w:t>
            </w:r>
          </w:p>
          <w:p>
            <w:pPr>
              <w:bidi w:val="0"/>
              <w:rPr>
                <w:rFonts w:hint="default"/>
                <w:color w:val="auto"/>
                <w:lang w:val="en-US" w:eastAsia="zh-CN"/>
              </w:rPr>
            </w:pPr>
            <w:r>
              <w:rPr>
                <w:rFonts w:hint="default"/>
                <w:color w:val="auto"/>
                <w:lang w:val="en-US" w:eastAsia="zh-CN"/>
              </w:rPr>
              <w:t>对区域自然体系生态完整性的影响是由工程新增永久占地引起的，项目永久占地面积约</w:t>
            </w:r>
            <w:r>
              <w:rPr>
                <w:rFonts w:hint="eastAsia"/>
                <w:color w:val="auto"/>
                <w:lang w:val="en-US" w:eastAsia="zh-CN"/>
              </w:rPr>
              <w:t>27.53</w:t>
            </w:r>
            <w:r>
              <w:rPr>
                <w:rFonts w:hint="default"/>
                <w:color w:val="auto"/>
                <w:lang w:val="en-US" w:eastAsia="zh-CN"/>
              </w:rPr>
              <w:t>h</w:t>
            </w:r>
            <w:r>
              <w:rPr>
                <w:rFonts w:hint="eastAsia"/>
                <w:color w:val="auto"/>
                <w:lang w:val="en-US" w:eastAsia="zh-CN"/>
              </w:rPr>
              <w:t>m</w:t>
            </w:r>
            <w:r>
              <w:rPr>
                <w:rFonts w:hint="eastAsia"/>
                <w:color w:val="auto"/>
                <w:vertAlign w:val="superscript"/>
                <w:lang w:val="en-US" w:eastAsia="zh-CN"/>
              </w:rPr>
              <w:t>2</w:t>
            </w:r>
            <w:r>
              <w:rPr>
                <w:rFonts w:hint="default"/>
                <w:color w:val="auto"/>
                <w:lang w:val="en-US" w:eastAsia="zh-CN"/>
              </w:rPr>
              <w:t>，主要为天然牧草地。在工程建成后，各种拼块类型面积发生变化，导致区域自然生态体系生产能力和稳定状况的发生改变，对评价区域生态完整性具有一定影响。</w:t>
            </w:r>
          </w:p>
          <w:p>
            <w:pPr>
              <w:bidi w:val="0"/>
              <w:rPr>
                <w:rFonts w:hint="default"/>
                <w:color w:val="auto"/>
                <w:lang w:val="en-US" w:eastAsia="zh-CN"/>
              </w:rPr>
            </w:pPr>
            <w:r>
              <w:rPr>
                <w:rFonts w:hint="default"/>
                <w:color w:val="auto"/>
                <w:lang w:val="en-US" w:eastAsia="zh-CN"/>
              </w:rPr>
              <w:t>（1）项目建设前后土地利用变化分析</w:t>
            </w:r>
          </w:p>
          <w:p>
            <w:pPr>
              <w:bidi w:val="0"/>
              <w:rPr>
                <w:rFonts w:hint="default"/>
                <w:color w:val="auto"/>
                <w:lang w:val="en-US" w:eastAsia="zh-CN"/>
              </w:rPr>
            </w:pPr>
            <w:r>
              <w:rPr>
                <w:rFonts w:hint="eastAsia"/>
                <w:color w:val="auto"/>
                <w:lang w:val="en-US" w:eastAsia="zh-CN"/>
              </w:rPr>
              <w:t>本项目施工期施工生产区、临时堆土区等临建均布置在用地红线内，施工结束后</w:t>
            </w:r>
            <w:r>
              <w:rPr>
                <w:rFonts w:hint="default"/>
                <w:color w:val="auto"/>
                <w:lang w:val="en-US" w:eastAsia="zh-CN"/>
              </w:rPr>
              <w:t>通过生态补偿和生态恢复等措施，</w:t>
            </w:r>
            <w:r>
              <w:rPr>
                <w:rFonts w:hint="eastAsia"/>
                <w:color w:val="auto"/>
                <w:lang w:val="en-US" w:eastAsia="zh-CN"/>
              </w:rPr>
              <w:t>这部分占地的</w:t>
            </w:r>
            <w:r>
              <w:rPr>
                <w:rFonts w:hint="default"/>
                <w:color w:val="auto"/>
                <w:lang w:val="en-US" w:eastAsia="zh-CN"/>
              </w:rPr>
              <w:t>景观面貌可以基本恢复或改善</w:t>
            </w:r>
            <w:r>
              <w:rPr>
                <w:rFonts w:hint="eastAsia"/>
                <w:color w:val="auto"/>
                <w:lang w:val="en-US" w:eastAsia="zh-CN"/>
              </w:rPr>
              <w:t>。但是，施工结束后</w:t>
            </w:r>
            <w:r>
              <w:rPr>
                <w:rFonts w:hint="default"/>
                <w:color w:val="auto"/>
                <w:lang w:val="en-US" w:eastAsia="zh-CN"/>
              </w:rPr>
              <w:t>人工建筑</w:t>
            </w:r>
            <w:r>
              <w:rPr>
                <w:rFonts w:hint="eastAsia"/>
                <w:color w:val="auto"/>
                <w:lang w:val="en-US" w:eastAsia="zh-CN"/>
              </w:rPr>
              <w:t>及地面硬化等</w:t>
            </w:r>
            <w:r>
              <w:rPr>
                <w:rFonts w:hint="default"/>
                <w:color w:val="auto"/>
                <w:lang w:val="en-US" w:eastAsia="zh-CN"/>
              </w:rPr>
              <w:t>异质化景观</w:t>
            </w:r>
            <w:r>
              <w:rPr>
                <w:rFonts w:hint="eastAsia"/>
                <w:color w:val="auto"/>
                <w:lang w:val="en-US" w:eastAsia="zh-CN"/>
              </w:rPr>
              <w:t>永久</w:t>
            </w:r>
            <w:r>
              <w:rPr>
                <w:rFonts w:hint="default"/>
                <w:color w:val="auto"/>
                <w:lang w:val="en-US" w:eastAsia="zh-CN"/>
              </w:rPr>
              <w:t>嵌入现有的自然景观体系中，对现有的自然景观体系将产生一定的不可逆的影响。本项目建设后，</w:t>
            </w:r>
            <w:r>
              <w:rPr>
                <w:rFonts w:hint="eastAsia"/>
                <w:color w:val="auto"/>
                <w:lang w:val="en-US" w:eastAsia="zh-CN"/>
              </w:rPr>
              <w:t>评价区内</w:t>
            </w:r>
            <w:r>
              <w:rPr>
                <w:rFonts w:hint="default"/>
                <w:color w:val="auto"/>
                <w:lang w:val="en-US" w:eastAsia="zh-CN"/>
              </w:rPr>
              <w:t>草地的面积将有所减少，而建筑用地面积将增加，但减小或增加的程度与原面积相比极小。比较项目建设前后评价区各植被类型的优势度值，自然植被的景观优势度几乎没有发生变化，各类植被的优势度有所下降，建设用地的景观优势度有所提高，但在景观结构中的地位并未发生本质性的变化，乔木林</w:t>
            </w:r>
            <w:r>
              <w:rPr>
                <w:rFonts w:hint="eastAsia"/>
                <w:color w:val="auto"/>
                <w:lang w:val="en-US" w:eastAsia="zh-CN"/>
              </w:rPr>
              <w:t>草</w:t>
            </w:r>
            <w:r>
              <w:rPr>
                <w:rFonts w:hint="default"/>
                <w:color w:val="auto"/>
                <w:lang w:val="en-US" w:eastAsia="zh-CN"/>
              </w:rPr>
              <w:t>仍是评价区优势度较高的景观类型。因此，项目建成后，原拼块的优势度变化较小，表明项目对评价区自然体系的景观质量影响较小。</w:t>
            </w:r>
          </w:p>
          <w:p>
            <w:pPr>
              <w:bidi w:val="0"/>
              <w:rPr>
                <w:rFonts w:hint="default"/>
                <w:color w:val="auto"/>
                <w:lang w:val="en-US" w:eastAsia="zh-CN"/>
              </w:rPr>
            </w:pPr>
            <w:r>
              <w:rPr>
                <w:rFonts w:hint="default"/>
                <w:color w:val="auto"/>
                <w:lang w:val="en-US" w:eastAsia="zh-CN"/>
              </w:rPr>
              <w:t>（2）工程建设前后生物量变化分析</w:t>
            </w:r>
          </w:p>
          <w:p>
            <w:pPr>
              <w:bidi w:val="0"/>
              <w:rPr>
                <w:rFonts w:hint="default"/>
                <w:color w:val="auto"/>
                <w:lang w:val="en-US" w:eastAsia="zh-CN"/>
              </w:rPr>
            </w:pPr>
            <w:r>
              <w:rPr>
                <w:rFonts w:hint="default"/>
                <w:color w:val="auto"/>
                <w:lang w:val="en-US" w:eastAsia="zh-CN"/>
              </w:rPr>
              <w:t>项目建设永久占用了评价区内的草地，可能导致工程实施后生物量的下降，本项目对生物量的影响见表</w:t>
            </w:r>
            <w:r>
              <w:rPr>
                <w:rFonts w:hint="eastAsia"/>
                <w:color w:val="auto"/>
                <w:lang w:val="en-US" w:eastAsia="zh-CN"/>
              </w:rPr>
              <w:t>1-1</w:t>
            </w:r>
            <w:r>
              <w:rPr>
                <w:rFonts w:hint="default"/>
                <w:color w:val="auto"/>
                <w:lang w:val="en-US" w:eastAsia="zh-CN"/>
              </w:rPr>
              <w:t>。从表中可以看出：工程建成后，由于建设土地使用类型发生变化，特别是建筑用地增加，草地面积减少，其中各类型用地的生物量都有所损失。虽然工程建设对评价区内的生物量有一定的影响，使生物量有一定减少。但与评价区总生物量相比，其影响非常微弱，几乎不对原生物量造成影响。</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lang w:val="en-US" w:eastAsia="zh-CN"/>
              </w:rPr>
            </w:pPr>
            <w:r>
              <w:rPr>
                <w:rFonts w:hint="default"/>
                <w:color w:val="auto"/>
                <w:sz w:val="24"/>
                <w:szCs w:val="24"/>
                <w:lang w:val="en-US" w:eastAsia="zh-CN"/>
              </w:rPr>
              <w:t>表</w:t>
            </w:r>
            <w:r>
              <w:rPr>
                <w:rFonts w:hint="eastAsia"/>
                <w:color w:val="auto"/>
                <w:sz w:val="24"/>
                <w:szCs w:val="24"/>
                <w:lang w:val="en-US" w:eastAsia="zh-CN"/>
              </w:rPr>
              <w:t xml:space="preserve">1-1  </w:t>
            </w:r>
            <w:r>
              <w:rPr>
                <w:rFonts w:hint="default"/>
                <w:color w:val="auto"/>
                <w:sz w:val="24"/>
                <w:szCs w:val="24"/>
                <w:lang w:val="en-US" w:eastAsia="zh-CN"/>
              </w:rPr>
              <w:t>项目占地生物量损失计算</w:t>
            </w:r>
          </w:p>
          <w:tbl>
            <w:tblPr>
              <w:tblStyle w:val="1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1961"/>
              <w:gridCol w:w="2445"/>
              <w:gridCol w:w="19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430" w:type="dxa"/>
                  <w:tcBorders>
                    <w:tl2br w:val="nil"/>
                    <w:tr2bl w:val="nil"/>
                  </w:tcBorders>
                  <w:vAlign w:val="center"/>
                </w:tcPr>
                <w:p>
                  <w:pPr>
                    <w:pStyle w:val="17"/>
                    <w:bidi w:val="0"/>
                    <w:jc w:val="center"/>
                    <w:rPr>
                      <w:rFonts w:hint="default"/>
                      <w:color w:val="auto"/>
                      <w:lang w:val="en-US" w:eastAsia="zh-CN"/>
                    </w:rPr>
                  </w:pPr>
                  <w:r>
                    <w:rPr>
                      <w:color w:val="auto"/>
                    </w:rPr>
                    <w:t>土地类型</w:t>
                  </w:r>
                </w:p>
              </w:tc>
              <w:tc>
                <w:tcPr>
                  <w:tcW w:w="1963" w:type="dxa"/>
                  <w:tcBorders>
                    <w:tl2br w:val="nil"/>
                    <w:tr2bl w:val="nil"/>
                  </w:tcBorders>
                  <w:vAlign w:val="center"/>
                </w:tcPr>
                <w:p>
                  <w:pPr>
                    <w:pStyle w:val="17"/>
                    <w:bidi w:val="0"/>
                    <w:jc w:val="center"/>
                    <w:rPr>
                      <w:rFonts w:hint="default"/>
                      <w:color w:val="auto"/>
                      <w:lang w:val="en-US" w:eastAsia="zh-CN"/>
                    </w:rPr>
                  </w:pPr>
                  <w:r>
                    <w:rPr>
                      <w:color w:val="auto"/>
                    </w:rPr>
                    <w:t>面积损失量（h</w:t>
                  </w:r>
                  <w:r>
                    <w:rPr>
                      <w:rFonts w:hint="eastAsia"/>
                      <w:color w:val="auto"/>
                      <w:lang w:eastAsia="zh-CN"/>
                    </w:rPr>
                    <w:t>m</w:t>
                  </w:r>
                  <w:r>
                    <w:rPr>
                      <w:rFonts w:hint="eastAsia"/>
                      <w:color w:val="auto"/>
                      <w:vertAlign w:val="superscript"/>
                      <w:lang w:eastAsia="zh-CN"/>
                    </w:rPr>
                    <w:t>2</w:t>
                  </w:r>
                  <w:r>
                    <w:rPr>
                      <w:color w:val="auto"/>
                    </w:rPr>
                    <w:t>）</w:t>
                  </w:r>
                </w:p>
              </w:tc>
              <w:tc>
                <w:tcPr>
                  <w:tcW w:w="2447" w:type="dxa"/>
                  <w:tcBorders>
                    <w:tl2br w:val="nil"/>
                    <w:tr2bl w:val="nil"/>
                  </w:tcBorders>
                  <w:vAlign w:val="center"/>
                </w:tcPr>
                <w:p>
                  <w:pPr>
                    <w:pStyle w:val="17"/>
                    <w:bidi w:val="0"/>
                    <w:jc w:val="center"/>
                    <w:rPr>
                      <w:rFonts w:hint="default"/>
                      <w:color w:val="auto"/>
                      <w:lang w:val="en-US" w:eastAsia="zh-CN"/>
                    </w:rPr>
                  </w:pPr>
                  <w:r>
                    <w:rPr>
                      <w:color w:val="auto"/>
                    </w:rPr>
                    <w:t>平均生物量（t/h</w:t>
                  </w:r>
                  <w:r>
                    <w:rPr>
                      <w:rFonts w:hint="eastAsia"/>
                      <w:color w:val="auto"/>
                      <w:lang w:eastAsia="zh-CN"/>
                    </w:rPr>
                    <w:t>m</w:t>
                  </w:r>
                  <w:r>
                    <w:rPr>
                      <w:rFonts w:hint="eastAsia"/>
                      <w:color w:val="auto"/>
                      <w:vertAlign w:val="superscript"/>
                      <w:lang w:eastAsia="zh-CN"/>
                    </w:rPr>
                    <w:t>2</w:t>
                  </w:r>
                  <w:r>
                    <w:rPr>
                      <w:color w:val="auto"/>
                    </w:rPr>
                    <w:t>·a）</w:t>
                  </w:r>
                </w:p>
              </w:tc>
              <w:tc>
                <w:tcPr>
                  <w:tcW w:w="1943" w:type="dxa"/>
                  <w:tcBorders>
                    <w:tl2br w:val="nil"/>
                    <w:tr2bl w:val="nil"/>
                  </w:tcBorders>
                  <w:vAlign w:val="center"/>
                </w:tcPr>
                <w:p>
                  <w:pPr>
                    <w:pStyle w:val="17"/>
                    <w:bidi w:val="0"/>
                    <w:jc w:val="center"/>
                    <w:rPr>
                      <w:rFonts w:hint="default"/>
                      <w:color w:val="auto"/>
                      <w:lang w:val="en-US" w:eastAsia="zh-CN"/>
                    </w:rPr>
                  </w:pPr>
                  <w:r>
                    <w:rPr>
                      <w:color w:val="auto"/>
                    </w:rPr>
                    <w:t>损失生物量（t/a）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430" w:type="dxa"/>
                  <w:tcBorders>
                    <w:tl2br w:val="nil"/>
                    <w:tr2bl w:val="nil"/>
                  </w:tcBorders>
                  <w:vAlign w:val="center"/>
                </w:tcPr>
                <w:p>
                  <w:pPr>
                    <w:pStyle w:val="17"/>
                    <w:bidi w:val="0"/>
                    <w:jc w:val="center"/>
                    <w:rPr>
                      <w:rFonts w:hint="default"/>
                      <w:color w:val="auto"/>
                      <w:lang w:val="en-US" w:eastAsia="zh-CN"/>
                    </w:rPr>
                  </w:pPr>
                  <w:r>
                    <w:rPr>
                      <w:color w:val="auto"/>
                    </w:rPr>
                    <w:t>草地</w:t>
                  </w:r>
                </w:p>
              </w:tc>
              <w:tc>
                <w:tcPr>
                  <w:tcW w:w="1963" w:type="dxa"/>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27.53</w:t>
                  </w:r>
                </w:p>
              </w:tc>
              <w:tc>
                <w:tcPr>
                  <w:tcW w:w="2447" w:type="dxa"/>
                  <w:tcBorders>
                    <w:tl2br w:val="nil"/>
                    <w:tr2bl w:val="nil"/>
                  </w:tcBorders>
                  <w:vAlign w:val="center"/>
                </w:tcPr>
                <w:p>
                  <w:pPr>
                    <w:pStyle w:val="17"/>
                    <w:bidi w:val="0"/>
                    <w:jc w:val="center"/>
                    <w:rPr>
                      <w:rFonts w:hint="default"/>
                      <w:color w:val="auto"/>
                      <w:lang w:val="en-US" w:eastAsia="zh-CN"/>
                    </w:rPr>
                  </w:pPr>
                  <w:r>
                    <w:rPr>
                      <w:color w:val="auto"/>
                    </w:rPr>
                    <w:t>7.56</w:t>
                  </w:r>
                </w:p>
              </w:tc>
              <w:tc>
                <w:tcPr>
                  <w:tcW w:w="1943" w:type="dxa"/>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208.13</w:t>
                  </w:r>
                </w:p>
              </w:tc>
            </w:tr>
          </w:tbl>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lang w:val="en-US" w:eastAsia="zh-CN"/>
              </w:rPr>
            </w:pPr>
          </w:p>
          <w:p>
            <w:pPr>
              <w:bidi w:val="0"/>
              <w:rPr>
                <w:rFonts w:hint="default"/>
                <w:color w:val="auto"/>
                <w:lang w:val="en-US" w:eastAsia="zh-CN"/>
              </w:rPr>
            </w:pPr>
            <w:r>
              <w:rPr>
                <w:rFonts w:hint="default"/>
                <w:color w:val="auto"/>
                <w:lang w:val="en-US" w:eastAsia="zh-CN"/>
              </w:rPr>
              <w:t>（3）景观生态稳定性的影响</w:t>
            </w:r>
          </w:p>
          <w:p>
            <w:pPr>
              <w:bidi w:val="0"/>
              <w:rPr>
                <w:rFonts w:hint="default"/>
                <w:color w:val="auto"/>
                <w:lang w:val="en-US" w:eastAsia="zh-CN"/>
              </w:rPr>
            </w:pPr>
            <w:r>
              <w:rPr>
                <w:rFonts w:hint="default"/>
                <w:color w:val="auto"/>
                <w:lang w:val="en-US" w:eastAsia="zh-CN"/>
              </w:rPr>
              <w:t>景观生态体系的稳定性包括两种特征，即恢复稳定性和阻抗稳定性。恢复稳定性是系统改变后返回原来状态的能力，阻抗稳定性是系统在环境变化或潜在干扰时反抗或阻止变化的能力。对恢复稳定性的度量采取自然生产能力进行度量的方法，阻抗稳定性的度量是通对景观体系控制性（模地）异质性的改变程度进行度量。</w:t>
            </w:r>
          </w:p>
          <w:p>
            <w:pPr>
              <w:bidi w:val="0"/>
              <w:rPr>
                <w:rFonts w:hint="default"/>
                <w:color w:val="auto"/>
                <w:lang w:val="en-US" w:eastAsia="zh-CN"/>
              </w:rPr>
            </w:pPr>
            <w:r>
              <w:rPr>
                <w:rFonts w:hint="default"/>
                <w:color w:val="auto"/>
                <w:lang w:val="en-US" w:eastAsia="zh-CN"/>
              </w:rPr>
              <w:t>①恢复稳定性影响</w:t>
            </w:r>
          </w:p>
          <w:p>
            <w:pPr>
              <w:bidi w:val="0"/>
              <w:rPr>
                <w:rFonts w:hint="default"/>
                <w:color w:val="auto"/>
                <w:lang w:val="en-US" w:eastAsia="zh-CN"/>
              </w:rPr>
            </w:pPr>
            <w:r>
              <w:rPr>
                <w:rFonts w:hint="default"/>
                <w:color w:val="auto"/>
                <w:lang w:val="en-US" w:eastAsia="zh-CN"/>
              </w:rPr>
              <w:t>由前述评价已得出如下数据：工程建设将使重点评价区景观体系自然生物量减少</w:t>
            </w:r>
            <w:r>
              <w:rPr>
                <w:rFonts w:hint="eastAsia"/>
                <w:color w:val="auto"/>
                <w:lang w:val="en-US" w:eastAsia="zh-CN"/>
              </w:rPr>
              <w:t>208.13t</w:t>
            </w:r>
            <w:r>
              <w:rPr>
                <w:rFonts w:hint="default"/>
                <w:color w:val="auto"/>
                <w:lang w:val="en-US" w:eastAsia="zh-CN"/>
              </w:rPr>
              <w:t>，减少量相对于原生物总量</w:t>
            </w:r>
            <w:r>
              <w:rPr>
                <w:rFonts w:hint="eastAsia"/>
                <w:color w:val="auto"/>
                <w:lang w:val="en-US" w:eastAsia="zh-CN"/>
              </w:rPr>
              <w:t>较</w:t>
            </w:r>
            <w:r>
              <w:rPr>
                <w:rFonts w:hint="default"/>
                <w:color w:val="auto"/>
                <w:lang w:val="en-US" w:eastAsia="zh-CN"/>
              </w:rPr>
              <w:t>小，不会使该区域自然体系衰退至低一级别自然体系。而且从评价区域内植被的现状来看，虽然植被的恢复力稳定性不很强，但本项目对草地造成的影响较小，可以人工地恢复到原来的状态。</w:t>
            </w:r>
          </w:p>
          <w:p>
            <w:pPr>
              <w:bidi w:val="0"/>
              <w:rPr>
                <w:rFonts w:hint="default"/>
                <w:color w:val="auto"/>
                <w:lang w:val="en-US" w:eastAsia="zh-CN"/>
              </w:rPr>
            </w:pPr>
            <w:r>
              <w:rPr>
                <w:rFonts w:hint="default"/>
                <w:color w:val="auto"/>
                <w:lang w:val="en-US" w:eastAsia="zh-CN"/>
              </w:rPr>
              <w:t>②阻抗稳定性影响</w:t>
            </w:r>
          </w:p>
          <w:p>
            <w:pPr>
              <w:bidi w:val="0"/>
              <w:rPr>
                <w:rFonts w:hint="default"/>
                <w:color w:val="auto"/>
                <w:lang w:val="en-US" w:eastAsia="zh-CN"/>
              </w:rPr>
            </w:pPr>
            <w:r>
              <w:rPr>
                <w:rFonts w:hint="default"/>
                <w:color w:val="auto"/>
                <w:lang w:val="en-US" w:eastAsia="zh-CN"/>
              </w:rPr>
              <w:t>工程建成后，景观内新增加了非控制性组分人工建筑物支架等，这种干扰拼块的增加不利于自然系统生态平衡的维护。建筑物增加的局部区域，植被减少，使其生物组分异质化程度比工程建设前略有下降，斑块的平均面积有所减小，这种变化不利于该区域吸收内外干扰，提供抗御干扰的可塑性，对评价区局部景观的稳定性造成一定不利影响，阻抗稳定性有所降低。但从整个影响区来看，植被面积和比例基本不发生变化，草地依然是最主要的景观，景观的多样性、异质性变化不大。因此，项目建成后评价区的生产能力和稳定状况及组分异质化程度仍维持在原有的水平，评价区的自然体系抗干扰能力仍较强，评价区的阻抗稳定性较好。通过上述分析可以看出</w:t>
            </w:r>
            <w:r>
              <w:rPr>
                <w:rFonts w:hint="eastAsia"/>
                <w:color w:val="auto"/>
                <w:lang w:val="en-US" w:eastAsia="zh-CN"/>
              </w:rPr>
              <w:t>，</w:t>
            </w:r>
            <w:r>
              <w:rPr>
                <w:rFonts w:hint="default"/>
                <w:color w:val="auto"/>
                <w:lang w:val="en-US" w:eastAsia="zh-CN"/>
              </w:rPr>
              <w:t>评价区目前的生态完整性尚可维护，虽然由于人类干扰局部区域生态环境受到破坏，但因其影响范围极小，对评价区自然体系稳定性影响不大</w:t>
            </w:r>
            <w:r>
              <w:rPr>
                <w:rFonts w:hint="eastAsia"/>
                <w:color w:val="auto"/>
                <w:lang w:val="en-US" w:eastAsia="zh-CN"/>
              </w:rPr>
              <w:t>。</w:t>
            </w:r>
          </w:p>
          <w:p>
            <w:pPr>
              <w:bidi w:val="0"/>
              <w:ind w:left="0" w:leftChars="0" w:firstLine="0" w:firstLineChars="0"/>
              <w:rPr>
                <w:rFonts w:hint="default"/>
                <w:b/>
                <w:bCs/>
                <w:color w:val="auto"/>
                <w:lang w:val="en-US" w:eastAsia="zh-CN"/>
              </w:rPr>
            </w:pPr>
            <w:r>
              <w:rPr>
                <w:rFonts w:hint="eastAsia"/>
                <w:b/>
                <w:bCs/>
                <w:color w:val="auto"/>
                <w:lang w:val="en-US" w:eastAsia="zh-CN"/>
              </w:rPr>
              <w:t>1.2</w:t>
            </w:r>
            <w:r>
              <w:rPr>
                <w:rFonts w:hint="default"/>
                <w:b/>
                <w:bCs/>
                <w:color w:val="auto"/>
                <w:lang w:val="en-US" w:eastAsia="zh-CN"/>
              </w:rPr>
              <w:t>对土地利用功能的影响分析</w:t>
            </w:r>
          </w:p>
          <w:p>
            <w:pPr>
              <w:bidi w:val="0"/>
              <w:rPr>
                <w:rFonts w:hint="default"/>
                <w:color w:val="auto"/>
                <w:lang w:val="en-US" w:eastAsia="zh-CN"/>
              </w:rPr>
            </w:pPr>
            <w:r>
              <w:rPr>
                <w:rFonts w:hint="default"/>
                <w:color w:val="auto"/>
                <w:lang w:val="en-US" w:eastAsia="zh-CN"/>
              </w:rPr>
              <w:t>根据《</w:t>
            </w:r>
            <w:r>
              <w:rPr>
                <w:rFonts w:hint="eastAsia"/>
                <w:color w:val="auto"/>
                <w:lang w:val="en-US" w:eastAsia="zh-CN"/>
              </w:rPr>
              <w:t>果子沟-赛里木湖景区</w:t>
            </w:r>
            <w:r>
              <w:rPr>
                <w:rFonts w:hint="default"/>
                <w:color w:val="auto"/>
                <w:lang w:val="en-US" w:eastAsia="zh-CN"/>
              </w:rPr>
              <w:t>修建性详细规划（2019-2030）》，旅游开发建设中必须践行</w:t>
            </w:r>
            <w:r>
              <w:rPr>
                <w:rFonts w:hint="eastAsia"/>
                <w:color w:val="auto"/>
                <w:lang w:val="en-US" w:eastAsia="zh-CN"/>
              </w:rPr>
              <w:t>“</w:t>
            </w:r>
            <w:r>
              <w:rPr>
                <w:rFonts w:hint="default"/>
                <w:color w:val="auto"/>
                <w:lang w:val="en-US" w:eastAsia="zh-CN"/>
              </w:rPr>
              <w:t>绿水青山就是金山银山</w:t>
            </w:r>
            <w:r>
              <w:rPr>
                <w:rFonts w:hint="eastAsia"/>
                <w:color w:val="auto"/>
                <w:lang w:val="en-US" w:eastAsia="zh-CN"/>
              </w:rPr>
              <w:t>”</w:t>
            </w:r>
            <w:r>
              <w:rPr>
                <w:rFonts w:hint="default"/>
                <w:color w:val="auto"/>
                <w:lang w:val="en-US" w:eastAsia="zh-CN"/>
              </w:rPr>
              <w:t>的绿色发展观，处理好生态环境保护和社会经济发展的平衡关系。严格保护景区独特自然资源和生态系统，有序推进景区的游览设施、基础工程建设，在树立景区保护自然、培育资源、人与自然协调发展典型形象的同时，将景区打造成具备西北地区乃至国际竞争力的生态休闲风景游赏地。</w:t>
            </w:r>
          </w:p>
          <w:p>
            <w:pPr>
              <w:bidi w:val="0"/>
              <w:rPr>
                <w:rFonts w:hint="default"/>
                <w:color w:val="auto"/>
                <w:lang w:val="en-US" w:eastAsia="zh-CN"/>
              </w:rPr>
            </w:pPr>
            <w:r>
              <w:rPr>
                <w:rFonts w:hint="default"/>
                <w:color w:val="auto"/>
                <w:lang w:val="en-US" w:eastAsia="zh-CN"/>
              </w:rPr>
              <w:t>本项目位于</w:t>
            </w:r>
            <w:r>
              <w:rPr>
                <w:rFonts w:hint="eastAsia"/>
                <w:color w:val="auto"/>
                <w:lang w:val="en-US" w:eastAsia="zh-CN"/>
              </w:rPr>
              <w:t>果赛景区</w:t>
            </w:r>
            <w:r>
              <w:rPr>
                <w:rFonts w:hint="default"/>
                <w:color w:val="auto"/>
                <w:lang w:val="en-US" w:eastAsia="zh-CN"/>
              </w:rPr>
              <w:t>内，项目占用</w:t>
            </w:r>
            <w:r>
              <w:rPr>
                <w:rFonts w:hint="eastAsia"/>
                <w:color w:val="auto"/>
                <w:lang w:val="en-US" w:eastAsia="zh-CN"/>
              </w:rPr>
              <w:t>景区</w:t>
            </w:r>
            <w:r>
              <w:rPr>
                <w:rFonts w:hint="default"/>
                <w:color w:val="auto"/>
                <w:lang w:val="en-US" w:eastAsia="zh-CN"/>
              </w:rPr>
              <w:t>的土地类型为天然牧草地，本环评要求建设单位对草地进行</w:t>
            </w:r>
            <w:r>
              <w:rPr>
                <w:rFonts w:hint="eastAsia"/>
                <w:color w:val="auto"/>
                <w:lang w:val="en-US" w:eastAsia="zh-CN"/>
              </w:rPr>
              <w:t>“</w:t>
            </w:r>
            <w:r>
              <w:rPr>
                <w:rFonts w:hint="default"/>
                <w:color w:val="auto"/>
                <w:lang w:val="en-US" w:eastAsia="zh-CN"/>
              </w:rPr>
              <w:t>占一补一，占补平衡</w:t>
            </w:r>
            <w:r>
              <w:rPr>
                <w:rFonts w:hint="eastAsia"/>
                <w:color w:val="auto"/>
                <w:lang w:val="en-US" w:eastAsia="zh-CN"/>
              </w:rPr>
              <w:t>”</w:t>
            </w:r>
            <w:r>
              <w:rPr>
                <w:rFonts w:hint="default"/>
                <w:color w:val="auto"/>
                <w:lang w:val="en-US" w:eastAsia="zh-CN"/>
              </w:rPr>
              <w:t>的原则。由于该项目建设工程进行了较合理的规划、布局，并将尽可能保持原有的地貌、景观，建筑形式较接近自然，与周边的环境相协调。</w:t>
            </w:r>
          </w:p>
          <w:p>
            <w:pPr>
              <w:bidi w:val="0"/>
              <w:ind w:left="0" w:leftChars="0" w:firstLine="0" w:firstLineChars="0"/>
              <w:rPr>
                <w:rFonts w:hint="default"/>
                <w:b/>
                <w:bCs/>
                <w:color w:val="auto"/>
                <w:lang w:val="en-US" w:eastAsia="zh-CN"/>
              </w:rPr>
            </w:pPr>
            <w:r>
              <w:rPr>
                <w:rFonts w:hint="eastAsia"/>
                <w:b/>
                <w:bCs/>
                <w:color w:val="auto"/>
                <w:lang w:val="en-US" w:eastAsia="zh-CN"/>
              </w:rPr>
              <w:t>1.3</w:t>
            </w:r>
            <w:r>
              <w:rPr>
                <w:rFonts w:hint="default"/>
                <w:b/>
                <w:bCs/>
                <w:color w:val="auto"/>
                <w:lang w:val="en-US" w:eastAsia="zh-CN"/>
              </w:rPr>
              <w:t>对动植物的影响</w:t>
            </w:r>
          </w:p>
          <w:p>
            <w:pPr>
              <w:bidi w:val="0"/>
              <w:rPr>
                <w:rFonts w:hint="default"/>
                <w:color w:val="auto"/>
                <w:lang w:val="en-US" w:eastAsia="zh-CN"/>
              </w:rPr>
            </w:pPr>
            <w:r>
              <w:rPr>
                <w:rFonts w:hint="default"/>
                <w:color w:val="auto"/>
                <w:lang w:val="en-US" w:eastAsia="zh-CN"/>
              </w:rPr>
              <w:t>（1）对植被的影响</w:t>
            </w:r>
          </w:p>
          <w:p>
            <w:pPr>
              <w:bidi w:val="0"/>
              <w:rPr>
                <w:rFonts w:hint="default"/>
                <w:color w:val="auto"/>
                <w:lang w:val="en-US" w:eastAsia="zh-CN"/>
              </w:rPr>
            </w:pPr>
            <w:r>
              <w:rPr>
                <w:rFonts w:hint="default"/>
                <w:color w:val="auto"/>
                <w:lang w:val="en-US" w:eastAsia="zh-CN"/>
              </w:rPr>
              <w:t>施工期对植被的影响主要是项目建设对植物的损害以及施工人员和机械对植被的践踏和碾压。不合理设置施工场可能直接破坏景观，扩大对沿线地表覆盖的破坏面积，增加恢复的难度，施工完毕后如不及时清理这些场地，可能出现油污满地、垃圾遍布、植被枯萎、一片</w:t>
            </w:r>
            <w:r>
              <w:rPr>
                <w:rFonts w:hint="eastAsia"/>
                <w:color w:val="auto"/>
                <w:lang w:val="en-US" w:eastAsia="zh-CN"/>
              </w:rPr>
              <w:t>狼藉</w:t>
            </w:r>
            <w:r>
              <w:rPr>
                <w:rFonts w:hint="default"/>
                <w:color w:val="auto"/>
                <w:lang w:val="en-US" w:eastAsia="zh-CN"/>
              </w:rPr>
              <w:t>的现象，破坏景观的自然性与和谐性。</w:t>
            </w:r>
          </w:p>
          <w:p>
            <w:pPr>
              <w:bidi w:val="0"/>
              <w:rPr>
                <w:rFonts w:hint="default"/>
                <w:color w:val="auto"/>
                <w:lang w:val="en-US" w:eastAsia="zh-CN"/>
              </w:rPr>
            </w:pPr>
            <w:r>
              <w:rPr>
                <w:rFonts w:hint="default"/>
                <w:color w:val="auto"/>
                <w:lang w:val="en-US" w:eastAsia="zh-CN"/>
              </w:rPr>
              <w:t>本项目施工期占用草地，会对植被产生直接破坏，使区域植被覆盖率下降；会改变土层及土壤特性，导致供给能力的下降，间接破坏植被，使植物生产能力下降，从而影响物种的生长；植被数量和面积的减少不仅意味着资源数量的减少，也意味着其环境效应的损失，同时增加了水力侵蚀、重力侵蚀强度与水土流失量，甚至会导致滑坡危害程度和频度的增加。因此设计时应尽量减少对植被资源的占用，保护现有植被免受破坏，并在工程施工期同时完成绿化工程，以减少对环境及景观美学的影响。</w:t>
            </w:r>
          </w:p>
          <w:p>
            <w:pPr>
              <w:bidi w:val="0"/>
              <w:rPr>
                <w:rFonts w:hint="default"/>
                <w:color w:val="auto"/>
                <w:lang w:val="en-US" w:eastAsia="zh-CN"/>
              </w:rPr>
            </w:pPr>
            <w:r>
              <w:rPr>
                <w:rFonts w:hint="default"/>
                <w:color w:val="auto"/>
                <w:lang w:val="en-US" w:eastAsia="zh-CN"/>
              </w:rPr>
              <w:t>项目永久占地对征地范围内的原有植被的破坏、土壤的扰动、野生动物及土壤的生物生境的干扰具有不可恢复性；对自然环境，特别是对原有植被影响最大。此外，施工中机械运输碾压及施工人员践踏也会对作业区及周边植被产生一定程度上的扰动。总体而言，项目建设对评价区内的植被生物量有一定影响，但影响程度较小。</w:t>
            </w:r>
          </w:p>
          <w:p>
            <w:pPr>
              <w:bidi w:val="0"/>
              <w:rPr>
                <w:rFonts w:hint="default"/>
                <w:color w:val="auto"/>
                <w:lang w:val="en-US" w:eastAsia="zh-CN"/>
              </w:rPr>
            </w:pPr>
            <w:r>
              <w:rPr>
                <w:rFonts w:hint="default"/>
                <w:color w:val="auto"/>
                <w:lang w:val="en-US" w:eastAsia="zh-CN"/>
              </w:rPr>
              <w:t>（2）对</w:t>
            </w:r>
            <w:r>
              <w:rPr>
                <w:rFonts w:hint="eastAsia"/>
                <w:color w:val="auto"/>
                <w:lang w:val="en-US" w:eastAsia="zh-CN"/>
              </w:rPr>
              <w:t>野生</w:t>
            </w:r>
            <w:r>
              <w:rPr>
                <w:rFonts w:hint="default"/>
                <w:color w:val="auto"/>
                <w:lang w:val="en-US" w:eastAsia="zh-CN"/>
              </w:rPr>
              <w:t>动物的影响</w:t>
            </w:r>
          </w:p>
          <w:p>
            <w:pPr>
              <w:bidi w:val="0"/>
              <w:rPr>
                <w:rFonts w:hint="default"/>
                <w:color w:val="auto"/>
                <w:lang w:val="en-US" w:eastAsia="zh-CN"/>
              </w:rPr>
            </w:pPr>
            <w:r>
              <w:rPr>
                <w:rFonts w:hint="default"/>
                <w:color w:val="auto"/>
                <w:lang w:val="en-US" w:eastAsia="zh-CN"/>
              </w:rPr>
              <w:t>项目对动物的影响主要来自以下方面：噪声、施工人员活动干扰、修建施工道路等导致部分栖息地破坏等。在施工期间的噪声主要来自建筑混凝土搅拌，车辆声音；索道建设时的噪声主要包括爆破、钻孔、开山等。爆破声可吓走鸟类和兽类，引起的地面震波可使爬行动物逃离。施工期间，这种经常的爆破超强噪声对动物产生的影响最快，也最为明显最直接。</w:t>
            </w:r>
          </w:p>
          <w:p>
            <w:pPr>
              <w:bidi w:val="0"/>
              <w:rPr>
                <w:rFonts w:hint="default"/>
                <w:color w:val="auto"/>
                <w:lang w:val="en-US" w:eastAsia="zh-CN"/>
              </w:rPr>
            </w:pPr>
            <w:r>
              <w:rPr>
                <w:rFonts w:hint="default"/>
                <w:color w:val="auto"/>
                <w:lang w:val="en-US" w:eastAsia="zh-CN"/>
              </w:rPr>
              <w:t>①对爬行动物的影响项目</w:t>
            </w:r>
          </w:p>
          <w:p>
            <w:pPr>
              <w:bidi w:val="0"/>
              <w:rPr>
                <w:rFonts w:hint="default"/>
                <w:color w:val="auto"/>
                <w:lang w:val="en-US" w:eastAsia="zh-CN"/>
              </w:rPr>
            </w:pPr>
            <w:r>
              <w:rPr>
                <w:rFonts w:hint="default"/>
                <w:color w:val="auto"/>
                <w:lang w:val="en-US" w:eastAsia="zh-CN"/>
              </w:rPr>
              <w:t>范围内爬行动物种类主要为蜥蜴类和蛇类，在项目施工期由于工程的需要，在该项目施工范围内人类活动频繁，活动影响范围加大，加之施工需要占地，因此在项目建设期间施工区的植被覆盖率有所降低，进而使得栖息地的适宜度降低。爬行动物对外界环境的适应能力较好，同时对外界的干扰应对能力较强，并具有较强的迁移能力。因此，在工程的建设期间，爬行类动物对施工、对环境的改变等的影响可能是积极躲避的。在施工期间，施工带来的直接影响及通过栖息地暂时性变化的间接影响，会使评价范围区域内一些爬行动物类群的部分个体会迁移出该区域。但从总体来看，由于爬行类良好的活动能力和趋避能力，工程建设过程对爬行动物各类群的种群数量的影响是很小的。</w:t>
            </w:r>
          </w:p>
          <w:p>
            <w:pPr>
              <w:bidi w:val="0"/>
              <w:rPr>
                <w:rFonts w:hint="default"/>
                <w:color w:val="auto"/>
                <w:lang w:val="en-US" w:eastAsia="zh-CN"/>
              </w:rPr>
            </w:pPr>
            <w:r>
              <w:rPr>
                <w:rFonts w:hint="default"/>
                <w:color w:val="auto"/>
                <w:lang w:val="en-US" w:eastAsia="zh-CN"/>
              </w:rPr>
              <w:t>由于直接受施工影响的区域相对较小，因此在施工后自然植被的恢复过程较快。加之爬行动物活动不受水的限制，活动能力强、对新的栖息地有较好的适应性，因此对于爬行动物来说，在较短时间内适应恢复后的生态环境。因而，在工程施工期，爬行动物的物种丰富度及各物种的种群数量都不会受到明显的影响。</w:t>
            </w:r>
          </w:p>
          <w:p>
            <w:pPr>
              <w:bidi w:val="0"/>
              <w:rPr>
                <w:rFonts w:hint="default"/>
                <w:color w:val="auto"/>
                <w:lang w:val="en-US" w:eastAsia="zh-CN"/>
              </w:rPr>
            </w:pPr>
            <w:r>
              <w:rPr>
                <w:rFonts w:hint="default"/>
                <w:color w:val="auto"/>
                <w:lang w:val="en-US" w:eastAsia="zh-CN"/>
              </w:rPr>
              <w:t>②对鸟类的影响</w:t>
            </w:r>
          </w:p>
          <w:p>
            <w:pPr>
              <w:bidi w:val="0"/>
              <w:rPr>
                <w:rFonts w:hint="default"/>
                <w:color w:val="auto"/>
                <w:lang w:val="en-US" w:eastAsia="zh-CN"/>
              </w:rPr>
            </w:pPr>
            <w:r>
              <w:rPr>
                <w:rFonts w:hint="default"/>
                <w:color w:val="auto"/>
                <w:lang w:val="en-US" w:eastAsia="zh-CN"/>
              </w:rPr>
              <w:t>结合实地踏勘和建设单位提供的资料，评价区内以雀形目鸟类最多。鸟类在食物链中位置特殊，因而其种群数量一般较小，相对应的是觅食空间广阔、活动范围很大，因而该工程的建设对它们的影响较小。另外一些种类为鸡形目物种，如雪鸡，它们生活在林地较好的山区之中，远离项目区，因此项目的施工和运行对它们的影响很小。</w:t>
            </w:r>
          </w:p>
          <w:p>
            <w:pPr>
              <w:bidi w:val="0"/>
              <w:rPr>
                <w:rFonts w:hint="default"/>
                <w:color w:val="auto"/>
                <w:lang w:val="en-US" w:eastAsia="zh-CN"/>
              </w:rPr>
            </w:pPr>
            <w:r>
              <w:rPr>
                <w:rFonts w:hint="default"/>
                <w:color w:val="auto"/>
                <w:lang w:val="en-US" w:eastAsia="zh-CN"/>
              </w:rPr>
              <w:t>施工期间，对一些鸟类可能产生的影响如下：一方面，在索道施工期间，人为活动干扰增加，并伴有多种剧烈的施工手段，并带来巨大的震动及声音等，均对鸟类产生惊吓和干扰。另一方面，施工对环境的影响将对鸟类的繁殖、觅食和栖息都产生一定的影响。由于鸟类是具有超强运动能力的物种，它们可以通过飞翔来快速逃离不利的外界环境，因此施工中产生的不利因素可能会导致鸟类远离施工区，从而对其栖息和觅食地产生一定影响。但鸟类对环境有很强的适应性，当对噪声逐渐熟悉以后，会逐步适应施工区域的干扰因素，使施工区内的鸟类的生物多样性将会逐渐恢复。因此当工程完成后，在生态环境因素没有明显变化的条件下，该生态影响评价范围内的鸟类物种多样性和各类群和物种的数量都不会产生变化。</w:t>
            </w:r>
          </w:p>
          <w:p>
            <w:pPr>
              <w:bidi w:val="0"/>
              <w:rPr>
                <w:rFonts w:hint="default"/>
                <w:color w:val="auto"/>
                <w:lang w:val="en-US" w:eastAsia="zh-CN"/>
              </w:rPr>
            </w:pPr>
            <w:r>
              <w:rPr>
                <w:rFonts w:hint="default"/>
                <w:color w:val="auto"/>
                <w:lang w:val="en-US" w:eastAsia="zh-CN"/>
              </w:rPr>
              <w:t>所以，综上所述，项目施工期对鸟类的影响不会导致鸟类多样性及数量的迅速下降。尽管如此，考虑到噪声可能对鸟类的繁殖率、觅食和栖息等都会产生一定的影响，因此在索道的施工过程中应该尽量采取一定的降噪、降低粉尘、减震等措施，力求将影响降至最低。</w:t>
            </w:r>
          </w:p>
          <w:p>
            <w:pPr>
              <w:bidi w:val="0"/>
              <w:rPr>
                <w:rFonts w:hint="default"/>
                <w:color w:val="auto"/>
                <w:lang w:val="en-US" w:eastAsia="zh-CN"/>
              </w:rPr>
            </w:pPr>
            <w:r>
              <w:rPr>
                <w:rFonts w:hint="default"/>
                <w:color w:val="auto"/>
                <w:lang w:val="en-US" w:eastAsia="zh-CN"/>
              </w:rPr>
              <w:t>③对兽类的影响</w:t>
            </w:r>
          </w:p>
          <w:p>
            <w:pPr>
              <w:bidi w:val="0"/>
              <w:rPr>
                <w:rFonts w:hint="default"/>
                <w:color w:val="auto"/>
                <w:lang w:val="en-US" w:eastAsia="zh-CN"/>
              </w:rPr>
            </w:pPr>
            <w:r>
              <w:rPr>
                <w:rFonts w:hint="default"/>
                <w:color w:val="auto"/>
                <w:lang w:val="en-US" w:eastAsia="zh-CN"/>
              </w:rPr>
              <w:t>对于施工导致生态环境的变化，对于一些动物类群而言具有较强的适应性，环境变化对其的影响较小。对于另外一些迁徙能力较强的动物，它们对于噪声等干扰比较敏感，在施工过程中将快速地远离干扰源，而迁移至附近受干扰较小的区域。在工程建设完成后，随着干扰因素的消失和植被的逐步恢复，离开评价区域的兽类会逐渐回到原来的栖息地。项目中的一些工程也会对其产生阻隔作用，影响其觅食、繁殖的空间。但是对其影响并非不可逆，因为它们对栖息地的要求并不严格，周边地区有大量适宜的生境可供它们选择，因此，项目对这些保护的兽类的影响将是不明显的。</w:t>
            </w:r>
          </w:p>
          <w:p>
            <w:pPr>
              <w:bidi w:val="0"/>
              <w:ind w:left="0" w:leftChars="0" w:firstLine="0" w:firstLineChars="0"/>
              <w:rPr>
                <w:rFonts w:hint="default" w:ascii="Times New Roman" w:hAnsi="Times New Roman" w:eastAsia="宋体" w:cs="Times New Roman"/>
                <w:b/>
                <w:bCs/>
                <w:color w:val="auto"/>
                <w:kern w:val="44"/>
                <w:sz w:val="24"/>
                <w:szCs w:val="24"/>
                <w:highlight w:val="none"/>
                <w:lang w:val="en-US" w:eastAsia="zh-CN"/>
              </w:rPr>
            </w:pPr>
            <w:r>
              <w:rPr>
                <w:rFonts w:hint="eastAsia" w:ascii="Times New Roman" w:hAnsi="Times New Roman" w:eastAsia="宋体" w:cs="Times New Roman"/>
                <w:b/>
                <w:bCs/>
                <w:color w:val="auto"/>
                <w:kern w:val="44"/>
                <w:sz w:val="24"/>
                <w:szCs w:val="24"/>
                <w:highlight w:val="none"/>
                <w:lang w:val="en-US" w:eastAsia="zh-CN"/>
              </w:rPr>
              <w:t>1.4施工期水土流失的影响</w:t>
            </w:r>
          </w:p>
          <w:p>
            <w:pPr>
              <w:bidi w:val="0"/>
              <w:ind w:left="0" w:leftChars="0" w:firstLine="480" w:firstLineChars="200"/>
              <w:rPr>
                <w:rFonts w:hint="eastAsia" w:ascii="Times New Roman" w:hAnsi="Times New Roman" w:eastAsia="宋体" w:cs="Times New Roman"/>
                <w:b w:val="0"/>
                <w:bCs w:val="0"/>
                <w:color w:val="auto"/>
                <w:kern w:val="44"/>
                <w:sz w:val="24"/>
                <w:szCs w:val="24"/>
                <w:highlight w:val="none"/>
                <w:lang w:val="en-US" w:eastAsia="zh-CN"/>
              </w:rPr>
            </w:pPr>
            <w:bookmarkStart w:id="7" w:name="_Toc239848245"/>
            <w:bookmarkStart w:id="8" w:name="_Toc208052728"/>
            <w:bookmarkStart w:id="9" w:name="_Toc208052894"/>
            <w:r>
              <w:rPr>
                <w:rFonts w:hint="eastAsia" w:ascii="Times New Roman" w:hAnsi="Times New Roman" w:eastAsia="宋体" w:cs="Times New Roman"/>
                <w:b w:val="0"/>
                <w:bCs w:val="0"/>
                <w:color w:val="auto"/>
                <w:kern w:val="44"/>
                <w:sz w:val="24"/>
                <w:szCs w:val="24"/>
                <w:highlight w:val="none"/>
                <w:lang w:val="en-US" w:eastAsia="zh-CN"/>
              </w:rPr>
              <w:t xml:space="preserve">（1）水土流失现状 </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结合本项目地理位置、地形地貌、气候特征、水文水资源特征、土壤植被及周围环境特点，根据《新疆维吾尔自治区</w:t>
            </w:r>
            <w:r>
              <w:rPr>
                <w:rFonts w:hint="default" w:ascii="Times New Roman" w:hAnsi="Times New Roman" w:eastAsia="宋体" w:cs="Times New Roman"/>
                <w:color w:val="auto"/>
                <w:lang w:val="en-US" w:eastAsia="zh-CN"/>
              </w:rPr>
              <w:t>202</w:t>
            </w:r>
            <w:r>
              <w:rPr>
                <w:rFonts w:hint="eastAsia" w:ascii="Times New Roman" w:hAnsi="Times New Roman" w:eastAsia="宋体" w:cs="Times New Roman"/>
                <w:color w:val="auto"/>
                <w:lang w:val="en-US" w:eastAsia="zh-CN"/>
              </w:rPr>
              <w:t>2年水土流失动态监测年报》和《土壤侵蚀分类分级标准》（</w:t>
            </w:r>
            <w:r>
              <w:rPr>
                <w:rFonts w:hint="default" w:ascii="Times New Roman" w:hAnsi="Times New Roman" w:eastAsia="宋体" w:cs="Times New Roman"/>
                <w:color w:val="auto"/>
                <w:lang w:val="en-US" w:eastAsia="zh-CN"/>
              </w:rPr>
              <w:t>SL190</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96</w:t>
            </w:r>
            <w:r>
              <w:rPr>
                <w:rFonts w:hint="eastAsia" w:ascii="Times New Roman" w:hAnsi="Times New Roman" w:eastAsia="宋体" w:cs="Times New Roman"/>
                <w:color w:val="auto"/>
                <w:lang w:val="en-US" w:eastAsia="zh-CN"/>
              </w:rPr>
              <w:t>），确定本项目区土壤侵蚀强度属于轻度风力侵蚀，该区域原地貌土壤侵蚀模数为</w:t>
            </w:r>
            <w:r>
              <w:rPr>
                <w:rFonts w:hint="default" w:ascii="Times New Roman" w:hAnsi="Times New Roman" w:eastAsia="宋体" w:cs="Times New Roman"/>
                <w:color w:val="auto"/>
                <w:lang w:val="en-US" w:eastAsia="zh-CN"/>
              </w:rPr>
              <w:t>1000t/km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·a</w:t>
            </w:r>
            <w:r>
              <w:rPr>
                <w:rFonts w:hint="eastAsia" w:ascii="Times New Roman" w:hAnsi="Times New Roman" w:eastAsia="宋体" w:cs="Times New Roman"/>
                <w:color w:val="auto"/>
                <w:lang w:val="en-US" w:eastAsia="zh-CN"/>
              </w:rPr>
              <w:t xml:space="preserve">，容许土壤流失量取值为 </w:t>
            </w:r>
            <w:r>
              <w:rPr>
                <w:rFonts w:hint="default" w:ascii="Times New Roman" w:hAnsi="Times New Roman" w:eastAsia="宋体" w:cs="Times New Roman"/>
                <w:color w:val="auto"/>
                <w:lang w:val="en-US" w:eastAsia="zh-CN"/>
              </w:rPr>
              <w:t>1000t/km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·a</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本项目施工时，存在土石方开挖、回填、临时性弃土、弃渣堆放，将会由于大风降雨而产生水土流失，对周围生态环境产生了不利影响，若本项目的建设不采取水土保持措施，项目区水土流失将有增加的趋势。</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（2）可能造成的水土流失危害</w:t>
            </w:r>
            <w:bookmarkEnd w:id="7"/>
            <w:bookmarkEnd w:id="8"/>
            <w:bookmarkEnd w:id="9"/>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fldChar w:fldCharType="begin"/>
            </w:r>
            <w:r>
              <w:rPr>
                <w:rFonts w:hint="eastAsia" w:ascii="Times New Roman" w:hAnsi="Times New Roman" w:eastAsia="宋体" w:cs="Times New Roman"/>
                <w:color w:val="auto"/>
                <w:lang w:val="en-US" w:eastAsia="zh-CN"/>
              </w:rPr>
              <w:instrText xml:space="preserve"> = 1 \* GB3 \* MERGEFORMAT </w:instrText>
            </w:r>
            <w:r>
              <w:rPr>
                <w:rFonts w:hint="eastAsia" w:ascii="Times New Roman" w:hAnsi="Times New Roman" w:eastAsia="宋体" w:cs="Times New Roman"/>
                <w:color w:val="auto"/>
                <w:lang w:val="en-US" w:eastAsia="zh-CN"/>
              </w:rPr>
              <w:fldChar w:fldCharType="separate"/>
            </w:r>
            <w:r>
              <w:rPr>
                <w:color w:val="auto"/>
              </w:rPr>
              <w:t>①</w:t>
            </w:r>
            <w:r>
              <w:rPr>
                <w:rFonts w:hint="eastAsia"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lang w:val="en-US" w:eastAsia="zh-CN"/>
              </w:rPr>
              <w:t>对土地资源的破坏和影响。工程建设破坏原地貌形态、土壤结构和地表植被，使植被附着层被严重破坏或不复存在，地表土壤抗蚀能力将会急剧下降，单位面积的土壤侵蚀量直线上升，产生大量的裸露地面和疏松土体，使土壤抗蚀抗冲能力下降，如遇大风大雨天气，将加剧水土流失，影响当地农业生产的发展。</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fldChar w:fldCharType="begin"/>
            </w:r>
            <w:r>
              <w:rPr>
                <w:rFonts w:hint="eastAsia" w:ascii="Times New Roman" w:hAnsi="Times New Roman" w:eastAsia="宋体" w:cs="Times New Roman"/>
                <w:color w:val="auto"/>
                <w:lang w:val="en-US" w:eastAsia="zh-CN"/>
              </w:rPr>
              <w:instrText xml:space="preserve"> = 2 \* GB3 \* MERGEFORMAT </w:instrText>
            </w:r>
            <w:r>
              <w:rPr>
                <w:rFonts w:hint="eastAsia" w:ascii="Times New Roman" w:hAnsi="Times New Roman" w:eastAsia="宋体" w:cs="Times New Roman"/>
                <w:color w:val="auto"/>
                <w:lang w:val="en-US" w:eastAsia="zh-CN"/>
              </w:rPr>
              <w:fldChar w:fldCharType="separate"/>
            </w:r>
            <w:r>
              <w:rPr>
                <w:color w:val="auto"/>
              </w:rPr>
              <w:t>②</w:t>
            </w:r>
            <w:r>
              <w:rPr>
                <w:rFonts w:hint="eastAsia"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lang w:val="en-US" w:eastAsia="zh-CN"/>
              </w:rPr>
              <w:t>工程建设期间有大量土方挖填、倒运、堆放、调配等，如施工过程中遇到大风吹蚀，降雨冲刷，则可能加剧当地水土流失和环境效益衰减的规模。</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fldChar w:fldCharType="begin"/>
            </w:r>
            <w:r>
              <w:rPr>
                <w:rFonts w:hint="eastAsia" w:ascii="Times New Roman" w:hAnsi="Times New Roman" w:eastAsia="宋体" w:cs="Times New Roman"/>
                <w:color w:val="auto"/>
                <w:lang w:val="en-US" w:eastAsia="zh-CN"/>
              </w:rPr>
              <w:instrText xml:space="preserve"> = 3 \* GB3 \* MERGEFORMAT </w:instrText>
            </w:r>
            <w:r>
              <w:rPr>
                <w:rFonts w:hint="eastAsia" w:ascii="Times New Roman" w:hAnsi="Times New Roman" w:eastAsia="宋体" w:cs="Times New Roman"/>
                <w:color w:val="auto"/>
                <w:lang w:val="en-US" w:eastAsia="zh-CN"/>
              </w:rPr>
              <w:fldChar w:fldCharType="separate"/>
            </w:r>
            <w:r>
              <w:rPr>
                <w:color w:val="auto"/>
              </w:rPr>
              <w:t>③</w:t>
            </w:r>
            <w:r>
              <w:rPr>
                <w:rFonts w:hint="eastAsia"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lang w:val="en-US" w:eastAsia="zh-CN"/>
              </w:rPr>
              <w:t>工程建设将产生的弃土，如果其进行堆放时结构散乱、疏松以及最终边坡处置方案设置不合理或不采取防治措施，必将会造成水土流失。</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fldChar w:fldCharType="begin"/>
            </w:r>
            <w:r>
              <w:rPr>
                <w:rFonts w:hint="eastAsia" w:ascii="Times New Roman" w:hAnsi="Times New Roman" w:eastAsia="宋体" w:cs="Times New Roman"/>
                <w:color w:val="auto"/>
                <w:lang w:val="en-US" w:eastAsia="zh-CN"/>
              </w:rPr>
              <w:instrText xml:space="preserve"> = 4 \* GB3 \* MERGEFORMAT </w:instrText>
            </w:r>
            <w:r>
              <w:rPr>
                <w:rFonts w:hint="eastAsia" w:ascii="Times New Roman" w:hAnsi="Times New Roman" w:eastAsia="宋体" w:cs="Times New Roman"/>
                <w:color w:val="auto"/>
                <w:lang w:val="en-US" w:eastAsia="zh-CN"/>
              </w:rPr>
              <w:fldChar w:fldCharType="separate"/>
            </w:r>
            <w:r>
              <w:rPr>
                <w:color w:val="auto"/>
              </w:rPr>
              <w:t>④</w:t>
            </w:r>
            <w:r>
              <w:rPr>
                <w:rFonts w:hint="eastAsia"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lang w:val="en-US" w:eastAsia="zh-CN"/>
              </w:rPr>
              <w:t>该工程扰动和破坏原地表状况、植被，降低了原地貌的水土保持功能，削弱了其抗蚀能力。若不及时恢复，必将为水土流失提供新的物质来源。</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fldChar w:fldCharType="begin"/>
            </w:r>
            <w:r>
              <w:rPr>
                <w:rFonts w:hint="eastAsia" w:ascii="Times New Roman" w:hAnsi="Times New Roman" w:eastAsia="宋体" w:cs="Times New Roman"/>
                <w:color w:val="auto"/>
                <w:lang w:val="en-US" w:eastAsia="zh-CN"/>
              </w:rPr>
              <w:instrText xml:space="preserve"> = 5 \* GB3 \* MERGEFORMAT </w:instrText>
            </w:r>
            <w:r>
              <w:rPr>
                <w:rFonts w:hint="eastAsia" w:ascii="Times New Roman" w:hAnsi="Times New Roman" w:eastAsia="宋体" w:cs="Times New Roman"/>
                <w:color w:val="auto"/>
                <w:lang w:val="en-US" w:eastAsia="zh-CN"/>
              </w:rPr>
              <w:fldChar w:fldCharType="separate"/>
            </w:r>
            <w:r>
              <w:rPr>
                <w:color w:val="auto"/>
              </w:rPr>
              <w:t>⑤</w:t>
            </w:r>
            <w:r>
              <w:rPr>
                <w:rFonts w:hint="eastAsia"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lang w:val="en-US" w:eastAsia="zh-CN"/>
              </w:rPr>
              <w:t>施工期结束后，临时建筑物的拆除、废弃，形成一定范围的废弃地，为水土流失发生提供了物质来源，若不加以处理，在暴雨径流携带下，会形成水土流失。</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由此可见，本工程在建设过程中必须采取一定的水土流失防治措施，否则项目的建设不仅造成严重的水土流失，而且将会对主体工程的安全运行产生一定的负面影响。</w:t>
            </w:r>
          </w:p>
          <w:p>
            <w:pPr>
              <w:bidi w:val="0"/>
              <w:ind w:left="0" w:leftChars="0" w:firstLine="0" w:firstLineChars="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1.5 大气环境影响</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4"/>
                <w:highlight w:val="none"/>
                <w:lang w:val="en-US" w:eastAsia="zh-CN"/>
              </w:rPr>
              <w:t>施工期的废气来源主要有：施工机械燃油废气、施工作业区开挖、填筑以及建筑材料装卸运输等产生的粉尘和汽车行驶过程中产生的尾气、扬尘等。以上污染源基本属于流动性与间歇性污染源，且施工结束后便会消失。</w:t>
            </w:r>
          </w:p>
          <w:p>
            <w:pPr>
              <w:bidi w:val="0"/>
              <w:rPr>
                <w:rFonts w:hint="default"/>
                <w:color w:val="auto"/>
                <w:lang w:val="en-US" w:eastAsia="zh-CN"/>
              </w:rPr>
            </w:pPr>
            <w:r>
              <w:rPr>
                <w:rFonts w:hint="default" w:ascii="Times New Roman" w:hAnsi="Times New Roman" w:eastAsia="宋体" w:cs="Times New Roman"/>
                <w:color w:val="auto"/>
                <w:lang w:val="en-US" w:eastAsia="zh-CN"/>
              </w:rPr>
              <w:t>（1）施工</w:t>
            </w:r>
            <w:r>
              <w:rPr>
                <w:rFonts w:hint="default"/>
                <w:color w:val="auto"/>
                <w:lang w:val="en-US" w:eastAsia="zh-CN"/>
              </w:rPr>
              <w:t>扬尘</w:t>
            </w:r>
          </w:p>
          <w:p>
            <w:pPr>
              <w:bidi w:val="0"/>
              <w:rPr>
                <w:rFonts w:hint="default"/>
                <w:color w:val="auto"/>
                <w:lang w:val="en-US" w:eastAsia="zh-CN"/>
              </w:rPr>
            </w:pPr>
            <w:r>
              <w:rPr>
                <w:rFonts w:hint="default"/>
                <w:color w:val="auto"/>
                <w:lang w:val="en-US" w:eastAsia="zh-CN"/>
              </w:rPr>
              <w:t>施工期的大气污染物主要为扬尘（污染因子为TSP）。扬尘的主要来源于：基础土石方的开挖、堆放、回填和清运过程，建筑材料（水泥、白灰、砂子等）装卸、堆放，施工垃圾堆放和清运。扬尘量的大小与施工现场条件、管理水平、机械化程度及施工季节、土质及气象等诸多因素有关，是一个复杂、较难定量的问题，施工扬尘是施工期主要污染源之一。扬尘量可按堆场起尘的经验公式计算：</w:t>
            </w:r>
          </w:p>
          <w:p>
            <w:pPr>
              <w:bidi w:val="0"/>
              <w:ind w:left="0" w:leftChars="0" w:firstLine="0" w:firstLineChars="0"/>
              <w:jc w:val="center"/>
              <w:rPr>
                <w:rFonts w:hint="default"/>
                <w:b w:val="0"/>
                <w:bCs w:val="0"/>
                <w:color w:val="auto"/>
                <w:sz w:val="24"/>
                <w:szCs w:val="24"/>
                <w:lang w:val="en-US" w:eastAsia="zh-CN"/>
              </w:rPr>
            </w:pPr>
            <w:r>
              <w:rPr>
                <w:rFonts w:hint="default"/>
                <w:b w:val="0"/>
                <w:bCs w:val="0"/>
                <w:color w:val="auto"/>
                <w:sz w:val="24"/>
                <w:szCs w:val="24"/>
                <w:lang w:val="en-US" w:eastAsia="zh-CN"/>
              </w:rPr>
              <w:t>Q=2.1</w:t>
            </w:r>
            <w:r>
              <w:rPr>
                <w:rFonts w:hint="eastAsia"/>
                <w:b w:val="0"/>
                <w:bCs w:val="0"/>
                <w:color w:val="auto"/>
                <w:sz w:val="24"/>
                <w:szCs w:val="24"/>
                <w:lang w:val="en-US" w:eastAsia="zh-CN"/>
              </w:rPr>
              <w:t>（</w:t>
            </w:r>
            <w:r>
              <w:rPr>
                <w:rFonts w:hint="default"/>
                <w:b w:val="0"/>
                <w:bCs w:val="0"/>
                <w:color w:val="auto"/>
                <w:sz w:val="24"/>
                <w:szCs w:val="24"/>
                <w:lang w:val="en-US" w:eastAsia="zh-CN"/>
              </w:rPr>
              <w:t>V</w:t>
            </w:r>
            <w:r>
              <w:rPr>
                <w:rFonts w:hint="default"/>
                <w:b w:val="0"/>
                <w:bCs w:val="0"/>
                <w:color w:val="auto"/>
                <w:sz w:val="24"/>
                <w:szCs w:val="24"/>
                <w:vertAlign w:val="subscript"/>
                <w:lang w:val="en-US" w:eastAsia="zh-CN"/>
              </w:rPr>
              <w:t>50</w:t>
            </w:r>
            <w:r>
              <w:rPr>
                <w:rFonts w:hint="default"/>
                <w:b w:val="0"/>
                <w:bCs w:val="0"/>
                <w:color w:val="auto"/>
                <w:sz w:val="24"/>
                <w:szCs w:val="24"/>
                <w:lang w:val="en-US" w:eastAsia="zh-CN"/>
              </w:rPr>
              <w:t>-V</w:t>
            </w:r>
            <w:r>
              <w:rPr>
                <w:rFonts w:hint="default"/>
                <w:b w:val="0"/>
                <w:bCs w:val="0"/>
                <w:color w:val="auto"/>
                <w:sz w:val="24"/>
                <w:szCs w:val="24"/>
                <w:vertAlign w:val="subscript"/>
                <w:lang w:val="en-US" w:eastAsia="zh-CN"/>
              </w:rPr>
              <w:t>0</w:t>
            </w:r>
            <w:r>
              <w:rPr>
                <w:rFonts w:hint="eastAsia"/>
                <w:b w:val="0"/>
                <w:bCs w:val="0"/>
                <w:color w:val="auto"/>
                <w:sz w:val="24"/>
                <w:szCs w:val="24"/>
                <w:lang w:val="en-US" w:eastAsia="zh-CN"/>
              </w:rPr>
              <w:t>）</w:t>
            </w:r>
            <w:r>
              <w:rPr>
                <w:rFonts w:hint="default"/>
                <w:b w:val="0"/>
                <w:bCs w:val="0"/>
                <w:color w:val="auto"/>
                <w:sz w:val="24"/>
                <w:szCs w:val="24"/>
                <w:lang w:val="en-US" w:eastAsia="zh-CN"/>
              </w:rPr>
              <w:t>3e</w:t>
            </w:r>
            <w:r>
              <w:rPr>
                <w:rFonts w:hint="default"/>
                <w:b w:val="0"/>
                <w:bCs w:val="0"/>
                <w:color w:val="auto"/>
                <w:sz w:val="24"/>
                <w:szCs w:val="24"/>
                <w:vertAlign w:val="superscript"/>
                <w:lang w:val="en-US" w:eastAsia="zh-CN"/>
              </w:rPr>
              <w:t>-1.023</w:t>
            </w:r>
            <w:r>
              <w:rPr>
                <w:rFonts w:hint="default"/>
                <w:b w:val="0"/>
                <w:bCs w:val="0"/>
                <w:color w:val="auto"/>
                <w:sz w:val="24"/>
                <w:szCs w:val="24"/>
                <w:lang w:val="en-US" w:eastAsia="zh-CN"/>
              </w:rPr>
              <w:t>W</w:t>
            </w:r>
          </w:p>
          <w:p>
            <w:pPr>
              <w:bidi w:val="0"/>
              <w:rPr>
                <w:rFonts w:hint="default"/>
                <w:color w:val="auto"/>
                <w:lang w:val="en-US" w:eastAsia="zh-CN"/>
              </w:rPr>
            </w:pPr>
            <w:r>
              <w:rPr>
                <w:rFonts w:hint="default"/>
                <w:color w:val="auto"/>
                <w:lang w:val="en-US" w:eastAsia="zh-CN"/>
              </w:rPr>
              <w:t>式中：Q——起尘量，kg/吨.年；</w:t>
            </w:r>
          </w:p>
          <w:p>
            <w:pPr>
              <w:bidi w:val="0"/>
              <w:ind w:firstLine="1200" w:firstLineChars="500"/>
              <w:rPr>
                <w:rFonts w:hint="default"/>
                <w:color w:val="auto"/>
                <w:lang w:val="en-US" w:eastAsia="zh-CN"/>
              </w:rPr>
            </w:pPr>
            <w:r>
              <w:rPr>
                <w:rFonts w:hint="default"/>
                <w:color w:val="auto"/>
                <w:lang w:val="en-US" w:eastAsia="zh-CN"/>
              </w:rPr>
              <w:t>V</w:t>
            </w:r>
            <w:r>
              <w:rPr>
                <w:rFonts w:hint="default"/>
                <w:color w:val="auto"/>
                <w:vertAlign w:val="subscript"/>
                <w:lang w:val="en-US" w:eastAsia="zh-CN"/>
              </w:rPr>
              <w:t>50</w:t>
            </w:r>
            <w:r>
              <w:rPr>
                <w:rFonts w:hint="default"/>
                <w:color w:val="auto"/>
                <w:lang w:val="en-US" w:eastAsia="zh-CN"/>
              </w:rPr>
              <w:t>——距地面50m处风速，m/s；</w:t>
            </w:r>
          </w:p>
          <w:p>
            <w:pPr>
              <w:bidi w:val="0"/>
              <w:ind w:firstLine="1200" w:firstLineChars="500"/>
              <w:rPr>
                <w:rFonts w:hint="default"/>
                <w:color w:val="auto"/>
                <w:lang w:val="en-US" w:eastAsia="zh-CN"/>
              </w:rPr>
            </w:pPr>
            <w:r>
              <w:rPr>
                <w:rFonts w:hint="default"/>
                <w:color w:val="auto"/>
                <w:lang w:val="en-US" w:eastAsia="zh-CN"/>
              </w:rPr>
              <w:t>V</w:t>
            </w:r>
            <w:r>
              <w:rPr>
                <w:rFonts w:hint="default"/>
                <w:color w:val="auto"/>
                <w:vertAlign w:val="subscript"/>
                <w:lang w:val="en-US" w:eastAsia="zh-CN"/>
              </w:rPr>
              <w:t>0</w:t>
            </w:r>
            <w:r>
              <w:rPr>
                <w:rFonts w:hint="default"/>
                <w:color w:val="auto"/>
                <w:lang w:val="en-US" w:eastAsia="zh-CN"/>
              </w:rPr>
              <w:t>——起尘风速，m/s；</w:t>
            </w:r>
          </w:p>
          <w:p>
            <w:pPr>
              <w:bidi w:val="0"/>
              <w:ind w:firstLine="1200" w:firstLineChars="500"/>
              <w:rPr>
                <w:rFonts w:hint="default"/>
                <w:color w:val="auto"/>
                <w:lang w:val="en-US" w:eastAsia="zh-CN"/>
              </w:rPr>
            </w:pPr>
            <w:r>
              <w:rPr>
                <w:rFonts w:hint="default"/>
                <w:color w:val="auto"/>
                <w:lang w:val="en-US" w:eastAsia="zh-CN"/>
              </w:rPr>
              <w:t>W——尘粒的含水率，%。</w:t>
            </w:r>
          </w:p>
          <w:p>
            <w:pPr>
              <w:bidi w:val="0"/>
              <w:rPr>
                <w:rFonts w:hint="default"/>
                <w:color w:val="auto"/>
                <w:lang w:val="en-US" w:eastAsia="zh-CN"/>
              </w:rPr>
            </w:pPr>
            <w:r>
              <w:rPr>
                <w:rFonts w:hint="default"/>
                <w:color w:val="auto"/>
                <w:lang w:val="en-US" w:eastAsia="zh-CN"/>
              </w:rPr>
              <w:t>起尘风速与粒径和含水率有关，因此，减少露天堆放和保证一定的含水率及减少裸露地面是减少施工风力起尘的有效手段。尘粒在空气中的传播扩散情况与风速等气象条件有关，也与尘粒本身的沉降速度有关。不同粒径粉尘的沉降速度见表</w:t>
            </w:r>
            <w:r>
              <w:rPr>
                <w:rFonts w:hint="eastAsia"/>
                <w:color w:val="auto"/>
                <w:lang w:val="en-US" w:eastAsia="zh-CN"/>
              </w:rPr>
              <w:t>1</w:t>
            </w:r>
            <w:r>
              <w:rPr>
                <w:rFonts w:hint="default"/>
                <w:color w:val="auto"/>
                <w:lang w:val="en-US" w:eastAsia="zh-CN"/>
              </w:rPr>
              <w:t>-</w:t>
            </w:r>
            <w:r>
              <w:rPr>
                <w:rFonts w:hint="eastAsia"/>
                <w:color w:val="auto"/>
                <w:lang w:val="en-US" w:eastAsia="zh-CN"/>
              </w:rPr>
              <w:t>2</w:t>
            </w:r>
            <w:r>
              <w:rPr>
                <w:rFonts w:hint="default"/>
                <w:color w:val="auto"/>
                <w:lang w:val="en-US" w:eastAsia="zh-CN"/>
              </w:rPr>
              <w:t>。</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lang w:val="en-US" w:eastAsia="zh-CN"/>
              </w:rPr>
            </w:pPr>
            <w:r>
              <w:rPr>
                <w:rFonts w:hint="default"/>
                <w:color w:val="auto"/>
                <w:sz w:val="24"/>
                <w:szCs w:val="24"/>
                <w:lang w:val="en-US" w:eastAsia="zh-CN"/>
              </w:rPr>
              <w:t>表</w:t>
            </w:r>
            <w:r>
              <w:rPr>
                <w:rFonts w:hint="eastAsia"/>
                <w:color w:val="auto"/>
                <w:sz w:val="24"/>
                <w:szCs w:val="24"/>
                <w:lang w:val="en-US" w:eastAsia="zh-CN"/>
              </w:rPr>
              <w:t>1</w:t>
            </w:r>
            <w:r>
              <w:rPr>
                <w:rFonts w:hint="default"/>
                <w:color w:val="auto"/>
                <w:sz w:val="24"/>
                <w:szCs w:val="24"/>
                <w:lang w:val="en-US" w:eastAsia="zh-CN"/>
              </w:rPr>
              <w:t>-</w:t>
            </w:r>
            <w:r>
              <w:rPr>
                <w:rFonts w:hint="eastAsia"/>
                <w:color w:val="auto"/>
                <w:sz w:val="24"/>
                <w:szCs w:val="24"/>
                <w:lang w:val="en-US" w:eastAsia="zh-CN"/>
              </w:rPr>
              <w:t xml:space="preserve">2  </w:t>
            </w:r>
            <w:r>
              <w:rPr>
                <w:rFonts w:hint="default"/>
                <w:color w:val="auto"/>
                <w:sz w:val="24"/>
                <w:szCs w:val="24"/>
                <w:lang w:val="en-US" w:eastAsia="zh-CN"/>
              </w:rPr>
              <w:t>不同尘粒的沉降速度</w:t>
            </w:r>
          </w:p>
          <w:tbl>
            <w:tblPr>
              <w:tblStyle w:val="19"/>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83"/>
              <w:gridCol w:w="880"/>
              <w:gridCol w:w="789"/>
              <w:gridCol w:w="822"/>
              <w:gridCol w:w="796"/>
              <w:gridCol w:w="905"/>
              <w:gridCol w:w="1000"/>
              <w:gridCol w:w="100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017" w:type="pct"/>
                  <w:tcBorders>
                    <w:tl2br w:val="nil"/>
                    <w:tr2bl w:val="nil"/>
                  </w:tcBorders>
                  <w:vAlign w:val="top"/>
                </w:tcPr>
                <w:p>
                  <w:pPr>
                    <w:pStyle w:val="17"/>
                    <w:bidi w:val="0"/>
                    <w:rPr>
                      <w:color w:val="auto"/>
                    </w:rPr>
                  </w:pPr>
                  <w:r>
                    <w:rPr>
                      <w:color w:val="auto"/>
                    </w:rPr>
                    <w:t>粒径（微米）</w:t>
                  </w:r>
                </w:p>
              </w:tc>
              <w:tc>
                <w:tcPr>
                  <w:tcW w:w="565" w:type="pct"/>
                  <w:tcBorders>
                    <w:tl2br w:val="nil"/>
                    <w:tr2bl w:val="nil"/>
                  </w:tcBorders>
                  <w:vAlign w:val="top"/>
                </w:tcPr>
                <w:p>
                  <w:pPr>
                    <w:pStyle w:val="17"/>
                    <w:bidi w:val="0"/>
                    <w:rPr>
                      <w:color w:val="auto"/>
                    </w:rPr>
                  </w:pPr>
                  <w:r>
                    <w:rPr>
                      <w:color w:val="auto"/>
                    </w:rPr>
                    <w:t>10</w:t>
                  </w:r>
                </w:p>
              </w:tc>
              <w:tc>
                <w:tcPr>
                  <w:tcW w:w="507" w:type="pct"/>
                  <w:tcBorders>
                    <w:tl2br w:val="nil"/>
                    <w:tr2bl w:val="nil"/>
                  </w:tcBorders>
                  <w:vAlign w:val="top"/>
                </w:tcPr>
                <w:p>
                  <w:pPr>
                    <w:pStyle w:val="17"/>
                    <w:bidi w:val="0"/>
                    <w:rPr>
                      <w:color w:val="auto"/>
                    </w:rPr>
                  </w:pPr>
                  <w:r>
                    <w:rPr>
                      <w:color w:val="auto"/>
                    </w:rPr>
                    <w:t>20</w:t>
                  </w:r>
                </w:p>
              </w:tc>
              <w:tc>
                <w:tcPr>
                  <w:tcW w:w="528" w:type="pct"/>
                  <w:tcBorders>
                    <w:tl2br w:val="nil"/>
                    <w:tr2bl w:val="nil"/>
                  </w:tcBorders>
                  <w:vAlign w:val="top"/>
                </w:tcPr>
                <w:p>
                  <w:pPr>
                    <w:pStyle w:val="17"/>
                    <w:bidi w:val="0"/>
                    <w:rPr>
                      <w:color w:val="auto"/>
                    </w:rPr>
                  </w:pPr>
                  <w:r>
                    <w:rPr>
                      <w:color w:val="auto"/>
                    </w:rPr>
                    <w:t>30</w:t>
                  </w:r>
                </w:p>
              </w:tc>
              <w:tc>
                <w:tcPr>
                  <w:tcW w:w="511" w:type="pct"/>
                  <w:tcBorders>
                    <w:tl2br w:val="nil"/>
                    <w:tr2bl w:val="nil"/>
                  </w:tcBorders>
                  <w:vAlign w:val="top"/>
                </w:tcPr>
                <w:p>
                  <w:pPr>
                    <w:pStyle w:val="17"/>
                    <w:bidi w:val="0"/>
                    <w:rPr>
                      <w:color w:val="auto"/>
                    </w:rPr>
                  </w:pPr>
                  <w:r>
                    <w:rPr>
                      <w:color w:val="auto"/>
                    </w:rPr>
                    <w:t>40</w:t>
                  </w:r>
                </w:p>
              </w:tc>
              <w:tc>
                <w:tcPr>
                  <w:tcW w:w="581" w:type="pct"/>
                  <w:tcBorders>
                    <w:tl2br w:val="nil"/>
                    <w:tr2bl w:val="nil"/>
                  </w:tcBorders>
                  <w:vAlign w:val="top"/>
                </w:tcPr>
                <w:p>
                  <w:pPr>
                    <w:pStyle w:val="17"/>
                    <w:bidi w:val="0"/>
                    <w:rPr>
                      <w:color w:val="auto"/>
                    </w:rPr>
                  </w:pPr>
                  <w:r>
                    <w:rPr>
                      <w:color w:val="auto"/>
                    </w:rPr>
                    <w:t>50</w:t>
                  </w:r>
                </w:p>
              </w:tc>
              <w:tc>
                <w:tcPr>
                  <w:tcW w:w="642" w:type="pct"/>
                  <w:tcBorders>
                    <w:tl2br w:val="nil"/>
                    <w:tr2bl w:val="nil"/>
                  </w:tcBorders>
                  <w:vAlign w:val="top"/>
                </w:tcPr>
                <w:p>
                  <w:pPr>
                    <w:pStyle w:val="17"/>
                    <w:bidi w:val="0"/>
                    <w:rPr>
                      <w:color w:val="auto"/>
                    </w:rPr>
                  </w:pPr>
                  <w:r>
                    <w:rPr>
                      <w:color w:val="auto"/>
                    </w:rPr>
                    <w:t>60</w:t>
                  </w:r>
                </w:p>
              </w:tc>
              <w:tc>
                <w:tcPr>
                  <w:tcW w:w="643" w:type="pct"/>
                  <w:tcBorders>
                    <w:tl2br w:val="nil"/>
                    <w:tr2bl w:val="nil"/>
                  </w:tcBorders>
                  <w:vAlign w:val="top"/>
                </w:tcPr>
                <w:p>
                  <w:pPr>
                    <w:pStyle w:val="17"/>
                    <w:bidi w:val="0"/>
                    <w:rPr>
                      <w:color w:val="auto"/>
                    </w:rPr>
                  </w:pPr>
                  <w:r>
                    <w:rPr>
                      <w:color w:val="auto"/>
                    </w:rPr>
                    <w:t>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017" w:type="pct"/>
                  <w:tcBorders>
                    <w:tl2br w:val="nil"/>
                    <w:tr2bl w:val="nil"/>
                  </w:tcBorders>
                  <w:vAlign w:val="top"/>
                </w:tcPr>
                <w:p>
                  <w:pPr>
                    <w:pStyle w:val="17"/>
                    <w:bidi w:val="0"/>
                    <w:rPr>
                      <w:color w:val="auto"/>
                    </w:rPr>
                  </w:pPr>
                  <w:r>
                    <w:rPr>
                      <w:color w:val="auto"/>
                    </w:rPr>
                    <w:t>沉降速度</w:t>
                  </w:r>
                </w:p>
              </w:tc>
              <w:tc>
                <w:tcPr>
                  <w:tcW w:w="565" w:type="pct"/>
                  <w:tcBorders>
                    <w:tl2br w:val="nil"/>
                    <w:tr2bl w:val="nil"/>
                  </w:tcBorders>
                  <w:vAlign w:val="top"/>
                </w:tcPr>
                <w:p>
                  <w:pPr>
                    <w:pStyle w:val="17"/>
                    <w:bidi w:val="0"/>
                    <w:rPr>
                      <w:color w:val="auto"/>
                    </w:rPr>
                  </w:pPr>
                  <w:r>
                    <w:rPr>
                      <w:color w:val="auto"/>
                    </w:rPr>
                    <w:t>0.03</w:t>
                  </w:r>
                </w:p>
              </w:tc>
              <w:tc>
                <w:tcPr>
                  <w:tcW w:w="507" w:type="pct"/>
                  <w:tcBorders>
                    <w:tl2br w:val="nil"/>
                    <w:tr2bl w:val="nil"/>
                  </w:tcBorders>
                  <w:vAlign w:val="top"/>
                </w:tcPr>
                <w:p>
                  <w:pPr>
                    <w:pStyle w:val="17"/>
                    <w:bidi w:val="0"/>
                    <w:rPr>
                      <w:color w:val="auto"/>
                    </w:rPr>
                  </w:pPr>
                  <w:r>
                    <w:rPr>
                      <w:color w:val="auto"/>
                    </w:rPr>
                    <w:t>0.01</w:t>
                  </w:r>
                </w:p>
              </w:tc>
              <w:tc>
                <w:tcPr>
                  <w:tcW w:w="528" w:type="pct"/>
                  <w:tcBorders>
                    <w:tl2br w:val="nil"/>
                    <w:tr2bl w:val="nil"/>
                  </w:tcBorders>
                  <w:vAlign w:val="top"/>
                </w:tcPr>
                <w:p>
                  <w:pPr>
                    <w:pStyle w:val="17"/>
                    <w:bidi w:val="0"/>
                    <w:rPr>
                      <w:color w:val="auto"/>
                    </w:rPr>
                  </w:pPr>
                  <w:r>
                    <w:rPr>
                      <w:color w:val="auto"/>
                    </w:rPr>
                    <w:t>0.02</w:t>
                  </w:r>
                </w:p>
              </w:tc>
              <w:tc>
                <w:tcPr>
                  <w:tcW w:w="511" w:type="pct"/>
                  <w:tcBorders>
                    <w:tl2br w:val="nil"/>
                    <w:tr2bl w:val="nil"/>
                  </w:tcBorders>
                  <w:vAlign w:val="top"/>
                </w:tcPr>
                <w:p>
                  <w:pPr>
                    <w:pStyle w:val="17"/>
                    <w:bidi w:val="0"/>
                    <w:rPr>
                      <w:color w:val="auto"/>
                    </w:rPr>
                  </w:pPr>
                  <w:r>
                    <w:rPr>
                      <w:color w:val="auto"/>
                    </w:rPr>
                    <w:t>0.04</w:t>
                  </w:r>
                </w:p>
              </w:tc>
              <w:tc>
                <w:tcPr>
                  <w:tcW w:w="581" w:type="pct"/>
                  <w:tcBorders>
                    <w:tl2br w:val="nil"/>
                    <w:tr2bl w:val="nil"/>
                  </w:tcBorders>
                  <w:vAlign w:val="top"/>
                </w:tcPr>
                <w:p>
                  <w:pPr>
                    <w:pStyle w:val="17"/>
                    <w:bidi w:val="0"/>
                    <w:rPr>
                      <w:color w:val="auto"/>
                    </w:rPr>
                  </w:pPr>
                  <w:r>
                    <w:rPr>
                      <w:color w:val="auto"/>
                    </w:rPr>
                    <w:t>0.075</w:t>
                  </w:r>
                </w:p>
              </w:tc>
              <w:tc>
                <w:tcPr>
                  <w:tcW w:w="642" w:type="pct"/>
                  <w:tcBorders>
                    <w:tl2br w:val="nil"/>
                    <w:tr2bl w:val="nil"/>
                  </w:tcBorders>
                  <w:vAlign w:val="top"/>
                </w:tcPr>
                <w:p>
                  <w:pPr>
                    <w:pStyle w:val="17"/>
                    <w:bidi w:val="0"/>
                    <w:rPr>
                      <w:color w:val="auto"/>
                    </w:rPr>
                  </w:pPr>
                  <w:r>
                    <w:rPr>
                      <w:color w:val="auto"/>
                    </w:rPr>
                    <w:t>0.108</w:t>
                  </w:r>
                </w:p>
              </w:tc>
              <w:tc>
                <w:tcPr>
                  <w:tcW w:w="643" w:type="pct"/>
                  <w:tcBorders>
                    <w:tl2br w:val="nil"/>
                    <w:tr2bl w:val="nil"/>
                  </w:tcBorders>
                  <w:vAlign w:val="top"/>
                </w:tcPr>
                <w:p>
                  <w:pPr>
                    <w:pStyle w:val="17"/>
                    <w:bidi w:val="0"/>
                    <w:rPr>
                      <w:color w:val="auto"/>
                    </w:rPr>
                  </w:pPr>
                  <w:r>
                    <w:rPr>
                      <w:color w:val="auto"/>
                    </w:rPr>
                    <w:t>0.147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1017" w:type="pct"/>
                  <w:tcBorders>
                    <w:tl2br w:val="nil"/>
                    <w:tr2bl w:val="nil"/>
                  </w:tcBorders>
                  <w:vAlign w:val="top"/>
                </w:tcPr>
                <w:p>
                  <w:pPr>
                    <w:pStyle w:val="17"/>
                    <w:bidi w:val="0"/>
                    <w:rPr>
                      <w:color w:val="auto"/>
                    </w:rPr>
                  </w:pPr>
                  <w:r>
                    <w:rPr>
                      <w:color w:val="auto"/>
                    </w:rPr>
                    <w:t>粒径（微米）</w:t>
                  </w:r>
                </w:p>
              </w:tc>
              <w:tc>
                <w:tcPr>
                  <w:tcW w:w="565" w:type="pct"/>
                  <w:tcBorders>
                    <w:tl2br w:val="nil"/>
                    <w:tr2bl w:val="nil"/>
                  </w:tcBorders>
                  <w:vAlign w:val="top"/>
                </w:tcPr>
                <w:p>
                  <w:pPr>
                    <w:pStyle w:val="17"/>
                    <w:bidi w:val="0"/>
                    <w:rPr>
                      <w:color w:val="auto"/>
                    </w:rPr>
                  </w:pPr>
                  <w:r>
                    <w:rPr>
                      <w:color w:val="auto"/>
                    </w:rPr>
                    <w:t>80</w:t>
                  </w:r>
                </w:p>
              </w:tc>
              <w:tc>
                <w:tcPr>
                  <w:tcW w:w="507" w:type="pct"/>
                  <w:tcBorders>
                    <w:tl2br w:val="nil"/>
                    <w:tr2bl w:val="nil"/>
                  </w:tcBorders>
                  <w:vAlign w:val="top"/>
                </w:tcPr>
                <w:p>
                  <w:pPr>
                    <w:pStyle w:val="17"/>
                    <w:bidi w:val="0"/>
                    <w:rPr>
                      <w:color w:val="auto"/>
                    </w:rPr>
                  </w:pPr>
                  <w:r>
                    <w:rPr>
                      <w:color w:val="auto"/>
                    </w:rPr>
                    <w:t>90</w:t>
                  </w:r>
                </w:p>
              </w:tc>
              <w:tc>
                <w:tcPr>
                  <w:tcW w:w="528" w:type="pct"/>
                  <w:tcBorders>
                    <w:tl2br w:val="nil"/>
                    <w:tr2bl w:val="nil"/>
                  </w:tcBorders>
                  <w:vAlign w:val="top"/>
                </w:tcPr>
                <w:p>
                  <w:pPr>
                    <w:pStyle w:val="17"/>
                    <w:bidi w:val="0"/>
                    <w:rPr>
                      <w:color w:val="auto"/>
                    </w:rPr>
                  </w:pPr>
                  <w:r>
                    <w:rPr>
                      <w:color w:val="auto"/>
                    </w:rPr>
                    <w:t>100</w:t>
                  </w:r>
                </w:p>
              </w:tc>
              <w:tc>
                <w:tcPr>
                  <w:tcW w:w="511" w:type="pct"/>
                  <w:tcBorders>
                    <w:tl2br w:val="nil"/>
                    <w:tr2bl w:val="nil"/>
                  </w:tcBorders>
                  <w:vAlign w:val="top"/>
                </w:tcPr>
                <w:p>
                  <w:pPr>
                    <w:pStyle w:val="17"/>
                    <w:bidi w:val="0"/>
                    <w:rPr>
                      <w:color w:val="auto"/>
                    </w:rPr>
                  </w:pPr>
                  <w:r>
                    <w:rPr>
                      <w:color w:val="auto"/>
                    </w:rPr>
                    <w:t>150</w:t>
                  </w:r>
                </w:p>
              </w:tc>
              <w:tc>
                <w:tcPr>
                  <w:tcW w:w="581" w:type="pct"/>
                  <w:tcBorders>
                    <w:tl2br w:val="nil"/>
                    <w:tr2bl w:val="nil"/>
                  </w:tcBorders>
                  <w:vAlign w:val="top"/>
                </w:tcPr>
                <w:p>
                  <w:pPr>
                    <w:pStyle w:val="17"/>
                    <w:bidi w:val="0"/>
                    <w:rPr>
                      <w:color w:val="auto"/>
                    </w:rPr>
                  </w:pPr>
                  <w:r>
                    <w:rPr>
                      <w:color w:val="auto"/>
                    </w:rPr>
                    <w:t>200</w:t>
                  </w:r>
                </w:p>
              </w:tc>
              <w:tc>
                <w:tcPr>
                  <w:tcW w:w="642" w:type="pct"/>
                  <w:tcBorders>
                    <w:tl2br w:val="nil"/>
                    <w:tr2bl w:val="nil"/>
                  </w:tcBorders>
                  <w:vAlign w:val="top"/>
                </w:tcPr>
                <w:p>
                  <w:pPr>
                    <w:pStyle w:val="17"/>
                    <w:bidi w:val="0"/>
                    <w:rPr>
                      <w:color w:val="auto"/>
                    </w:rPr>
                  </w:pPr>
                  <w:r>
                    <w:rPr>
                      <w:color w:val="auto"/>
                    </w:rPr>
                    <w:t>250</w:t>
                  </w:r>
                </w:p>
              </w:tc>
              <w:tc>
                <w:tcPr>
                  <w:tcW w:w="643" w:type="pct"/>
                  <w:tcBorders>
                    <w:tl2br w:val="nil"/>
                    <w:tr2bl w:val="nil"/>
                  </w:tcBorders>
                  <w:vAlign w:val="top"/>
                </w:tcPr>
                <w:p>
                  <w:pPr>
                    <w:pStyle w:val="17"/>
                    <w:bidi w:val="0"/>
                    <w:rPr>
                      <w:color w:val="auto"/>
                    </w:rPr>
                  </w:pPr>
                  <w:r>
                    <w:rPr>
                      <w:color w:val="auto"/>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1017" w:type="pct"/>
                  <w:tcBorders>
                    <w:tl2br w:val="nil"/>
                    <w:tr2bl w:val="nil"/>
                  </w:tcBorders>
                  <w:vAlign w:val="top"/>
                </w:tcPr>
                <w:p>
                  <w:pPr>
                    <w:pStyle w:val="17"/>
                    <w:bidi w:val="0"/>
                    <w:rPr>
                      <w:color w:val="auto"/>
                    </w:rPr>
                  </w:pPr>
                  <w:r>
                    <w:rPr>
                      <w:color w:val="auto"/>
                    </w:rPr>
                    <w:t>沉降速度</w:t>
                  </w:r>
                </w:p>
              </w:tc>
              <w:tc>
                <w:tcPr>
                  <w:tcW w:w="565" w:type="pct"/>
                  <w:tcBorders>
                    <w:tl2br w:val="nil"/>
                    <w:tr2bl w:val="nil"/>
                  </w:tcBorders>
                  <w:vAlign w:val="top"/>
                </w:tcPr>
                <w:p>
                  <w:pPr>
                    <w:pStyle w:val="17"/>
                    <w:bidi w:val="0"/>
                    <w:rPr>
                      <w:color w:val="auto"/>
                    </w:rPr>
                  </w:pPr>
                  <w:r>
                    <w:rPr>
                      <w:color w:val="auto"/>
                    </w:rPr>
                    <w:t>0.158</w:t>
                  </w:r>
                </w:p>
              </w:tc>
              <w:tc>
                <w:tcPr>
                  <w:tcW w:w="507" w:type="pct"/>
                  <w:tcBorders>
                    <w:tl2br w:val="nil"/>
                    <w:tr2bl w:val="nil"/>
                  </w:tcBorders>
                  <w:vAlign w:val="top"/>
                </w:tcPr>
                <w:p>
                  <w:pPr>
                    <w:pStyle w:val="17"/>
                    <w:bidi w:val="0"/>
                    <w:rPr>
                      <w:color w:val="auto"/>
                    </w:rPr>
                  </w:pPr>
                  <w:r>
                    <w:rPr>
                      <w:color w:val="auto"/>
                    </w:rPr>
                    <w:t>0.17</w:t>
                  </w:r>
                </w:p>
              </w:tc>
              <w:tc>
                <w:tcPr>
                  <w:tcW w:w="528" w:type="pct"/>
                  <w:tcBorders>
                    <w:tl2br w:val="nil"/>
                    <w:tr2bl w:val="nil"/>
                  </w:tcBorders>
                  <w:vAlign w:val="top"/>
                </w:tcPr>
                <w:p>
                  <w:pPr>
                    <w:pStyle w:val="17"/>
                    <w:bidi w:val="0"/>
                    <w:rPr>
                      <w:color w:val="auto"/>
                    </w:rPr>
                  </w:pPr>
                  <w:r>
                    <w:rPr>
                      <w:color w:val="auto"/>
                    </w:rPr>
                    <w:t>0.18</w:t>
                  </w:r>
                </w:p>
              </w:tc>
              <w:tc>
                <w:tcPr>
                  <w:tcW w:w="511" w:type="pct"/>
                  <w:tcBorders>
                    <w:tl2br w:val="nil"/>
                    <w:tr2bl w:val="nil"/>
                  </w:tcBorders>
                  <w:vAlign w:val="top"/>
                </w:tcPr>
                <w:p>
                  <w:pPr>
                    <w:pStyle w:val="17"/>
                    <w:bidi w:val="0"/>
                    <w:rPr>
                      <w:color w:val="auto"/>
                    </w:rPr>
                  </w:pPr>
                  <w:r>
                    <w:rPr>
                      <w:color w:val="auto"/>
                    </w:rPr>
                    <w:t>0.23</w:t>
                  </w:r>
                </w:p>
              </w:tc>
              <w:tc>
                <w:tcPr>
                  <w:tcW w:w="581" w:type="pct"/>
                  <w:tcBorders>
                    <w:tl2br w:val="nil"/>
                    <w:tr2bl w:val="nil"/>
                  </w:tcBorders>
                  <w:vAlign w:val="top"/>
                </w:tcPr>
                <w:p>
                  <w:pPr>
                    <w:pStyle w:val="17"/>
                    <w:bidi w:val="0"/>
                    <w:rPr>
                      <w:color w:val="auto"/>
                    </w:rPr>
                  </w:pPr>
                  <w:r>
                    <w:rPr>
                      <w:color w:val="auto"/>
                    </w:rPr>
                    <w:t>0.804</w:t>
                  </w:r>
                </w:p>
              </w:tc>
              <w:tc>
                <w:tcPr>
                  <w:tcW w:w="642" w:type="pct"/>
                  <w:tcBorders>
                    <w:tl2br w:val="nil"/>
                    <w:tr2bl w:val="nil"/>
                  </w:tcBorders>
                  <w:vAlign w:val="top"/>
                </w:tcPr>
                <w:p>
                  <w:pPr>
                    <w:pStyle w:val="17"/>
                    <w:bidi w:val="0"/>
                    <w:rPr>
                      <w:color w:val="auto"/>
                    </w:rPr>
                  </w:pPr>
                  <w:r>
                    <w:rPr>
                      <w:color w:val="auto"/>
                    </w:rPr>
                    <w:t>1.005</w:t>
                  </w:r>
                </w:p>
              </w:tc>
              <w:tc>
                <w:tcPr>
                  <w:tcW w:w="643" w:type="pct"/>
                  <w:tcBorders>
                    <w:tl2br w:val="nil"/>
                    <w:tr2bl w:val="nil"/>
                  </w:tcBorders>
                  <w:vAlign w:val="top"/>
                </w:tcPr>
                <w:p>
                  <w:pPr>
                    <w:pStyle w:val="17"/>
                    <w:bidi w:val="0"/>
                    <w:rPr>
                      <w:color w:val="auto"/>
                    </w:rPr>
                  </w:pPr>
                  <w:r>
                    <w:rPr>
                      <w:color w:val="auto"/>
                    </w:rPr>
                    <w:t>1.829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1017" w:type="pct"/>
                  <w:tcBorders>
                    <w:tl2br w:val="nil"/>
                    <w:tr2bl w:val="nil"/>
                  </w:tcBorders>
                  <w:vAlign w:val="top"/>
                </w:tcPr>
                <w:p>
                  <w:pPr>
                    <w:pStyle w:val="17"/>
                    <w:bidi w:val="0"/>
                    <w:rPr>
                      <w:color w:val="auto"/>
                    </w:rPr>
                  </w:pPr>
                  <w:r>
                    <w:rPr>
                      <w:color w:val="auto"/>
                    </w:rPr>
                    <w:t>粒径（微米）</w:t>
                  </w:r>
                </w:p>
              </w:tc>
              <w:tc>
                <w:tcPr>
                  <w:tcW w:w="565" w:type="pct"/>
                  <w:tcBorders>
                    <w:tl2br w:val="nil"/>
                    <w:tr2bl w:val="nil"/>
                  </w:tcBorders>
                  <w:vAlign w:val="top"/>
                </w:tcPr>
                <w:p>
                  <w:pPr>
                    <w:pStyle w:val="17"/>
                    <w:bidi w:val="0"/>
                    <w:rPr>
                      <w:color w:val="auto"/>
                    </w:rPr>
                  </w:pPr>
                  <w:r>
                    <w:rPr>
                      <w:color w:val="auto"/>
                    </w:rPr>
                    <w:t>450</w:t>
                  </w:r>
                </w:p>
              </w:tc>
              <w:tc>
                <w:tcPr>
                  <w:tcW w:w="507" w:type="pct"/>
                  <w:tcBorders>
                    <w:tl2br w:val="nil"/>
                    <w:tr2bl w:val="nil"/>
                  </w:tcBorders>
                  <w:vAlign w:val="top"/>
                </w:tcPr>
                <w:p>
                  <w:pPr>
                    <w:pStyle w:val="17"/>
                    <w:bidi w:val="0"/>
                    <w:rPr>
                      <w:color w:val="auto"/>
                    </w:rPr>
                  </w:pPr>
                  <w:r>
                    <w:rPr>
                      <w:color w:val="auto"/>
                    </w:rPr>
                    <w:t>550</w:t>
                  </w:r>
                </w:p>
              </w:tc>
              <w:tc>
                <w:tcPr>
                  <w:tcW w:w="528" w:type="pct"/>
                  <w:tcBorders>
                    <w:tl2br w:val="nil"/>
                    <w:tr2bl w:val="nil"/>
                  </w:tcBorders>
                  <w:vAlign w:val="top"/>
                </w:tcPr>
                <w:p>
                  <w:pPr>
                    <w:pStyle w:val="17"/>
                    <w:bidi w:val="0"/>
                    <w:rPr>
                      <w:color w:val="auto"/>
                    </w:rPr>
                  </w:pPr>
                  <w:r>
                    <w:rPr>
                      <w:color w:val="auto"/>
                    </w:rPr>
                    <w:t>650</w:t>
                  </w:r>
                </w:p>
              </w:tc>
              <w:tc>
                <w:tcPr>
                  <w:tcW w:w="511" w:type="pct"/>
                  <w:tcBorders>
                    <w:tl2br w:val="nil"/>
                    <w:tr2bl w:val="nil"/>
                  </w:tcBorders>
                  <w:vAlign w:val="top"/>
                </w:tcPr>
                <w:p>
                  <w:pPr>
                    <w:pStyle w:val="17"/>
                    <w:bidi w:val="0"/>
                    <w:rPr>
                      <w:color w:val="auto"/>
                    </w:rPr>
                  </w:pPr>
                  <w:r>
                    <w:rPr>
                      <w:color w:val="auto"/>
                    </w:rPr>
                    <w:t>750</w:t>
                  </w:r>
                </w:p>
              </w:tc>
              <w:tc>
                <w:tcPr>
                  <w:tcW w:w="581" w:type="pct"/>
                  <w:tcBorders>
                    <w:tl2br w:val="nil"/>
                    <w:tr2bl w:val="nil"/>
                  </w:tcBorders>
                  <w:vAlign w:val="top"/>
                </w:tcPr>
                <w:p>
                  <w:pPr>
                    <w:pStyle w:val="17"/>
                    <w:bidi w:val="0"/>
                    <w:rPr>
                      <w:color w:val="auto"/>
                    </w:rPr>
                  </w:pPr>
                  <w:r>
                    <w:rPr>
                      <w:color w:val="auto"/>
                    </w:rPr>
                    <w:t>850</w:t>
                  </w:r>
                </w:p>
              </w:tc>
              <w:tc>
                <w:tcPr>
                  <w:tcW w:w="642" w:type="pct"/>
                  <w:tcBorders>
                    <w:tl2br w:val="nil"/>
                    <w:tr2bl w:val="nil"/>
                  </w:tcBorders>
                  <w:vAlign w:val="top"/>
                </w:tcPr>
                <w:p>
                  <w:pPr>
                    <w:pStyle w:val="17"/>
                    <w:bidi w:val="0"/>
                    <w:rPr>
                      <w:color w:val="auto"/>
                    </w:rPr>
                  </w:pPr>
                  <w:r>
                    <w:rPr>
                      <w:color w:val="auto"/>
                    </w:rPr>
                    <w:t>950</w:t>
                  </w:r>
                </w:p>
              </w:tc>
              <w:tc>
                <w:tcPr>
                  <w:tcW w:w="643" w:type="pct"/>
                  <w:tcBorders>
                    <w:tl2br w:val="nil"/>
                    <w:tr2bl w:val="nil"/>
                  </w:tcBorders>
                  <w:vAlign w:val="top"/>
                </w:tcPr>
                <w:p>
                  <w:pPr>
                    <w:pStyle w:val="17"/>
                    <w:bidi w:val="0"/>
                    <w:rPr>
                      <w:color w:val="auto"/>
                    </w:rPr>
                  </w:pPr>
                  <w:r>
                    <w:rPr>
                      <w:color w:val="auto"/>
                    </w:rPr>
                    <w:t>1050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017" w:type="pct"/>
                  <w:tcBorders>
                    <w:tl2br w:val="nil"/>
                    <w:tr2bl w:val="nil"/>
                  </w:tcBorders>
                  <w:vAlign w:val="top"/>
                </w:tcPr>
                <w:p>
                  <w:pPr>
                    <w:pStyle w:val="17"/>
                    <w:bidi w:val="0"/>
                    <w:rPr>
                      <w:color w:val="auto"/>
                    </w:rPr>
                  </w:pPr>
                  <w:r>
                    <w:rPr>
                      <w:color w:val="auto"/>
                    </w:rPr>
                    <w:t>沉降速度</w:t>
                  </w:r>
                </w:p>
              </w:tc>
              <w:tc>
                <w:tcPr>
                  <w:tcW w:w="565" w:type="pct"/>
                  <w:tcBorders>
                    <w:tl2br w:val="nil"/>
                    <w:tr2bl w:val="nil"/>
                  </w:tcBorders>
                  <w:vAlign w:val="top"/>
                </w:tcPr>
                <w:p>
                  <w:pPr>
                    <w:pStyle w:val="17"/>
                    <w:bidi w:val="0"/>
                    <w:rPr>
                      <w:color w:val="auto"/>
                    </w:rPr>
                  </w:pPr>
                  <w:r>
                    <w:rPr>
                      <w:color w:val="auto"/>
                    </w:rPr>
                    <w:t>2.211</w:t>
                  </w:r>
                </w:p>
              </w:tc>
              <w:tc>
                <w:tcPr>
                  <w:tcW w:w="507" w:type="pct"/>
                  <w:tcBorders>
                    <w:tl2br w:val="nil"/>
                    <w:tr2bl w:val="nil"/>
                  </w:tcBorders>
                  <w:vAlign w:val="top"/>
                </w:tcPr>
                <w:p>
                  <w:pPr>
                    <w:pStyle w:val="17"/>
                    <w:bidi w:val="0"/>
                    <w:rPr>
                      <w:color w:val="auto"/>
                    </w:rPr>
                  </w:pPr>
                  <w:r>
                    <w:rPr>
                      <w:color w:val="auto"/>
                    </w:rPr>
                    <w:t>2.61</w:t>
                  </w:r>
                </w:p>
              </w:tc>
              <w:tc>
                <w:tcPr>
                  <w:tcW w:w="528" w:type="pct"/>
                  <w:tcBorders>
                    <w:tl2br w:val="nil"/>
                    <w:tr2bl w:val="nil"/>
                  </w:tcBorders>
                  <w:vAlign w:val="top"/>
                </w:tcPr>
                <w:p>
                  <w:pPr>
                    <w:pStyle w:val="17"/>
                    <w:bidi w:val="0"/>
                    <w:rPr>
                      <w:color w:val="auto"/>
                    </w:rPr>
                  </w:pPr>
                  <w:r>
                    <w:rPr>
                      <w:color w:val="auto"/>
                    </w:rPr>
                    <w:t>3.01</w:t>
                  </w:r>
                </w:p>
              </w:tc>
              <w:tc>
                <w:tcPr>
                  <w:tcW w:w="511" w:type="pct"/>
                  <w:tcBorders>
                    <w:tl2br w:val="nil"/>
                    <w:tr2bl w:val="nil"/>
                  </w:tcBorders>
                  <w:vAlign w:val="top"/>
                </w:tcPr>
                <w:p>
                  <w:pPr>
                    <w:pStyle w:val="17"/>
                    <w:bidi w:val="0"/>
                    <w:rPr>
                      <w:color w:val="auto"/>
                    </w:rPr>
                  </w:pPr>
                  <w:r>
                    <w:rPr>
                      <w:color w:val="auto"/>
                    </w:rPr>
                    <w:t>3.41</w:t>
                  </w:r>
                </w:p>
              </w:tc>
              <w:tc>
                <w:tcPr>
                  <w:tcW w:w="581" w:type="pct"/>
                  <w:tcBorders>
                    <w:tl2br w:val="nil"/>
                    <w:tr2bl w:val="nil"/>
                  </w:tcBorders>
                  <w:vAlign w:val="top"/>
                </w:tcPr>
                <w:p>
                  <w:pPr>
                    <w:pStyle w:val="17"/>
                    <w:bidi w:val="0"/>
                    <w:rPr>
                      <w:color w:val="auto"/>
                    </w:rPr>
                  </w:pPr>
                  <w:r>
                    <w:rPr>
                      <w:color w:val="auto"/>
                    </w:rPr>
                    <w:t>3.820</w:t>
                  </w:r>
                </w:p>
              </w:tc>
              <w:tc>
                <w:tcPr>
                  <w:tcW w:w="642" w:type="pct"/>
                  <w:tcBorders>
                    <w:tl2br w:val="nil"/>
                    <w:tr2bl w:val="nil"/>
                  </w:tcBorders>
                  <w:vAlign w:val="top"/>
                </w:tcPr>
                <w:p>
                  <w:pPr>
                    <w:pStyle w:val="17"/>
                    <w:bidi w:val="0"/>
                    <w:rPr>
                      <w:color w:val="auto"/>
                    </w:rPr>
                  </w:pPr>
                  <w:r>
                    <w:rPr>
                      <w:color w:val="auto"/>
                    </w:rPr>
                    <w:t>4.222</w:t>
                  </w:r>
                </w:p>
              </w:tc>
              <w:tc>
                <w:tcPr>
                  <w:tcW w:w="643" w:type="pct"/>
                  <w:tcBorders>
                    <w:tl2br w:val="nil"/>
                    <w:tr2bl w:val="nil"/>
                  </w:tcBorders>
                  <w:vAlign w:val="top"/>
                </w:tcPr>
                <w:p>
                  <w:pPr>
                    <w:pStyle w:val="17"/>
                    <w:bidi w:val="0"/>
                    <w:rPr>
                      <w:color w:val="auto"/>
                    </w:rPr>
                  </w:pPr>
                  <w:r>
                    <w:rPr>
                      <w:color w:val="auto"/>
                    </w:rPr>
                    <w:t>4.624</w:t>
                  </w:r>
                </w:p>
              </w:tc>
            </w:tr>
          </w:tbl>
          <w:p>
            <w:pPr>
              <w:bidi w:val="0"/>
              <w:rPr>
                <w:rFonts w:hint="default"/>
                <w:color w:val="auto"/>
                <w:lang w:val="en-US" w:eastAsia="zh-CN"/>
              </w:rPr>
            </w:pPr>
            <w:r>
              <w:rPr>
                <w:rFonts w:hint="default"/>
                <w:color w:val="auto"/>
                <w:lang w:val="en-US" w:eastAsia="zh-CN"/>
              </w:rPr>
              <w:t>由表4-1可见，扬尘的沉降速度随粒径的增大而迅速增大。当粒径为250μm时，沉降速度为1.005m/s，因此可以认为当尘粒大于250μm时，主要影响范围在扬尘点下风向150m距离范围内，而真正对外环境产生影响的是一些微小粒径的粉尘。根据不同的气象情况，其影响范围也有所不同，尤其在天气干燥及风速较大时影响更为明显。</w:t>
            </w:r>
          </w:p>
          <w:p>
            <w:pPr>
              <w:bidi w:val="0"/>
              <w:rPr>
                <w:rFonts w:hint="default"/>
                <w:color w:val="auto"/>
                <w:lang w:val="en-US" w:eastAsia="zh-CN"/>
              </w:rPr>
            </w:pPr>
            <w:r>
              <w:rPr>
                <w:rFonts w:hint="default"/>
                <w:color w:val="auto"/>
                <w:lang w:val="en-US" w:eastAsia="zh-CN"/>
              </w:rPr>
              <w:t>因此，在施工时要采取一定的管理措施，如在选择建材堆放、转运的场地时，对易产生扬尘的物资，如水泥、黄砂等，不要在开阔地或露天堆放，同时对于易起尘的建筑材料应加盖蓬布；遇到大风天气应避免作业，如对黄砂等不得不敞开堆放时，则应对其进行洒水提高表面含水率，以起到抑尘效果。</w:t>
            </w:r>
          </w:p>
          <w:p>
            <w:pPr>
              <w:bidi w:val="0"/>
              <w:rPr>
                <w:rFonts w:hint="default"/>
                <w:color w:val="auto"/>
                <w:lang w:val="en-US" w:eastAsia="zh-CN"/>
              </w:rPr>
            </w:pPr>
            <w:r>
              <w:rPr>
                <w:rFonts w:hint="default"/>
                <w:color w:val="auto"/>
                <w:lang w:val="en-US" w:eastAsia="zh-CN"/>
              </w:rPr>
              <w:t>施工期的环境污染虽然不可避免，但采取一定有效的防范措施之后，可以减缓施工期对施工现场和周围环境的污染。施工运输主要以汽车为主，运输车辆多为大吨位车辆，工程车辆在行驶过程中将产生车辆尾气污染。车辆尾气会增加空气中的悬浮微粒、二氧化硫、二氧化氮和一氧化碳含量，工程结束后，施工对大气的影响将自行消除。根据同类工程的经验，野外线形工程施工时，机械设备比较分散，密度较小，运输车辆的废气对环境空气的影响较小，远远达不到致使空气质量超标的程度。</w:t>
            </w:r>
          </w:p>
          <w:p>
            <w:pPr>
              <w:bidi w:val="0"/>
              <w:rPr>
                <w:rFonts w:hint="default"/>
                <w:color w:val="auto"/>
                <w:lang w:val="en-US" w:eastAsia="zh-CN"/>
              </w:rPr>
            </w:pPr>
            <w:r>
              <w:rPr>
                <w:rFonts w:hint="default"/>
                <w:color w:val="auto"/>
                <w:lang w:val="en-US" w:eastAsia="zh-CN"/>
              </w:rPr>
              <w:t>（2）运输扬尘</w:t>
            </w:r>
          </w:p>
          <w:p>
            <w:pPr>
              <w:bidi w:val="0"/>
              <w:rPr>
                <w:rFonts w:hint="default"/>
                <w:color w:val="auto"/>
                <w:lang w:val="en-US" w:eastAsia="zh-CN"/>
              </w:rPr>
            </w:pPr>
            <w:r>
              <w:rPr>
                <w:rFonts w:hint="default"/>
                <w:color w:val="auto"/>
                <w:lang w:val="en-US" w:eastAsia="zh-CN"/>
              </w:rPr>
              <w:t>项目运输扬尘主要是影响道路沿线的树木，花草和景观。细颗粒尘土降落并粘附在树木，花草上，影响植物的呼吸和生长，也影响局部景观。此外，运输车辆扬尘也影响道路沿线居民的生活环境。</w:t>
            </w:r>
          </w:p>
          <w:p>
            <w:pPr>
              <w:bidi w:val="0"/>
              <w:rPr>
                <w:rFonts w:hint="default"/>
                <w:color w:val="auto"/>
                <w:lang w:val="en-US" w:eastAsia="zh-CN"/>
              </w:rPr>
            </w:pPr>
            <w:r>
              <w:rPr>
                <w:rFonts w:hint="default"/>
                <w:color w:val="auto"/>
                <w:lang w:val="en-US" w:eastAsia="zh-CN"/>
              </w:rPr>
              <w:t>运输扬尘对周围空气的污染程度受多种因素影响，路况好坏、路面是否清洁、施工强度、施工机械、施工工艺、机械操作、人员技术水平、施工管理等都是影响因素。据有关调查，运输车辆的行驶产生的扬尘，约占施工扬尘总量的60％，同时与道路路面和车辆行驶的速度有关。车辆行驶产生的扬尘，在完全干燥情况下，可按下列经验公式计算：</w:t>
            </w:r>
          </w:p>
          <w:p>
            <w:pPr>
              <w:bidi w:val="0"/>
              <w:ind w:left="0" w:leftChars="0" w:firstLine="0" w:firstLineChars="0"/>
              <w:jc w:val="center"/>
              <w:rPr>
                <w:rFonts w:hint="default"/>
                <w:b w:val="0"/>
                <w:bCs w:val="0"/>
                <w:color w:val="auto"/>
                <w:sz w:val="24"/>
                <w:szCs w:val="24"/>
                <w:lang w:val="en-US" w:eastAsia="zh-CN"/>
              </w:rPr>
            </w:pPr>
            <w:r>
              <w:rPr>
                <w:rFonts w:hint="default"/>
                <w:b w:val="0"/>
                <w:bCs w:val="0"/>
                <w:color w:val="auto"/>
                <w:sz w:val="24"/>
                <w:szCs w:val="24"/>
                <w:lang w:val="en-US" w:eastAsia="zh-CN"/>
              </w:rPr>
              <w:t>Q=0.123</w:t>
            </w:r>
            <w:r>
              <w:rPr>
                <w:rFonts w:hint="eastAsia"/>
                <w:b w:val="0"/>
                <w:bCs w:val="0"/>
                <w:color w:val="auto"/>
                <w:sz w:val="24"/>
                <w:szCs w:val="24"/>
                <w:lang w:val="en-US" w:eastAsia="zh-CN"/>
              </w:rPr>
              <w:t>（</w:t>
            </w:r>
            <w:r>
              <w:rPr>
                <w:rFonts w:hint="default"/>
                <w:b w:val="0"/>
                <w:bCs w:val="0"/>
                <w:color w:val="auto"/>
                <w:sz w:val="24"/>
                <w:szCs w:val="24"/>
                <w:lang w:val="en-US" w:eastAsia="zh-CN"/>
              </w:rPr>
              <w:t>V/5</w:t>
            </w:r>
            <w:r>
              <w:rPr>
                <w:rFonts w:hint="eastAsia"/>
                <w:b w:val="0"/>
                <w:bCs w:val="0"/>
                <w:color w:val="auto"/>
                <w:sz w:val="24"/>
                <w:szCs w:val="24"/>
                <w:lang w:val="en-US" w:eastAsia="zh-CN"/>
              </w:rPr>
              <w:t>）（</w:t>
            </w:r>
            <w:r>
              <w:rPr>
                <w:rFonts w:hint="default"/>
                <w:b w:val="0"/>
                <w:bCs w:val="0"/>
                <w:color w:val="auto"/>
                <w:sz w:val="24"/>
                <w:szCs w:val="24"/>
                <w:lang w:val="en-US" w:eastAsia="zh-CN"/>
              </w:rPr>
              <w:t>W/6.8</w:t>
            </w:r>
            <w:r>
              <w:rPr>
                <w:rFonts w:hint="eastAsia"/>
                <w:b w:val="0"/>
                <w:bCs w:val="0"/>
                <w:color w:val="auto"/>
                <w:sz w:val="24"/>
                <w:szCs w:val="24"/>
                <w:lang w:val="en-US" w:eastAsia="zh-CN"/>
              </w:rPr>
              <w:t>）</w:t>
            </w:r>
            <w:r>
              <w:rPr>
                <w:rFonts w:hint="default"/>
                <w:b w:val="0"/>
                <w:bCs w:val="0"/>
                <w:color w:val="auto"/>
                <w:sz w:val="24"/>
                <w:szCs w:val="24"/>
                <w:vertAlign w:val="superscript"/>
                <w:lang w:val="en-US" w:eastAsia="zh-CN"/>
              </w:rPr>
              <w:t>0.85</w:t>
            </w:r>
            <w:r>
              <w:rPr>
                <w:rFonts w:hint="eastAsia"/>
                <w:b w:val="0"/>
                <w:bCs w:val="0"/>
                <w:color w:val="auto"/>
                <w:sz w:val="24"/>
                <w:szCs w:val="24"/>
                <w:lang w:val="en-US" w:eastAsia="zh-CN"/>
              </w:rPr>
              <w:t>（</w:t>
            </w:r>
            <w:r>
              <w:rPr>
                <w:rFonts w:hint="default"/>
                <w:b w:val="0"/>
                <w:bCs w:val="0"/>
                <w:color w:val="auto"/>
                <w:sz w:val="24"/>
                <w:szCs w:val="24"/>
                <w:lang w:val="en-US" w:eastAsia="zh-CN"/>
              </w:rPr>
              <w:t>P/0.5</w:t>
            </w:r>
            <w:r>
              <w:rPr>
                <w:rFonts w:hint="eastAsia"/>
                <w:b w:val="0"/>
                <w:bCs w:val="0"/>
                <w:color w:val="auto"/>
                <w:sz w:val="24"/>
                <w:szCs w:val="24"/>
                <w:lang w:val="en-US" w:eastAsia="zh-CN"/>
              </w:rPr>
              <w:t>）</w:t>
            </w:r>
            <w:r>
              <w:rPr>
                <w:rFonts w:hint="default"/>
                <w:b w:val="0"/>
                <w:bCs w:val="0"/>
                <w:color w:val="auto"/>
                <w:sz w:val="24"/>
                <w:szCs w:val="24"/>
                <w:vertAlign w:val="superscript"/>
                <w:lang w:val="en-US" w:eastAsia="zh-CN"/>
              </w:rPr>
              <w:t>0.75</w:t>
            </w:r>
          </w:p>
          <w:p>
            <w:pPr>
              <w:bidi w:val="0"/>
              <w:rPr>
                <w:rFonts w:hint="default"/>
                <w:color w:val="auto"/>
                <w:lang w:val="en-US" w:eastAsia="zh-CN"/>
              </w:rPr>
            </w:pPr>
            <w:r>
              <w:rPr>
                <w:rFonts w:hint="default"/>
                <w:color w:val="auto"/>
                <w:lang w:val="en-US" w:eastAsia="zh-CN"/>
              </w:rPr>
              <w:t>式中：Q——汽车行驶的扬尘，kg/km·辆；</w:t>
            </w:r>
          </w:p>
          <w:p>
            <w:pPr>
              <w:bidi w:val="0"/>
              <w:ind w:firstLine="1200" w:firstLineChars="500"/>
              <w:rPr>
                <w:rFonts w:hint="default"/>
                <w:color w:val="auto"/>
                <w:lang w:val="en-US" w:eastAsia="zh-CN"/>
              </w:rPr>
            </w:pPr>
            <w:r>
              <w:rPr>
                <w:rFonts w:hint="default"/>
                <w:color w:val="auto"/>
                <w:lang w:val="en-US" w:eastAsia="zh-CN"/>
              </w:rPr>
              <w:t>V——汽车速度，km/hr；</w:t>
            </w:r>
          </w:p>
          <w:p>
            <w:pPr>
              <w:bidi w:val="0"/>
              <w:ind w:firstLine="1200" w:firstLineChars="500"/>
              <w:rPr>
                <w:rFonts w:hint="default"/>
                <w:color w:val="auto"/>
                <w:lang w:val="en-US" w:eastAsia="zh-CN"/>
              </w:rPr>
            </w:pPr>
            <w:r>
              <w:rPr>
                <w:rFonts w:hint="default"/>
                <w:color w:val="auto"/>
                <w:lang w:val="en-US" w:eastAsia="zh-CN"/>
              </w:rPr>
              <w:t>W——汽车载重量，t；</w:t>
            </w:r>
          </w:p>
          <w:p>
            <w:pPr>
              <w:bidi w:val="0"/>
              <w:ind w:firstLine="1200" w:firstLineChars="500"/>
              <w:rPr>
                <w:rFonts w:hint="default"/>
                <w:color w:val="auto"/>
                <w:lang w:val="en-US" w:eastAsia="zh-CN"/>
              </w:rPr>
            </w:pPr>
            <w:r>
              <w:rPr>
                <w:rFonts w:hint="default"/>
                <w:color w:val="auto"/>
                <w:lang w:val="en-US" w:eastAsia="zh-CN"/>
              </w:rPr>
              <w:t>P——道路表面粉尘量，kg/</w:t>
            </w:r>
            <w:r>
              <w:rPr>
                <w:rFonts w:hint="eastAsia"/>
                <w:color w:val="auto"/>
                <w:lang w:val="en-US" w:eastAsia="zh-CN"/>
              </w:rPr>
              <w:t>m</w:t>
            </w:r>
            <w:r>
              <w:rPr>
                <w:rFonts w:hint="eastAsia"/>
                <w:color w:val="auto"/>
                <w:vertAlign w:val="superscript"/>
                <w:lang w:val="en-US" w:eastAsia="zh-CN"/>
              </w:rPr>
              <w:t>2</w:t>
            </w:r>
          </w:p>
          <w:p>
            <w:pPr>
              <w:bidi w:val="0"/>
              <w:rPr>
                <w:rFonts w:hint="default"/>
                <w:color w:val="auto"/>
                <w:lang w:val="en-US" w:eastAsia="zh-CN"/>
              </w:rPr>
            </w:pPr>
            <w:r>
              <w:rPr>
                <w:rFonts w:hint="default"/>
                <w:color w:val="auto"/>
                <w:lang w:val="en-US" w:eastAsia="zh-CN"/>
              </w:rPr>
              <w:t>表4-</w:t>
            </w:r>
            <w:r>
              <w:rPr>
                <w:rFonts w:hint="eastAsia"/>
                <w:color w:val="auto"/>
                <w:lang w:val="en-US" w:eastAsia="zh-CN"/>
              </w:rPr>
              <w:t>3</w:t>
            </w:r>
            <w:r>
              <w:rPr>
                <w:rFonts w:hint="default"/>
                <w:color w:val="auto"/>
                <w:lang w:val="en-US" w:eastAsia="zh-CN"/>
              </w:rPr>
              <w:t>为一辆10t卡车，通过一段长度为1km的路面时，不同路面清洁程度、不同行驶速度情况下的扬尘量。</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表</w:t>
            </w:r>
            <w:r>
              <w:rPr>
                <w:rFonts w:hint="eastAsia" w:cs="Times New Roman"/>
                <w:color w:val="auto"/>
                <w:sz w:val="24"/>
                <w:szCs w:val="24"/>
                <w:lang w:val="en-US" w:eastAsia="zh-CN"/>
              </w:rPr>
              <w:t>1</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 xml:space="preserve">3      </w:t>
            </w:r>
            <w:r>
              <w:rPr>
                <w:rFonts w:hint="default" w:ascii="Times New Roman" w:hAnsi="Times New Roman" w:cs="Times New Roman"/>
                <w:color w:val="auto"/>
                <w:sz w:val="24"/>
                <w:szCs w:val="24"/>
                <w:lang w:val="en-US" w:eastAsia="zh-CN"/>
              </w:rPr>
              <w:t>车速和地面清洁度与扬尘的关系</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单位：kg/辆</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km</w:t>
            </w:r>
          </w:p>
          <w:tbl>
            <w:tblPr>
              <w:tblStyle w:val="19"/>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02"/>
              <w:gridCol w:w="1107"/>
              <w:gridCol w:w="1107"/>
              <w:gridCol w:w="1107"/>
              <w:gridCol w:w="1107"/>
              <w:gridCol w:w="1107"/>
              <w:gridCol w:w="10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772" w:type="pct"/>
                  <w:vMerge w:val="restart"/>
                  <w:tcBorders>
                    <w:tl2br w:val="nil"/>
                    <w:tr2bl w:val="nil"/>
                  </w:tcBorders>
                  <w:vAlign w:val="center"/>
                </w:tcPr>
                <w:p>
                  <w:pPr>
                    <w:pStyle w:val="17"/>
                    <w:bidi w:val="0"/>
                    <w:jc w:val="center"/>
                    <w:rPr>
                      <w:rFonts w:hint="eastAsia" w:eastAsia="宋体"/>
                      <w:color w:val="auto"/>
                      <w:lang w:eastAsia="zh-CN"/>
                    </w:rPr>
                  </w:pPr>
                  <w:r>
                    <w:rPr>
                      <w:color w:val="auto"/>
                    </w:rPr>
                    <mc:AlternateContent>
                      <mc:Choice Requires="wps">
                        <w:drawing>
                          <wp:anchor distT="0" distB="0" distL="114300" distR="114300" simplePos="0" relativeHeight="251661312" behindDoc="1" locked="0" layoutInCell="1" allowOverlap="1">
                            <wp:simplePos x="0" y="0"/>
                            <wp:positionH relativeFrom="column">
                              <wp:posOffset>635</wp:posOffset>
                            </wp:positionH>
                            <wp:positionV relativeFrom="paragraph">
                              <wp:posOffset>0</wp:posOffset>
                            </wp:positionV>
                            <wp:extent cx="832485" cy="375285"/>
                            <wp:effectExtent l="0" t="0" r="5715" b="5715"/>
                            <wp:wrapNone/>
                            <wp:docPr id="33" name="任意多边形 33"/>
                            <wp:cNvGraphicFramePr/>
                            <a:graphic xmlns:a="http://schemas.openxmlformats.org/drawingml/2006/main">
                              <a:graphicData uri="http://schemas.microsoft.com/office/word/2010/wordprocessingShape">
                                <wps:wsp>
                                  <wps:cNvSpPr/>
                                  <wps:spPr>
                                    <a:xfrm>
                                      <a:off x="0" y="0"/>
                                      <a:ext cx="832485" cy="375285"/>
                                    </a:xfrm>
                                    <a:custGeom>
                                      <a:avLst/>
                                      <a:gdLst/>
                                      <a:ahLst/>
                                      <a:cxnLst/>
                                      <a:pathLst>
                                        <a:path w="1311" h="590">
                                          <a:moveTo>
                                            <a:pt x="1303" y="590"/>
                                          </a:moveTo>
                                          <a:lnTo>
                                            <a:pt x="0" y="7"/>
                                          </a:lnTo>
                                          <a:lnTo>
                                            <a:pt x="4" y="0"/>
                                          </a:lnTo>
                                          <a:lnTo>
                                            <a:pt x="1310" y="583"/>
                                          </a:lnTo>
                                          <a:lnTo>
                                            <a:pt x="1303" y="590"/>
                                          </a:lnTo>
                                        </a:path>
                                      </a:pathLst>
                                    </a:custGeom>
                                    <a:solidFill>
                                      <a:srgbClr val="000000"/>
                                    </a:solidFill>
                                    <a:ln>
                                      <a:noFill/>
                                    </a:ln>
                                  </wps:spPr>
                                  <wps:bodyPr upright="1"/>
                                </wps:wsp>
                              </a:graphicData>
                            </a:graphic>
                          </wp:anchor>
                        </w:drawing>
                      </mc:Choice>
                      <mc:Fallback>
                        <w:pict>
                          <v:shape id="_x0000_s1026" o:spid="_x0000_s1026" o:spt="100" style="position:absolute;left:0pt;margin-left:0.05pt;margin-top:0pt;height:29.55pt;width:65.55pt;z-index:-251655168;mso-width-relative:page;mso-height-relative:page;" fillcolor="#000000" filled="t" stroked="f" coordsize="1311,590" o:gfxdata="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d/JfXRAAAABAEA&#10;AA8AAAAAAAAAAQAgAAAAIgAAAGRycy9kb3ducmV2LnhtbFBLAQIUABQAAAAIAIdO4kCaS8JPIQIA&#10;AHwEAAAOAAAAAAAAAAEAIAAAACABAABkcnMvZTJvRG9jLnhtbFBLBQYAAAAABgAGAFkBAACzBQAA&#10;AAA=&#10;" path="m1303,590l0,7,4,0,1310,583,1303,590e">
                            <v:fill on="t" focussize="0,0"/>
                            <v:stroke on="f"/>
                            <v:imagedata o:title=""/>
                            <o:lock v:ext="edit" aspectratio="f"/>
                          </v:shape>
                        </w:pict>
                      </mc:Fallback>
                    </mc:AlternateContent>
                  </w:r>
                  <w:r>
                    <w:rPr>
                      <w:color w:val="auto"/>
                    </w:rPr>
                    <w:t>粉尘量</w:t>
                  </w:r>
                </w:p>
                <w:p>
                  <w:pPr>
                    <w:pStyle w:val="17"/>
                    <w:bidi w:val="0"/>
                    <w:jc w:val="both"/>
                    <w:rPr>
                      <w:color w:val="auto"/>
                    </w:rPr>
                  </w:pPr>
                  <w:r>
                    <w:rPr>
                      <w:color w:val="auto"/>
                    </w:rPr>
                    <w:t>车速</w:t>
                  </w:r>
                </w:p>
              </w:tc>
              <w:tc>
                <w:tcPr>
                  <w:tcW w:w="711" w:type="pct"/>
                  <w:tcBorders>
                    <w:tl2br w:val="nil"/>
                    <w:tr2bl w:val="nil"/>
                  </w:tcBorders>
                  <w:vAlign w:val="center"/>
                </w:tcPr>
                <w:p>
                  <w:pPr>
                    <w:pStyle w:val="17"/>
                    <w:bidi w:val="0"/>
                    <w:jc w:val="center"/>
                    <w:rPr>
                      <w:color w:val="auto"/>
                    </w:rPr>
                  </w:pPr>
                  <w:r>
                    <w:rPr>
                      <w:color w:val="auto"/>
                    </w:rPr>
                    <w:t>0.1</w:t>
                  </w:r>
                </w:p>
              </w:tc>
              <w:tc>
                <w:tcPr>
                  <w:tcW w:w="711" w:type="pct"/>
                  <w:tcBorders>
                    <w:tl2br w:val="nil"/>
                    <w:tr2bl w:val="nil"/>
                  </w:tcBorders>
                  <w:vAlign w:val="center"/>
                </w:tcPr>
                <w:p>
                  <w:pPr>
                    <w:pStyle w:val="17"/>
                    <w:bidi w:val="0"/>
                    <w:jc w:val="center"/>
                    <w:rPr>
                      <w:color w:val="auto"/>
                    </w:rPr>
                  </w:pPr>
                  <w:r>
                    <w:rPr>
                      <w:color w:val="auto"/>
                    </w:rPr>
                    <w:t>0.2</w:t>
                  </w:r>
                </w:p>
              </w:tc>
              <w:tc>
                <w:tcPr>
                  <w:tcW w:w="711" w:type="pct"/>
                  <w:tcBorders>
                    <w:tl2br w:val="nil"/>
                    <w:tr2bl w:val="nil"/>
                  </w:tcBorders>
                  <w:vAlign w:val="center"/>
                </w:tcPr>
                <w:p>
                  <w:pPr>
                    <w:pStyle w:val="17"/>
                    <w:bidi w:val="0"/>
                    <w:jc w:val="center"/>
                    <w:rPr>
                      <w:color w:val="auto"/>
                    </w:rPr>
                  </w:pPr>
                  <w:r>
                    <w:rPr>
                      <w:color w:val="auto"/>
                    </w:rPr>
                    <w:t>0.3</w:t>
                  </w:r>
                </w:p>
              </w:tc>
              <w:tc>
                <w:tcPr>
                  <w:tcW w:w="711" w:type="pct"/>
                  <w:tcBorders>
                    <w:tl2br w:val="nil"/>
                    <w:tr2bl w:val="nil"/>
                  </w:tcBorders>
                  <w:vAlign w:val="center"/>
                </w:tcPr>
                <w:p>
                  <w:pPr>
                    <w:pStyle w:val="17"/>
                    <w:bidi w:val="0"/>
                    <w:jc w:val="center"/>
                    <w:rPr>
                      <w:color w:val="auto"/>
                    </w:rPr>
                  </w:pPr>
                  <w:r>
                    <w:rPr>
                      <w:color w:val="auto"/>
                    </w:rPr>
                    <w:t>0.4</w:t>
                  </w:r>
                </w:p>
              </w:tc>
              <w:tc>
                <w:tcPr>
                  <w:tcW w:w="711" w:type="pct"/>
                  <w:tcBorders>
                    <w:tl2br w:val="nil"/>
                    <w:tr2bl w:val="nil"/>
                  </w:tcBorders>
                  <w:vAlign w:val="center"/>
                </w:tcPr>
                <w:p>
                  <w:pPr>
                    <w:pStyle w:val="17"/>
                    <w:bidi w:val="0"/>
                    <w:jc w:val="center"/>
                    <w:rPr>
                      <w:color w:val="auto"/>
                    </w:rPr>
                  </w:pPr>
                  <w:r>
                    <w:rPr>
                      <w:color w:val="auto"/>
                    </w:rPr>
                    <w:t>0.5</w:t>
                  </w:r>
                </w:p>
              </w:tc>
              <w:tc>
                <w:tcPr>
                  <w:tcW w:w="669" w:type="pct"/>
                  <w:tcBorders>
                    <w:tl2br w:val="nil"/>
                    <w:tr2bl w:val="nil"/>
                  </w:tcBorders>
                  <w:vAlign w:val="center"/>
                </w:tcPr>
                <w:p>
                  <w:pPr>
                    <w:pStyle w:val="17"/>
                    <w:bidi w:val="0"/>
                    <w:jc w:val="center"/>
                    <w:rPr>
                      <w:color w:val="auto"/>
                    </w:rPr>
                  </w:pPr>
                  <w:r>
                    <w:rPr>
                      <w:color w:val="auto"/>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772" w:type="pct"/>
                  <w:vMerge w:val="continue"/>
                  <w:tcBorders>
                    <w:tl2br w:val="nil"/>
                    <w:tr2bl w:val="nil"/>
                  </w:tcBorders>
                  <w:vAlign w:val="center"/>
                </w:tcPr>
                <w:p>
                  <w:pPr>
                    <w:pStyle w:val="17"/>
                    <w:bidi w:val="0"/>
                    <w:jc w:val="center"/>
                    <w:rPr>
                      <w:color w:val="auto"/>
                    </w:rPr>
                  </w:pPr>
                </w:p>
              </w:tc>
              <w:tc>
                <w:tcPr>
                  <w:tcW w:w="711" w:type="pct"/>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w:t>
                  </w:r>
                  <w:r>
                    <w:rPr>
                      <w:color w:val="auto"/>
                    </w:rPr>
                    <w:t>kg/</w:t>
                  </w:r>
                  <w:r>
                    <w:rPr>
                      <w:rFonts w:hint="eastAsia"/>
                      <w:color w:val="auto"/>
                      <w:lang w:eastAsia="zh-CN"/>
                    </w:rPr>
                    <w:t>m</w:t>
                  </w:r>
                  <w:r>
                    <w:rPr>
                      <w:rFonts w:hint="eastAsia"/>
                      <w:color w:val="auto"/>
                      <w:vertAlign w:val="superscript"/>
                      <w:lang w:eastAsia="zh-CN"/>
                    </w:rPr>
                    <w:t>2</w:t>
                  </w:r>
                  <w:r>
                    <w:rPr>
                      <w:rFonts w:hint="eastAsia"/>
                      <w:color w:val="auto"/>
                      <w:lang w:eastAsia="zh-CN"/>
                    </w:rPr>
                    <w:t>）</w:t>
                  </w:r>
                </w:p>
              </w:tc>
              <w:tc>
                <w:tcPr>
                  <w:tcW w:w="711" w:type="pct"/>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w:t>
                  </w:r>
                  <w:r>
                    <w:rPr>
                      <w:color w:val="auto"/>
                    </w:rPr>
                    <w:t>kg/</w:t>
                  </w:r>
                  <w:r>
                    <w:rPr>
                      <w:rFonts w:hint="eastAsia"/>
                      <w:color w:val="auto"/>
                      <w:lang w:eastAsia="zh-CN"/>
                    </w:rPr>
                    <w:t>m</w:t>
                  </w:r>
                  <w:r>
                    <w:rPr>
                      <w:rFonts w:hint="eastAsia"/>
                      <w:color w:val="auto"/>
                      <w:vertAlign w:val="superscript"/>
                      <w:lang w:eastAsia="zh-CN"/>
                    </w:rPr>
                    <w:t>2</w:t>
                  </w:r>
                  <w:r>
                    <w:rPr>
                      <w:rFonts w:hint="eastAsia"/>
                      <w:color w:val="auto"/>
                      <w:lang w:eastAsia="zh-CN"/>
                    </w:rPr>
                    <w:t>）</w:t>
                  </w:r>
                </w:p>
              </w:tc>
              <w:tc>
                <w:tcPr>
                  <w:tcW w:w="711" w:type="pct"/>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w:t>
                  </w:r>
                  <w:r>
                    <w:rPr>
                      <w:color w:val="auto"/>
                    </w:rPr>
                    <w:t>kg/</w:t>
                  </w:r>
                  <w:r>
                    <w:rPr>
                      <w:rFonts w:hint="eastAsia"/>
                      <w:color w:val="auto"/>
                      <w:lang w:eastAsia="zh-CN"/>
                    </w:rPr>
                    <w:t>m</w:t>
                  </w:r>
                  <w:r>
                    <w:rPr>
                      <w:rFonts w:hint="eastAsia"/>
                      <w:color w:val="auto"/>
                      <w:vertAlign w:val="superscript"/>
                      <w:lang w:eastAsia="zh-CN"/>
                    </w:rPr>
                    <w:t>2</w:t>
                  </w:r>
                  <w:r>
                    <w:rPr>
                      <w:rFonts w:hint="eastAsia"/>
                      <w:color w:val="auto"/>
                      <w:lang w:eastAsia="zh-CN"/>
                    </w:rPr>
                    <w:t>）</w:t>
                  </w:r>
                </w:p>
              </w:tc>
              <w:tc>
                <w:tcPr>
                  <w:tcW w:w="711" w:type="pct"/>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w:t>
                  </w:r>
                  <w:r>
                    <w:rPr>
                      <w:color w:val="auto"/>
                    </w:rPr>
                    <w:t>kg/</w:t>
                  </w:r>
                  <w:r>
                    <w:rPr>
                      <w:rFonts w:hint="eastAsia"/>
                      <w:color w:val="auto"/>
                      <w:lang w:eastAsia="zh-CN"/>
                    </w:rPr>
                    <w:t>m</w:t>
                  </w:r>
                  <w:r>
                    <w:rPr>
                      <w:rFonts w:hint="eastAsia"/>
                      <w:color w:val="auto"/>
                      <w:vertAlign w:val="superscript"/>
                      <w:lang w:eastAsia="zh-CN"/>
                    </w:rPr>
                    <w:t>2</w:t>
                  </w:r>
                  <w:r>
                    <w:rPr>
                      <w:rFonts w:hint="eastAsia"/>
                      <w:color w:val="auto"/>
                      <w:lang w:eastAsia="zh-CN"/>
                    </w:rPr>
                    <w:t>）</w:t>
                  </w:r>
                </w:p>
              </w:tc>
              <w:tc>
                <w:tcPr>
                  <w:tcW w:w="711" w:type="pct"/>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w:t>
                  </w:r>
                  <w:r>
                    <w:rPr>
                      <w:color w:val="auto"/>
                    </w:rPr>
                    <w:t>kg/</w:t>
                  </w:r>
                  <w:r>
                    <w:rPr>
                      <w:rFonts w:hint="eastAsia"/>
                      <w:color w:val="auto"/>
                      <w:lang w:eastAsia="zh-CN"/>
                    </w:rPr>
                    <w:t>m</w:t>
                  </w:r>
                  <w:r>
                    <w:rPr>
                      <w:rFonts w:hint="eastAsia"/>
                      <w:color w:val="auto"/>
                      <w:vertAlign w:val="superscript"/>
                      <w:lang w:eastAsia="zh-CN"/>
                    </w:rPr>
                    <w:t>2</w:t>
                  </w:r>
                  <w:r>
                    <w:rPr>
                      <w:rFonts w:hint="eastAsia"/>
                      <w:color w:val="auto"/>
                      <w:lang w:eastAsia="zh-CN"/>
                    </w:rPr>
                    <w:t>）</w:t>
                  </w:r>
                </w:p>
              </w:tc>
              <w:tc>
                <w:tcPr>
                  <w:tcW w:w="669" w:type="pct"/>
                  <w:tcBorders>
                    <w:tl2br w:val="nil"/>
                    <w:tr2bl w:val="nil"/>
                  </w:tcBorders>
                  <w:vAlign w:val="center"/>
                </w:tcPr>
                <w:p>
                  <w:pPr>
                    <w:pStyle w:val="17"/>
                    <w:bidi w:val="0"/>
                    <w:jc w:val="center"/>
                    <w:rPr>
                      <w:rFonts w:hint="eastAsia" w:eastAsia="宋体"/>
                      <w:color w:val="auto"/>
                      <w:lang w:eastAsia="zh-CN"/>
                    </w:rPr>
                  </w:pPr>
                  <w:r>
                    <w:rPr>
                      <w:rFonts w:hint="eastAsia"/>
                      <w:color w:val="auto"/>
                      <w:lang w:eastAsia="zh-CN"/>
                    </w:rPr>
                    <w:t>（</w:t>
                  </w:r>
                  <w:r>
                    <w:rPr>
                      <w:color w:val="auto"/>
                    </w:rPr>
                    <w:t>kg/</w:t>
                  </w:r>
                  <w:r>
                    <w:rPr>
                      <w:rFonts w:hint="eastAsia"/>
                      <w:color w:val="auto"/>
                      <w:lang w:eastAsia="zh-CN"/>
                    </w:rPr>
                    <w:t>m</w:t>
                  </w:r>
                  <w:r>
                    <w:rPr>
                      <w:rFonts w:hint="eastAsia"/>
                      <w:color w:val="auto"/>
                      <w:vertAlign w:val="superscript"/>
                      <w:lang w:eastAsia="zh-CN"/>
                    </w:rPr>
                    <w:t>2</w:t>
                  </w:r>
                  <w:r>
                    <w:rPr>
                      <w:rFonts w:hint="eastAsia"/>
                      <w:color w:val="auto"/>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772" w:type="pct"/>
                  <w:tcBorders>
                    <w:tl2br w:val="nil"/>
                    <w:tr2bl w:val="nil"/>
                  </w:tcBorders>
                  <w:vAlign w:val="center"/>
                </w:tcPr>
                <w:p>
                  <w:pPr>
                    <w:pStyle w:val="17"/>
                    <w:bidi w:val="0"/>
                    <w:jc w:val="center"/>
                    <w:rPr>
                      <w:rFonts w:hint="eastAsia" w:eastAsia="宋体"/>
                      <w:color w:val="auto"/>
                      <w:lang w:eastAsia="zh-CN"/>
                    </w:rPr>
                  </w:pPr>
                  <w:r>
                    <w:rPr>
                      <w:color w:val="auto"/>
                    </w:rPr>
                    <w:t>5</w:t>
                  </w:r>
                  <w:r>
                    <w:rPr>
                      <w:rFonts w:hint="eastAsia"/>
                      <w:color w:val="auto"/>
                      <w:lang w:eastAsia="zh-CN"/>
                    </w:rPr>
                    <w:t>（</w:t>
                  </w:r>
                  <w:r>
                    <w:rPr>
                      <w:color w:val="auto"/>
                    </w:rPr>
                    <w:t>km/h</w:t>
                  </w:r>
                  <w:r>
                    <w:rPr>
                      <w:rFonts w:hint="eastAsia"/>
                      <w:color w:val="auto"/>
                      <w:lang w:eastAsia="zh-CN"/>
                    </w:rPr>
                    <w:t>）</w:t>
                  </w:r>
                </w:p>
              </w:tc>
              <w:tc>
                <w:tcPr>
                  <w:tcW w:w="711" w:type="pct"/>
                  <w:tcBorders>
                    <w:tl2br w:val="nil"/>
                    <w:tr2bl w:val="nil"/>
                  </w:tcBorders>
                  <w:vAlign w:val="center"/>
                </w:tcPr>
                <w:p>
                  <w:pPr>
                    <w:pStyle w:val="17"/>
                    <w:bidi w:val="0"/>
                    <w:jc w:val="center"/>
                    <w:rPr>
                      <w:color w:val="auto"/>
                    </w:rPr>
                  </w:pPr>
                  <w:r>
                    <w:rPr>
                      <w:color w:val="auto"/>
                    </w:rPr>
                    <w:t>0.0511</w:t>
                  </w:r>
                </w:p>
              </w:tc>
              <w:tc>
                <w:tcPr>
                  <w:tcW w:w="711" w:type="pct"/>
                  <w:tcBorders>
                    <w:tl2br w:val="nil"/>
                    <w:tr2bl w:val="nil"/>
                  </w:tcBorders>
                  <w:vAlign w:val="center"/>
                </w:tcPr>
                <w:p>
                  <w:pPr>
                    <w:pStyle w:val="17"/>
                    <w:bidi w:val="0"/>
                    <w:jc w:val="center"/>
                    <w:rPr>
                      <w:color w:val="auto"/>
                    </w:rPr>
                  </w:pPr>
                  <w:r>
                    <w:rPr>
                      <w:color w:val="auto"/>
                    </w:rPr>
                    <w:t>0.0859</w:t>
                  </w:r>
                </w:p>
              </w:tc>
              <w:tc>
                <w:tcPr>
                  <w:tcW w:w="711" w:type="pct"/>
                  <w:tcBorders>
                    <w:tl2br w:val="nil"/>
                    <w:tr2bl w:val="nil"/>
                  </w:tcBorders>
                  <w:vAlign w:val="center"/>
                </w:tcPr>
                <w:p>
                  <w:pPr>
                    <w:pStyle w:val="17"/>
                    <w:bidi w:val="0"/>
                    <w:jc w:val="center"/>
                    <w:rPr>
                      <w:color w:val="auto"/>
                    </w:rPr>
                  </w:pPr>
                  <w:r>
                    <w:rPr>
                      <w:color w:val="auto"/>
                    </w:rPr>
                    <w:t>0.1164</w:t>
                  </w:r>
                </w:p>
              </w:tc>
              <w:tc>
                <w:tcPr>
                  <w:tcW w:w="711" w:type="pct"/>
                  <w:tcBorders>
                    <w:tl2br w:val="nil"/>
                    <w:tr2bl w:val="nil"/>
                  </w:tcBorders>
                  <w:vAlign w:val="center"/>
                </w:tcPr>
                <w:p>
                  <w:pPr>
                    <w:pStyle w:val="17"/>
                    <w:bidi w:val="0"/>
                    <w:jc w:val="center"/>
                    <w:rPr>
                      <w:color w:val="auto"/>
                    </w:rPr>
                  </w:pPr>
                  <w:r>
                    <w:rPr>
                      <w:color w:val="auto"/>
                    </w:rPr>
                    <w:t>0.1444</w:t>
                  </w:r>
                </w:p>
              </w:tc>
              <w:tc>
                <w:tcPr>
                  <w:tcW w:w="711" w:type="pct"/>
                  <w:tcBorders>
                    <w:tl2br w:val="nil"/>
                    <w:tr2bl w:val="nil"/>
                  </w:tcBorders>
                  <w:vAlign w:val="center"/>
                </w:tcPr>
                <w:p>
                  <w:pPr>
                    <w:pStyle w:val="17"/>
                    <w:bidi w:val="0"/>
                    <w:jc w:val="center"/>
                    <w:rPr>
                      <w:color w:val="auto"/>
                    </w:rPr>
                  </w:pPr>
                  <w:r>
                    <w:rPr>
                      <w:color w:val="auto"/>
                    </w:rPr>
                    <w:t>0.1707</w:t>
                  </w:r>
                </w:p>
              </w:tc>
              <w:tc>
                <w:tcPr>
                  <w:tcW w:w="669" w:type="pct"/>
                  <w:tcBorders>
                    <w:tl2br w:val="nil"/>
                    <w:tr2bl w:val="nil"/>
                  </w:tcBorders>
                  <w:vAlign w:val="center"/>
                </w:tcPr>
                <w:p>
                  <w:pPr>
                    <w:pStyle w:val="17"/>
                    <w:bidi w:val="0"/>
                    <w:jc w:val="center"/>
                    <w:rPr>
                      <w:color w:val="auto"/>
                    </w:rPr>
                  </w:pPr>
                  <w:r>
                    <w:rPr>
                      <w:color w:val="auto"/>
                    </w:rPr>
                    <w:t>0.2871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772" w:type="pct"/>
                  <w:tcBorders>
                    <w:tl2br w:val="nil"/>
                    <w:tr2bl w:val="nil"/>
                  </w:tcBorders>
                  <w:vAlign w:val="center"/>
                </w:tcPr>
                <w:p>
                  <w:pPr>
                    <w:pStyle w:val="17"/>
                    <w:bidi w:val="0"/>
                    <w:jc w:val="center"/>
                    <w:rPr>
                      <w:rFonts w:hint="eastAsia" w:eastAsia="宋体"/>
                      <w:color w:val="auto"/>
                      <w:lang w:eastAsia="zh-CN"/>
                    </w:rPr>
                  </w:pPr>
                  <w:r>
                    <w:rPr>
                      <w:color w:val="auto"/>
                    </w:rPr>
                    <w:t>10</w:t>
                  </w:r>
                  <w:r>
                    <w:rPr>
                      <w:rFonts w:hint="eastAsia"/>
                      <w:color w:val="auto"/>
                      <w:lang w:eastAsia="zh-CN"/>
                    </w:rPr>
                    <w:t>（</w:t>
                  </w:r>
                  <w:r>
                    <w:rPr>
                      <w:color w:val="auto"/>
                    </w:rPr>
                    <w:t>km/h</w:t>
                  </w:r>
                  <w:r>
                    <w:rPr>
                      <w:rFonts w:hint="eastAsia"/>
                      <w:color w:val="auto"/>
                      <w:lang w:eastAsia="zh-CN"/>
                    </w:rPr>
                    <w:t>）</w:t>
                  </w:r>
                </w:p>
              </w:tc>
              <w:tc>
                <w:tcPr>
                  <w:tcW w:w="711" w:type="pct"/>
                  <w:tcBorders>
                    <w:tl2br w:val="nil"/>
                    <w:tr2bl w:val="nil"/>
                  </w:tcBorders>
                  <w:vAlign w:val="center"/>
                </w:tcPr>
                <w:p>
                  <w:pPr>
                    <w:pStyle w:val="17"/>
                    <w:bidi w:val="0"/>
                    <w:jc w:val="center"/>
                    <w:rPr>
                      <w:color w:val="auto"/>
                    </w:rPr>
                  </w:pPr>
                  <w:r>
                    <w:rPr>
                      <w:color w:val="auto"/>
                    </w:rPr>
                    <w:t>0.1021</w:t>
                  </w:r>
                </w:p>
              </w:tc>
              <w:tc>
                <w:tcPr>
                  <w:tcW w:w="711" w:type="pct"/>
                  <w:tcBorders>
                    <w:tl2br w:val="nil"/>
                    <w:tr2bl w:val="nil"/>
                  </w:tcBorders>
                  <w:vAlign w:val="center"/>
                </w:tcPr>
                <w:p>
                  <w:pPr>
                    <w:pStyle w:val="17"/>
                    <w:bidi w:val="0"/>
                    <w:jc w:val="center"/>
                    <w:rPr>
                      <w:color w:val="auto"/>
                    </w:rPr>
                  </w:pPr>
                  <w:r>
                    <w:rPr>
                      <w:color w:val="auto"/>
                    </w:rPr>
                    <w:t>0.1717</w:t>
                  </w:r>
                </w:p>
              </w:tc>
              <w:tc>
                <w:tcPr>
                  <w:tcW w:w="711" w:type="pct"/>
                  <w:tcBorders>
                    <w:tl2br w:val="nil"/>
                    <w:tr2bl w:val="nil"/>
                  </w:tcBorders>
                  <w:vAlign w:val="center"/>
                </w:tcPr>
                <w:p>
                  <w:pPr>
                    <w:pStyle w:val="17"/>
                    <w:bidi w:val="0"/>
                    <w:jc w:val="center"/>
                    <w:rPr>
                      <w:color w:val="auto"/>
                    </w:rPr>
                  </w:pPr>
                  <w:r>
                    <w:rPr>
                      <w:color w:val="auto"/>
                    </w:rPr>
                    <w:t>0.2328</w:t>
                  </w:r>
                </w:p>
              </w:tc>
              <w:tc>
                <w:tcPr>
                  <w:tcW w:w="711" w:type="pct"/>
                  <w:tcBorders>
                    <w:tl2br w:val="nil"/>
                    <w:tr2bl w:val="nil"/>
                  </w:tcBorders>
                  <w:vAlign w:val="center"/>
                </w:tcPr>
                <w:p>
                  <w:pPr>
                    <w:pStyle w:val="17"/>
                    <w:bidi w:val="0"/>
                    <w:jc w:val="center"/>
                    <w:rPr>
                      <w:color w:val="auto"/>
                    </w:rPr>
                  </w:pPr>
                  <w:r>
                    <w:rPr>
                      <w:color w:val="auto"/>
                    </w:rPr>
                    <w:t>0.2888</w:t>
                  </w:r>
                </w:p>
              </w:tc>
              <w:tc>
                <w:tcPr>
                  <w:tcW w:w="711" w:type="pct"/>
                  <w:tcBorders>
                    <w:tl2br w:val="nil"/>
                    <w:tr2bl w:val="nil"/>
                  </w:tcBorders>
                  <w:vAlign w:val="center"/>
                </w:tcPr>
                <w:p>
                  <w:pPr>
                    <w:pStyle w:val="17"/>
                    <w:bidi w:val="0"/>
                    <w:jc w:val="center"/>
                    <w:rPr>
                      <w:color w:val="auto"/>
                    </w:rPr>
                  </w:pPr>
                  <w:r>
                    <w:rPr>
                      <w:color w:val="auto"/>
                    </w:rPr>
                    <w:t>0.3414</w:t>
                  </w:r>
                </w:p>
              </w:tc>
              <w:tc>
                <w:tcPr>
                  <w:tcW w:w="669" w:type="pct"/>
                  <w:tcBorders>
                    <w:tl2br w:val="nil"/>
                    <w:tr2bl w:val="nil"/>
                  </w:tcBorders>
                  <w:vAlign w:val="center"/>
                </w:tcPr>
                <w:p>
                  <w:pPr>
                    <w:pStyle w:val="17"/>
                    <w:bidi w:val="0"/>
                    <w:jc w:val="center"/>
                    <w:rPr>
                      <w:color w:val="auto"/>
                    </w:rPr>
                  </w:pPr>
                  <w:r>
                    <w:rPr>
                      <w:color w:val="auto"/>
                    </w:rPr>
                    <w:t>0.5742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5" w:hRule="atLeast"/>
              </w:trPr>
              <w:tc>
                <w:tcPr>
                  <w:tcW w:w="772" w:type="pct"/>
                  <w:tcBorders>
                    <w:tl2br w:val="nil"/>
                    <w:tr2bl w:val="nil"/>
                  </w:tcBorders>
                  <w:vAlign w:val="center"/>
                </w:tcPr>
                <w:p>
                  <w:pPr>
                    <w:pStyle w:val="17"/>
                    <w:bidi w:val="0"/>
                    <w:jc w:val="center"/>
                    <w:rPr>
                      <w:rFonts w:hint="eastAsia" w:eastAsia="宋体"/>
                      <w:color w:val="auto"/>
                      <w:lang w:eastAsia="zh-CN"/>
                    </w:rPr>
                  </w:pPr>
                  <w:r>
                    <w:rPr>
                      <w:color w:val="auto"/>
                    </w:rPr>
                    <w:t>15</w:t>
                  </w:r>
                  <w:r>
                    <w:rPr>
                      <w:rFonts w:hint="eastAsia"/>
                      <w:color w:val="auto"/>
                      <w:lang w:eastAsia="zh-CN"/>
                    </w:rPr>
                    <w:t>（</w:t>
                  </w:r>
                  <w:r>
                    <w:rPr>
                      <w:color w:val="auto"/>
                    </w:rPr>
                    <w:t>km/h</w:t>
                  </w:r>
                  <w:r>
                    <w:rPr>
                      <w:rFonts w:hint="eastAsia"/>
                      <w:color w:val="auto"/>
                      <w:lang w:eastAsia="zh-CN"/>
                    </w:rPr>
                    <w:t>）</w:t>
                  </w:r>
                </w:p>
              </w:tc>
              <w:tc>
                <w:tcPr>
                  <w:tcW w:w="711" w:type="pct"/>
                  <w:tcBorders>
                    <w:tl2br w:val="nil"/>
                    <w:tr2bl w:val="nil"/>
                  </w:tcBorders>
                  <w:vAlign w:val="center"/>
                </w:tcPr>
                <w:p>
                  <w:pPr>
                    <w:pStyle w:val="17"/>
                    <w:bidi w:val="0"/>
                    <w:jc w:val="center"/>
                    <w:rPr>
                      <w:color w:val="auto"/>
                    </w:rPr>
                  </w:pPr>
                  <w:r>
                    <w:rPr>
                      <w:color w:val="auto"/>
                    </w:rPr>
                    <w:t>0.1532</w:t>
                  </w:r>
                </w:p>
              </w:tc>
              <w:tc>
                <w:tcPr>
                  <w:tcW w:w="711" w:type="pct"/>
                  <w:tcBorders>
                    <w:tl2br w:val="nil"/>
                    <w:tr2bl w:val="nil"/>
                  </w:tcBorders>
                  <w:vAlign w:val="center"/>
                </w:tcPr>
                <w:p>
                  <w:pPr>
                    <w:pStyle w:val="17"/>
                    <w:bidi w:val="0"/>
                    <w:jc w:val="center"/>
                    <w:rPr>
                      <w:color w:val="auto"/>
                    </w:rPr>
                  </w:pPr>
                  <w:r>
                    <w:rPr>
                      <w:color w:val="auto"/>
                    </w:rPr>
                    <w:t>0.2576</w:t>
                  </w:r>
                </w:p>
              </w:tc>
              <w:tc>
                <w:tcPr>
                  <w:tcW w:w="711" w:type="pct"/>
                  <w:tcBorders>
                    <w:tl2br w:val="nil"/>
                    <w:tr2bl w:val="nil"/>
                  </w:tcBorders>
                  <w:vAlign w:val="center"/>
                </w:tcPr>
                <w:p>
                  <w:pPr>
                    <w:pStyle w:val="17"/>
                    <w:bidi w:val="0"/>
                    <w:jc w:val="center"/>
                    <w:rPr>
                      <w:color w:val="auto"/>
                    </w:rPr>
                  </w:pPr>
                  <w:r>
                    <w:rPr>
                      <w:color w:val="auto"/>
                    </w:rPr>
                    <w:t>0.3491</w:t>
                  </w:r>
                </w:p>
              </w:tc>
              <w:tc>
                <w:tcPr>
                  <w:tcW w:w="711" w:type="pct"/>
                  <w:tcBorders>
                    <w:tl2br w:val="nil"/>
                    <w:tr2bl w:val="nil"/>
                  </w:tcBorders>
                  <w:vAlign w:val="center"/>
                </w:tcPr>
                <w:p>
                  <w:pPr>
                    <w:pStyle w:val="17"/>
                    <w:bidi w:val="0"/>
                    <w:jc w:val="center"/>
                    <w:rPr>
                      <w:color w:val="auto"/>
                    </w:rPr>
                  </w:pPr>
                  <w:r>
                    <w:rPr>
                      <w:color w:val="auto"/>
                    </w:rPr>
                    <w:t>0.4332</w:t>
                  </w:r>
                </w:p>
              </w:tc>
              <w:tc>
                <w:tcPr>
                  <w:tcW w:w="711" w:type="pct"/>
                  <w:tcBorders>
                    <w:tl2br w:val="nil"/>
                    <w:tr2bl w:val="nil"/>
                  </w:tcBorders>
                  <w:vAlign w:val="center"/>
                </w:tcPr>
                <w:p>
                  <w:pPr>
                    <w:pStyle w:val="17"/>
                    <w:bidi w:val="0"/>
                    <w:jc w:val="center"/>
                    <w:rPr>
                      <w:color w:val="auto"/>
                    </w:rPr>
                  </w:pPr>
                  <w:r>
                    <w:rPr>
                      <w:color w:val="auto"/>
                    </w:rPr>
                    <w:t>0.5121</w:t>
                  </w:r>
                </w:p>
              </w:tc>
              <w:tc>
                <w:tcPr>
                  <w:tcW w:w="669" w:type="pct"/>
                  <w:tcBorders>
                    <w:tl2br w:val="nil"/>
                    <w:tr2bl w:val="nil"/>
                  </w:tcBorders>
                  <w:vAlign w:val="center"/>
                </w:tcPr>
                <w:p>
                  <w:pPr>
                    <w:pStyle w:val="17"/>
                    <w:bidi w:val="0"/>
                    <w:jc w:val="center"/>
                    <w:rPr>
                      <w:color w:val="auto"/>
                    </w:rPr>
                  </w:pPr>
                  <w:r>
                    <w:rPr>
                      <w:color w:val="auto"/>
                    </w:rPr>
                    <w:t>0.8613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72" w:type="pct"/>
                  <w:tcBorders>
                    <w:tl2br w:val="nil"/>
                    <w:tr2bl w:val="nil"/>
                  </w:tcBorders>
                  <w:vAlign w:val="center"/>
                </w:tcPr>
                <w:p>
                  <w:pPr>
                    <w:pStyle w:val="17"/>
                    <w:bidi w:val="0"/>
                    <w:jc w:val="center"/>
                    <w:rPr>
                      <w:rFonts w:hint="eastAsia" w:eastAsia="宋体"/>
                      <w:color w:val="auto"/>
                      <w:lang w:eastAsia="zh-CN"/>
                    </w:rPr>
                  </w:pPr>
                  <w:r>
                    <w:rPr>
                      <w:color w:val="auto"/>
                    </w:rPr>
                    <w:t>25</w:t>
                  </w:r>
                  <w:r>
                    <w:rPr>
                      <w:rFonts w:hint="eastAsia"/>
                      <w:color w:val="auto"/>
                      <w:lang w:eastAsia="zh-CN"/>
                    </w:rPr>
                    <w:t>（</w:t>
                  </w:r>
                  <w:r>
                    <w:rPr>
                      <w:color w:val="auto"/>
                    </w:rPr>
                    <w:t>km/h</w:t>
                  </w:r>
                  <w:r>
                    <w:rPr>
                      <w:rFonts w:hint="eastAsia"/>
                      <w:color w:val="auto"/>
                      <w:lang w:eastAsia="zh-CN"/>
                    </w:rPr>
                    <w:t>）</w:t>
                  </w:r>
                </w:p>
              </w:tc>
              <w:tc>
                <w:tcPr>
                  <w:tcW w:w="711" w:type="pct"/>
                  <w:tcBorders>
                    <w:tl2br w:val="nil"/>
                    <w:tr2bl w:val="nil"/>
                  </w:tcBorders>
                  <w:vAlign w:val="center"/>
                </w:tcPr>
                <w:p>
                  <w:pPr>
                    <w:pStyle w:val="17"/>
                    <w:bidi w:val="0"/>
                    <w:jc w:val="center"/>
                    <w:rPr>
                      <w:color w:val="auto"/>
                    </w:rPr>
                  </w:pPr>
                  <w:r>
                    <w:rPr>
                      <w:color w:val="auto"/>
                    </w:rPr>
                    <w:t>0.2553</w:t>
                  </w:r>
                </w:p>
              </w:tc>
              <w:tc>
                <w:tcPr>
                  <w:tcW w:w="711" w:type="pct"/>
                  <w:tcBorders>
                    <w:tl2br w:val="nil"/>
                    <w:tr2bl w:val="nil"/>
                  </w:tcBorders>
                  <w:vAlign w:val="center"/>
                </w:tcPr>
                <w:p>
                  <w:pPr>
                    <w:pStyle w:val="17"/>
                    <w:bidi w:val="0"/>
                    <w:jc w:val="center"/>
                    <w:rPr>
                      <w:color w:val="auto"/>
                    </w:rPr>
                  </w:pPr>
                  <w:r>
                    <w:rPr>
                      <w:color w:val="auto"/>
                    </w:rPr>
                    <w:t>0.4293</w:t>
                  </w:r>
                </w:p>
              </w:tc>
              <w:tc>
                <w:tcPr>
                  <w:tcW w:w="711" w:type="pct"/>
                  <w:tcBorders>
                    <w:tl2br w:val="nil"/>
                    <w:tr2bl w:val="nil"/>
                  </w:tcBorders>
                  <w:vAlign w:val="center"/>
                </w:tcPr>
                <w:p>
                  <w:pPr>
                    <w:pStyle w:val="17"/>
                    <w:bidi w:val="0"/>
                    <w:jc w:val="center"/>
                    <w:rPr>
                      <w:color w:val="auto"/>
                    </w:rPr>
                  </w:pPr>
                  <w:r>
                    <w:rPr>
                      <w:color w:val="auto"/>
                    </w:rPr>
                    <w:t>0.5819</w:t>
                  </w:r>
                </w:p>
              </w:tc>
              <w:tc>
                <w:tcPr>
                  <w:tcW w:w="711" w:type="pct"/>
                  <w:tcBorders>
                    <w:tl2br w:val="nil"/>
                    <w:tr2bl w:val="nil"/>
                  </w:tcBorders>
                  <w:vAlign w:val="center"/>
                </w:tcPr>
                <w:p>
                  <w:pPr>
                    <w:pStyle w:val="17"/>
                    <w:bidi w:val="0"/>
                    <w:jc w:val="center"/>
                    <w:rPr>
                      <w:color w:val="auto"/>
                    </w:rPr>
                  </w:pPr>
                  <w:r>
                    <w:rPr>
                      <w:color w:val="auto"/>
                    </w:rPr>
                    <w:t>0.7220</w:t>
                  </w:r>
                </w:p>
              </w:tc>
              <w:tc>
                <w:tcPr>
                  <w:tcW w:w="711" w:type="pct"/>
                  <w:tcBorders>
                    <w:tl2br w:val="nil"/>
                    <w:tr2bl w:val="nil"/>
                  </w:tcBorders>
                  <w:vAlign w:val="center"/>
                </w:tcPr>
                <w:p>
                  <w:pPr>
                    <w:pStyle w:val="17"/>
                    <w:bidi w:val="0"/>
                    <w:jc w:val="center"/>
                    <w:rPr>
                      <w:color w:val="auto"/>
                    </w:rPr>
                  </w:pPr>
                  <w:r>
                    <w:rPr>
                      <w:color w:val="auto"/>
                    </w:rPr>
                    <w:t>0.8536</w:t>
                  </w:r>
                </w:p>
              </w:tc>
              <w:tc>
                <w:tcPr>
                  <w:tcW w:w="669" w:type="pct"/>
                  <w:tcBorders>
                    <w:tl2br w:val="nil"/>
                    <w:tr2bl w:val="nil"/>
                  </w:tcBorders>
                  <w:vAlign w:val="center"/>
                </w:tcPr>
                <w:p>
                  <w:pPr>
                    <w:pStyle w:val="17"/>
                    <w:bidi w:val="0"/>
                    <w:jc w:val="center"/>
                    <w:rPr>
                      <w:color w:val="auto"/>
                    </w:rPr>
                  </w:pPr>
                  <w:r>
                    <w:rPr>
                      <w:color w:val="auto"/>
                    </w:rPr>
                    <w:t>1.4355</w:t>
                  </w:r>
                </w:p>
              </w:tc>
            </w:tr>
          </w:tbl>
          <w:p>
            <w:pPr>
              <w:bidi w:val="0"/>
              <w:rPr>
                <w:rFonts w:hint="default"/>
                <w:color w:val="auto"/>
                <w:lang w:val="en-US" w:eastAsia="zh-CN"/>
              </w:rPr>
            </w:pPr>
            <w:r>
              <w:rPr>
                <w:rFonts w:hint="default"/>
                <w:color w:val="auto"/>
                <w:lang w:val="en-US" w:eastAsia="zh-CN"/>
              </w:rPr>
              <w:t>由上表可见，在相同路面清洁程度条件下，车速越快，扬尘量越大；而在相同车速情况下，路面越脏，则扬尘量越大。因此，限制车辆行驶速度及保持路面的清洁是减少汽车行驶扬尘的最有效手段。一般情况下，运输扬尘在自然风作用下影响的范围在100m以内，如果在施工期间对车辆行驶的路面实施洒水抑尘，每天洒水4~5次，可使扬尘减少70％左右，表</w:t>
            </w:r>
            <w:r>
              <w:rPr>
                <w:rFonts w:hint="eastAsia"/>
                <w:color w:val="auto"/>
                <w:lang w:val="en-US" w:eastAsia="zh-CN"/>
              </w:rPr>
              <w:t>1</w:t>
            </w:r>
            <w:r>
              <w:rPr>
                <w:rFonts w:hint="default"/>
                <w:color w:val="auto"/>
                <w:lang w:val="en-US" w:eastAsia="zh-CN"/>
              </w:rPr>
              <w:t>-</w:t>
            </w:r>
            <w:r>
              <w:rPr>
                <w:rFonts w:hint="eastAsia"/>
                <w:color w:val="auto"/>
                <w:lang w:val="en-US" w:eastAsia="zh-CN"/>
              </w:rPr>
              <w:t>4</w:t>
            </w:r>
            <w:r>
              <w:rPr>
                <w:rFonts w:hint="default"/>
                <w:color w:val="auto"/>
                <w:lang w:val="en-US" w:eastAsia="zh-CN"/>
              </w:rPr>
              <w:t>为施工场地洒水抑尘的实验结果。</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表</w:t>
            </w:r>
            <w:r>
              <w:rPr>
                <w:rFonts w:hint="eastAsia" w:cs="Times New Roman"/>
                <w:color w:val="auto"/>
                <w:sz w:val="24"/>
                <w:szCs w:val="24"/>
                <w:lang w:val="en-US" w:eastAsia="zh-CN"/>
              </w:rPr>
              <w:t>1</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 xml:space="preserve">4  </w:t>
            </w:r>
            <w:r>
              <w:rPr>
                <w:rFonts w:hint="default" w:ascii="Times New Roman" w:hAnsi="Times New Roman" w:cs="Times New Roman"/>
                <w:color w:val="auto"/>
                <w:sz w:val="24"/>
                <w:szCs w:val="24"/>
                <w:lang w:val="en-US" w:eastAsia="zh-CN"/>
              </w:rPr>
              <w:t>施工场地洒水抑尘实验结果</w:t>
            </w:r>
          </w:p>
          <w:tbl>
            <w:tblPr>
              <w:tblStyle w:val="19"/>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82"/>
              <w:gridCol w:w="1061"/>
              <w:gridCol w:w="1280"/>
              <w:gridCol w:w="1280"/>
              <w:gridCol w:w="1282"/>
              <w:gridCol w:w="12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1701" w:type="pct"/>
                  <w:gridSpan w:val="2"/>
                  <w:tcBorders>
                    <w:top w:val="single" w:color="000000" w:sz="12" w:space="0"/>
                    <w:left w:val="nil"/>
                    <w:bottom w:val="single" w:color="000000" w:sz="2" w:space="0"/>
                  </w:tcBorders>
                  <w:vAlign w:val="center"/>
                </w:tcPr>
                <w:p>
                  <w:pPr>
                    <w:pStyle w:val="17"/>
                    <w:bidi w:val="0"/>
                    <w:jc w:val="center"/>
                    <w:rPr>
                      <w:rFonts w:hint="default"/>
                      <w:color w:val="auto"/>
                      <w:lang w:val="en-US" w:eastAsia="zh-CN"/>
                    </w:rPr>
                  </w:pPr>
                  <w:r>
                    <w:rPr>
                      <w:rFonts w:hint="default"/>
                      <w:color w:val="auto"/>
                      <w:lang w:val="en-US" w:eastAsia="zh-CN"/>
                    </w:rPr>
                    <w:t>距离（m）</w:t>
                  </w:r>
                </w:p>
              </w:tc>
              <w:tc>
                <w:tcPr>
                  <w:tcW w:w="824" w:type="pct"/>
                  <w:tcBorders>
                    <w:top w:val="single" w:color="000000" w:sz="12" w:space="0"/>
                    <w:bottom w:val="single" w:color="000000" w:sz="2" w:space="0"/>
                  </w:tcBorders>
                  <w:vAlign w:val="center"/>
                </w:tcPr>
                <w:p>
                  <w:pPr>
                    <w:pStyle w:val="17"/>
                    <w:bidi w:val="0"/>
                    <w:jc w:val="center"/>
                    <w:rPr>
                      <w:rFonts w:hint="default"/>
                      <w:color w:val="auto"/>
                      <w:lang w:val="en-US" w:eastAsia="zh-CN"/>
                    </w:rPr>
                  </w:pPr>
                  <w:r>
                    <w:rPr>
                      <w:rFonts w:hint="default"/>
                      <w:color w:val="auto"/>
                      <w:lang w:val="en-US" w:eastAsia="zh-CN"/>
                    </w:rPr>
                    <w:t>5</w:t>
                  </w:r>
                </w:p>
              </w:tc>
              <w:tc>
                <w:tcPr>
                  <w:tcW w:w="824" w:type="pct"/>
                  <w:tcBorders>
                    <w:top w:val="single" w:color="000000" w:sz="12" w:space="0"/>
                    <w:bottom w:val="single" w:color="000000" w:sz="2" w:space="0"/>
                  </w:tcBorders>
                  <w:vAlign w:val="center"/>
                </w:tcPr>
                <w:p>
                  <w:pPr>
                    <w:pStyle w:val="17"/>
                    <w:bidi w:val="0"/>
                    <w:jc w:val="center"/>
                    <w:rPr>
                      <w:rFonts w:hint="default"/>
                      <w:color w:val="auto"/>
                      <w:lang w:val="en-US" w:eastAsia="zh-CN"/>
                    </w:rPr>
                  </w:pPr>
                  <w:r>
                    <w:rPr>
                      <w:rFonts w:hint="default"/>
                      <w:color w:val="auto"/>
                      <w:lang w:val="en-US" w:eastAsia="zh-CN"/>
                    </w:rPr>
                    <w:t>20</w:t>
                  </w:r>
                </w:p>
              </w:tc>
              <w:tc>
                <w:tcPr>
                  <w:tcW w:w="825" w:type="pct"/>
                  <w:tcBorders>
                    <w:top w:val="single" w:color="000000" w:sz="12" w:space="0"/>
                    <w:bottom w:val="single" w:color="000000" w:sz="2" w:space="0"/>
                  </w:tcBorders>
                  <w:vAlign w:val="center"/>
                </w:tcPr>
                <w:p>
                  <w:pPr>
                    <w:pStyle w:val="17"/>
                    <w:bidi w:val="0"/>
                    <w:jc w:val="center"/>
                    <w:rPr>
                      <w:rFonts w:hint="default"/>
                      <w:color w:val="auto"/>
                      <w:lang w:val="en-US" w:eastAsia="zh-CN"/>
                    </w:rPr>
                  </w:pPr>
                  <w:r>
                    <w:rPr>
                      <w:rFonts w:hint="default"/>
                      <w:color w:val="auto"/>
                      <w:lang w:val="en-US" w:eastAsia="zh-CN"/>
                    </w:rPr>
                    <w:t>50</w:t>
                  </w:r>
                </w:p>
              </w:tc>
              <w:tc>
                <w:tcPr>
                  <w:tcW w:w="824" w:type="pct"/>
                  <w:tcBorders>
                    <w:top w:val="single" w:color="000000" w:sz="12" w:space="0"/>
                    <w:bottom w:val="single" w:color="000000" w:sz="2" w:space="0"/>
                    <w:right w:val="nil"/>
                  </w:tcBorders>
                  <w:vAlign w:val="center"/>
                </w:tcPr>
                <w:p>
                  <w:pPr>
                    <w:pStyle w:val="17"/>
                    <w:bidi w:val="0"/>
                    <w:jc w:val="center"/>
                    <w:rPr>
                      <w:rFonts w:hint="default"/>
                      <w:color w:val="auto"/>
                      <w:lang w:val="en-US" w:eastAsia="zh-CN"/>
                    </w:rPr>
                  </w:pPr>
                  <w:r>
                    <w:rPr>
                      <w:rFonts w:hint="default"/>
                      <w:color w:val="auto"/>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018" w:type="pct"/>
                  <w:vMerge w:val="restart"/>
                  <w:tcBorders>
                    <w:top w:val="single" w:color="000000" w:sz="2" w:space="0"/>
                    <w:left w:val="nil"/>
                    <w:bottom w:val="single" w:color="000000" w:sz="2" w:space="0"/>
                  </w:tcBorders>
                  <w:vAlign w:val="center"/>
                </w:tcPr>
                <w:p>
                  <w:pPr>
                    <w:pStyle w:val="17"/>
                    <w:bidi w:val="0"/>
                    <w:jc w:val="center"/>
                    <w:rPr>
                      <w:rFonts w:hint="default"/>
                      <w:color w:val="auto"/>
                      <w:lang w:val="en-US" w:eastAsia="zh-CN"/>
                    </w:rPr>
                  </w:pPr>
                  <w:r>
                    <w:rPr>
                      <w:rFonts w:hint="default"/>
                      <w:color w:val="auto"/>
                      <w:lang w:val="en-US" w:eastAsia="zh-CN"/>
                    </w:rPr>
                    <w:t>TSP平均浓度</w:t>
                  </w:r>
                </w:p>
                <w:p>
                  <w:pPr>
                    <w:pStyle w:val="17"/>
                    <w:bidi w:val="0"/>
                    <w:jc w:val="center"/>
                    <w:rPr>
                      <w:rFonts w:hint="default"/>
                      <w:color w:val="auto"/>
                      <w:lang w:val="en-US" w:eastAsia="zh-CN"/>
                    </w:rPr>
                  </w:pPr>
                  <w:r>
                    <w:rPr>
                      <w:rFonts w:hint="default"/>
                      <w:color w:val="auto"/>
                      <w:lang w:val="en-US" w:eastAsia="zh-CN"/>
                    </w:rPr>
                    <w:t>（mg/</w:t>
                  </w:r>
                  <w:r>
                    <w:rPr>
                      <w:rFonts w:hint="eastAsia"/>
                      <w:color w:val="auto"/>
                      <w:lang w:val="en-US" w:eastAsia="zh-CN"/>
                    </w:rPr>
                    <w:t>m</w:t>
                  </w:r>
                  <w:r>
                    <w:rPr>
                      <w:rFonts w:hint="eastAsia"/>
                      <w:color w:val="auto"/>
                      <w:vertAlign w:val="superscript"/>
                      <w:lang w:val="en-US" w:eastAsia="zh-CN"/>
                    </w:rPr>
                    <w:t>3</w:t>
                  </w:r>
                  <w:r>
                    <w:rPr>
                      <w:rFonts w:hint="default"/>
                      <w:color w:val="auto"/>
                      <w:lang w:val="en-US" w:eastAsia="zh-CN"/>
                    </w:rPr>
                    <w:t>）</w:t>
                  </w:r>
                </w:p>
              </w:tc>
              <w:tc>
                <w:tcPr>
                  <w:tcW w:w="682" w:type="pct"/>
                  <w:tcBorders>
                    <w:top w:val="single" w:color="000000" w:sz="2" w:space="0"/>
                    <w:bottom w:val="single" w:color="000000" w:sz="2" w:space="0"/>
                  </w:tcBorders>
                  <w:vAlign w:val="center"/>
                </w:tcPr>
                <w:p>
                  <w:pPr>
                    <w:pStyle w:val="17"/>
                    <w:bidi w:val="0"/>
                    <w:jc w:val="center"/>
                    <w:rPr>
                      <w:rFonts w:hint="default"/>
                      <w:color w:val="auto"/>
                      <w:lang w:val="en-US" w:eastAsia="zh-CN"/>
                    </w:rPr>
                  </w:pPr>
                  <w:r>
                    <w:rPr>
                      <w:rFonts w:hint="default"/>
                      <w:color w:val="auto"/>
                      <w:lang w:val="en-US" w:eastAsia="zh-CN"/>
                    </w:rPr>
                    <w:t>不洒水</w:t>
                  </w:r>
                </w:p>
              </w:tc>
              <w:tc>
                <w:tcPr>
                  <w:tcW w:w="824" w:type="pct"/>
                  <w:tcBorders>
                    <w:top w:val="single" w:color="000000" w:sz="2" w:space="0"/>
                    <w:bottom w:val="single" w:color="000000" w:sz="2" w:space="0"/>
                  </w:tcBorders>
                  <w:vAlign w:val="center"/>
                </w:tcPr>
                <w:p>
                  <w:pPr>
                    <w:pStyle w:val="17"/>
                    <w:bidi w:val="0"/>
                    <w:jc w:val="center"/>
                    <w:rPr>
                      <w:rFonts w:hint="default"/>
                      <w:color w:val="auto"/>
                      <w:lang w:val="en-US" w:eastAsia="zh-CN"/>
                    </w:rPr>
                  </w:pPr>
                  <w:r>
                    <w:rPr>
                      <w:rFonts w:hint="default"/>
                      <w:color w:val="auto"/>
                      <w:lang w:val="en-US" w:eastAsia="zh-CN"/>
                    </w:rPr>
                    <w:t>10.14</w:t>
                  </w:r>
                </w:p>
              </w:tc>
              <w:tc>
                <w:tcPr>
                  <w:tcW w:w="824" w:type="pct"/>
                  <w:tcBorders>
                    <w:top w:val="single" w:color="000000" w:sz="2" w:space="0"/>
                    <w:bottom w:val="single" w:color="000000" w:sz="2" w:space="0"/>
                  </w:tcBorders>
                  <w:vAlign w:val="center"/>
                </w:tcPr>
                <w:p>
                  <w:pPr>
                    <w:pStyle w:val="17"/>
                    <w:bidi w:val="0"/>
                    <w:jc w:val="center"/>
                    <w:rPr>
                      <w:rFonts w:hint="default"/>
                      <w:color w:val="auto"/>
                      <w:lang w:val="en-US" w:eastAsia="zh-CN"/>
                    </w:rPr>
                  </w:pPr>
                  <w:r>
                    <w:rPr>
                      <w:rFonts w:hint="default"/>
                      <w:color w:val="auto"/>
                      <w:lang w:val="en-US" w:eastAsia="zh-CN"/>
                    </w:rPr>
                    <w:t>2.89</w:t>
                  </w:r>
                </w:p>
              </w:tc>
              <w:tc>
                <w:tcPr>
                  <w:tcW w:w="825" w:type="pct"/>
                  <w:tcBorders>
                    <w:top w:val="single" w:color="000000" w:sz="2" w:space="0"/>
                    <w:bottom w:val="single" w:color="000000" w:sz="2" w:space="0"/>
                  </w:tcBorders>
                  <w:vAlign w:val="center"/>
                </w:tcPr>
                <w:p>
                  <w:pPr>
                    <w:pStyle w:val="17"/>
                    <w:bidi w:val="0"/>
                    <w:jc w:val="center"/>
                    <w:rPr>
                      <w:rFonts w:hint="default"/>
                      <w:color w:val="auto"/>
                      <w:lang w:val="en-US" w:eastAsia="zh-CN"/>
                    </w:rPr>
                  </w:pPr>
                  <w:r>
                    <w:rPr>
                      <w:rFonts w:hint="default"/>
                      <w:color w:val="auto"/>
                      <w:lang w:val="en-US" w:eastAsia="zh-CN"/>
                    </w:rPr>
                    <w:t>1.15</w:t>
                  </w:r>
                </w:p>
              </w:tc>
              <w:tc>
                <w:tcPr>
                  <w:tcW w:w="824" w:type="pct"/>
                  <w:tcBorders>
                    <w:top w:val="single" w:color="000000" w:sz="2" w:space="0"/>
                    <w:bottom w:val="single" w:color="000000" w:sz="2" w:space="0"/>
                    <w:right w:val="nil"/>
                  </w:tcBorders>
                  <w:vAlign w:val="center"/>
                </w:tcPr>
                <w:p>
                  <w:pPr>
                    <w:pStyle w:val="17"/>
                    <w:bidi w:val="0"/>
                    <w:jc w:val="center"/>
                    <w:rPr>
                      <w:rFonts w:hint="default"/>
                      <w:color w:val="auto"/>
                      <w:lang w:val="en-US" w:eastAsia="zh-CN"/>
                    </w:rPr>
                  </w:pPr>
                  <w:r>
                    <w:rPr>
                      <w:rFonts w:hint="default"/>
                      <w:color w:val="auto"/>
                      <w:lang w:val="en-US" w:eastAsia="zh-CN"/>
                    </w:rPr>
                    <w:t>0.86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4" w:hRule="atLeast"/>
              </w:trPr>
              <w:tc>
                <w:tcPr>
                  <w:tcW w:w="1018" w:type="pct"/>
                  <w:vMerge w:val="continue"/>
                  <w:tcBorders>
                    <w:top w:val="single" w:color="000000" w:sz="2" w:space="0"/>
                    <w:left w:val="nil"/>
                    <w:bottom w:val="single" w:color="000000" w:sz="12" w:space="0"/>
                  </w:tcBorders>
                  <w:vAlign w:val="center"/>
                </w:tcPr>
                <w:p>
                  <w:pPr>
                    <w:pStyle w:val="17"/>
                    <w:bidi w:val="0"/>
                    <w:jc w:val="center"/>
                    <w:rPr>
                      <w:rFonts w:hint="default"/>
                      <w:color w:val="auto"/>
                      <w:lang w:val="en-US" w:eastAsia="zh-CN"/>
                    </w:rPr>
                  </w:pPr>
                </w:p>
              </w:tc>
              <w:tc>
                <w:tcPr>
                  <w:tcW w:w="682" w:type="pct"/>
                  <w:tcBorders>
                    <w:top w:val="single" w:color="000000" w:sz="2" w:space="0"/>
                    <w:bottom w:val="single" w:color="000000" w:sz="12" w:space="0"/>
                  </w:tcBorders>
                  <w:vAlign w:val="center"/>
                </w:tcPr>
                <w:p>
                  <w:pPr>
                    <w:pStyle w:val="17"/>
                    <w:bidi w:val="0"/>
                    <w:jc w:val="center"/>
                    <w:rPr>
                      <w:rFonts w:hint="default"/>
                      <w:color w:val="auto"/>
                      <w:lang w:val="en-US" w:eastAsia="zh-CN"/>
                    </w:rPr>
                  </w:pPr>
                  <w:r>
                    <w:rPr>
                      <w:rFonts w:hint="default"/>
                      <w:color w:val="auto"/>
                      <w:lang w:val="en-US" w:eastAsia="zh-CN"/>
                    </w:rPr>
                    <w:t>洒水</w:t>
                  </w:r>
                </w:p>
              </w:tc>
              <w:tc>
                <w:tcPr>
                  <w:tcW w:w="824" w:type="pct"/>
                  <w:tcBorders>
                    <w:top w:val="single" w:color="000000" w:sz="2" w:space="0"/>
                    <w:bottom w:val="single" w:color="000000" w:sz="12" w:space="0"/>
                  </w:tcBorders>
                  <w:vAlign w:val="center"/>
                </w:tcPr>
                <w:p>
                  <w:pPr>
                    <w:pStyle w:val="17"/>
                    <w:bidi w:val="0"/>
                    <w:jc w:val="center"/>
                    <w:rPr>
                      <w:rFonts w:hint="default"/>
                      <w:color w:val="auto"/>
                      <w:lang w:val="en-US" w:eastAsia="zh-CN"/>
                    </w:rPr>
                  </w:pPr>
                  <w:r>
                    <w:rPr>
                      <w:rFonts w:hint="default"/>
                      <w:color w:val="auto"/>
                      <w:lang w:val="en-US" w:eastAsia="zh-CN"/>
                    </w:rPr>
                    <w:t>2.01</w:t>
                  </w:r>
                </w:p>
              </w:tc>
              <w:tc>
                <w:tcPr>
                  <w:tcW w:w="824" w:type="pct"/>
                  <w:tcBorders>
                    <w:top w:val="single" w:color="000000" w:sz="2" w:space="0"/>
                    <w:bottom w:val="single" w:color="000000" w:sz="12" w:space="0"/>
                  </w:tcBorders>
                  <w:vAlign w:val="center"/>
                </w:tcPr>
                <w:p>
                  <w:pPr>
                    <w:pStyle w:val="17"/>
                    <w:bidi w:val="0"/>
                    <w:jc w:val="center"/>
                    <w:rPr>
                      <w:rFonts w:hint="default"/>
                      <w:color w:val="auto"/>
                      <w:lang w:val="en-US" w:eastAsia="zh-CN"/>
                    </w:rPr>
                  </w:pPr>
                  <w:r>
                    <w:rPr>
                      <w:rFonts w:hint="default"/>
                      <w:color w:val="auto"/>
                      <w:lang w:val="en-US" w:eastAsia="zh-CN"/>
                    </w:rPr>
                    <w:t>1.40</w:t>
                  </w:r>
                </w:p>
              </w:tc>
              <w:tc>
                <w:tcPr>
                  <w:tcW w:w="825" w:type="pct"/>
                  <w:tcBorders>
                    <w:top w:val="single" w:color="000000" w:sz="2" w:space="0"/>
                    <w:bottom w:val="single" w:color="000000" w:sz="12" w:space="0"/>
                  </w:tcBorders>
                  <w:vAlign w:val="center"/>
                </w:tcPr>
                <w:p>
                  <w:pPr>
                    <w:pStyle w:val="17"/>
                    <w:bidi w:val="0"/>
                    <w:jc w:val="center"/>
                    <w:rPr>
                      <w:rFonts w:hint="default"/>
                      <w:color w:val="auto"/>
                      <w:lang w:val="en-US" w:eastAsia="zh-CN"/>
                    </w:rPr>
                  </w:pPr>
                  <w:r>
                    <w:rPr>
                      <w:rFonts w:hint="default"/>
                      <w:color w:val="auto"/>
                      <w:lang w:val="en-US" w:eastAsia="zh-CN"/>
                    </w:rPr>
                    <w:t>0.67</w:t>
                  </w:r>
                </w:p>
              </w:tc>
              <w:tc>
                <w:tcPr>
                  <w:tcW w:w="824" w:type="pct"/>
                  <w:tcBorders>
                    <w:top w:val="single" w:color="000000" w:sz="2" w:space="0"/>
                    <w:bottom w:val="single" w:color="000000" w:sz="12" w:space="0"/>
                    <w:right w:val="nil"/>
                  </w:tcBorders>
                  <w:vAlign w:val="center"/>
                </w:tcPr>
                <w:p>
                  <w:pPr>
                    <w:pStyle w:val="17"/>
                    <w:bidi w:val="0"/>
                    <w:jc w:val="center"/>
                    <w:rPr>
                      <w:rFonts w:hint="default"/>
                      <w:color w:val="auto"/>
                      <w:lang w:val="en-US" w:eastAsia="zh-CN"/>
                    </w:rPr>
                  </w:pPr>
                  <w:r>
                    <w:rPr>
                      <w:rFonts w:hint="default"/>
                      <w:color w:val="auto"/>
                      <w:lang w:val="en-US" w:eastAsia="zh-CN"/>
                    </w:rPr>
                    <w:t>0.60</w:t>
                  </w:r>
                </w:p>
              </w:tc>
            </w:tr>
          </w:tbl>
          <w:p>
            <w:pPr>
              <w:bidi w:val="0"/>
              <w:rPr>
                <w:rFonts w:hint="default" w:ascii="Times New Roman" w:hAnsi="Times New Roman" w:eastAsia="宋体" w:cs="Times New Roman"/>
                <w:color w:val="auto"/>
                <w:lang w:val="en-US" w:eastAsia="zh-CN"/>
              </w:rPr>
            </w:pPr>
            <w:r>
              <w:rPr>
                <w:rFonts w:hint="default"/>
                <w:color w:val="auto"/>
                <w:lang w:val="en-US" w:eastAsia="zh-CN"/>
              </w:rPr>
              <w:t>由表</w:t>
            </w:r>
            <w:r>
              <w:rPr>
                <w:rFonts w:hint="eastAsia"/>
                <w:color w:val="auto"/>
                <w:lang w:val="en-US" w:eastAsia="zh-CN"/>
              </w:rPr>
              <w:t>4-4</w:t>
            </w:r>
            <w:r>
              <w:rPr>
                <w:rFonts w:hint="default"/>
                <w:color w:val="auto"/>
                <w:lang w:val="en-US" w:eastAsia="zh-CN"/>
              </w:rPr>
              <w:t>可见，每天洒水4~5次进行抑尘，可有效控制施工扬尘，可将其污染距离缩小到20~50m的范围。</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（3）运输车辆及机械设备尾气 </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尾气污染产生的主要决定因素为燃料油种类、机械性能、作业方式和风力等，其中机械性能、作业方式因素的影响最大。施工机械燃油废气和汽车行驶尾气所含的污染物相似，主要有烃类、</w:t>
            </w:r>
            <w:r>
              <w:rPr>
                <w:rFonts w:hint="default" w:ascii="Times New Roman" w:hAnsi="Times New Roman" w:eastAsia="宋体" w:cs="Times New Roman"/>
                <w:color w:val="auto"/>
                <w:lang w:val="en-US" w:eastAsia="zh-CN"/>
              </w:rPr>
              <w:t>CO</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NO</w:t>
            </w:r>
            <w:r>
              <w:rPr>
                <w:rFonts w:hint="default"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 xml:space="preserve">等。施工机械的废气基本是以点源形式排放，而运输车辆的废气是沿交通路线沿程排放，流动性较大，排放特征与面源相似。 </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项目施工期需要动用一定数量的施工车辆和运输车辆，但项目施工所增加的车辆数量较少，因而尾气排放量有限且污染源多为流动的无组织排放，排放源较为分散。另外，受自然条件的影响，工程区空气环境本底现状优良，具有较大的环境容量，工程施工区场地开阔，空气流通性好，排放废气中的各项污染物能够很快扩散，不会引起局部大气环境质量的恶化。加之废气排放的不连续性和工程施工期较短，排放的废气对区域的环境空气质量及附近居民影响很小。 </w:t>
            </w:r>
          </w:p>
          <w:p>
            <w:pPr>
              <w:bidi w:val="0"/>
              <w:rPr>
                <w:rFonts w:hint="default"/>
                <w:color w:val="auto"/>
                <w:lang w:val="en-US" w:eastAsia="zh-CN"/>
              </w:rPr>
            </w:pPr>
            <w:r>
              <w:rPr>
                <w:rFonts w:hint="eastAsia" w:ascii="Times New Roman" w:hAnsi="Times New Roman" w:eastAsia="宋体" w:cs="Times New Roman"/>
                <w:color w:val="auto"/>
                <w:lang w:val="en-US" w:eastAsia="zh-CN"/>
              </w:rPr>
              <w:t>因此，施工期机械废气及车辆尾气对环境的影响是短暂且有限的。</w:t>
            </w:r>
          </w:p>
          <w:p>
            <w:pPr>
              <w:pStyle w:val="4"/>
              <w:bidi w:val="0"/>
              <w:rPr>
                <w:rFonts w:hint="default"/>
                <w:color w:val="auto"/>
                <w:lang w:val="en-US" w:eastAsia="zh-CN"/>
              </w:rPr>
            </w:pPr>
            <w:r>
              <w:rPr>
                <w:rFonts w:hint="default"/>
                <w:color w:val="auto"/>
                <w:lang w:val="en-US" w:eastAsia="zh-CN"/>
              </w:rPr>
              <w:t>1</w:t>
            </w:r>
            <w:r>
              <w:rPr>
                <w:rFonts w:hint="eastAsia"/>
                <w:color w:val="auto"/>
                <w:lang w:val="en-US" w:eastAsia="zh-CN"/>
              </w:rPr>
              <w:t>.6 水环境影响分析</w:t>
            </w:r>
          </w:p>
          <w:p>
            <w:pPr>
              <w:bidi w:val="0"/>
              <w:rPr>
                <w:rFonts w:hint="default"/>
                <w:color w:val="auto"/>
                <w:lang w:val="en-US" w:eastAsia="zh-CN"/>
              </w:rPr>
            </w:pPr>
            <w:r>
              <w:rPr>
                <w:rFonts w:hint="default"/>
                <w:color w:val="auto"/>
                <w:lang w:val="en-US" w:eastAsia="zh-CN"/>
              </w:rPr>
              <w:t>由于施工期的生产废水含有大量的泥砂，项目拟在施工现场建造废水沉砂（泥）池临时性水处理构筑物，对施工废水进行相应的沉淀处理后，施工废水沉淀后，用做场地洒水降尘。</w:t>
            </w:r>
          </w:p>
          <w:p>
            <w:pPr>
              <w:bidi w:val="0"/>
              <w:rPr>
                <w:rFonts w:hint="default"/>
                <w:color w:val="auto"/>
                <w:lang w:val="en-US" w:eastAsia="zh-CN"/>
              </w:rPr>
            </w:pPr>
            <w:r>
              <w:rPr>
                <w:rFonts w:hint="default"/>
                <w:color w:val="auto"/>
                <w:lang w:val="en-US" w:eastAsia="zh-CN"/>
              </w:rPr>
              <w:t>项目不在施工场地设置施工营地，建设项目的施工人员就近居住在</w:t>
            </w:r>
            <w:r>
              <w:rPr>
                <w:rFonts w:hint="eastAsia"/>
                <w:color w:val="auto"/>
                <w:lang w:val="en-US" w:eastAsia="zh-CN"/>
              </w:rPr>
              <w:t>果赛</w:t>
            </w:r>
            <w:r>
              <w:rPr>
                <w:rFonts w:hint="default"/>
                <w:color w:val="auto"/>
                <w:lang w:val="en-US" w:eastAsia="zh-CN"/>
              </w:rPr>
              <w:t>景区</w:t>
            </w:r>
            <w:r>
              <w:rPr>
                <w:rFonts w:hint="eastAsia"/>
                <w:color w:val="auto"/>
                <w:lang w:val="en-US" w:eastAsia="zh-CN"/>
              </w:rPr>
              <w:t>松树沟</w:t>
            </w:r>
            <w:r>
              <w:rPr>
                <w:rFonts w:hint="default"/>
                <w:color w:val="auto"/>
                <w:lang w:val="en-US" w:eastAsia="zh-CN"/>
              </w:rPr>
              <w:t>游客服务中心，施工人员产生的生活污水依托景区污水处理设施处理。本评价要求，施工现场设置零排放生态厕所，生态厕所应在项目正式开工建设以前投入运行，对施工人员的少量生活污水进行收集处理。</w:t>
            </w:r>
          </w:p>
          <w:p>
            <w:pPr>
              <w:bidi w:val="0"/>
              <w:rPr>
                <w:rFonts w:hint="default"/>
                <w:color w:val="auto"/>
                <w:lang w:val="en-US" w:eastAsia="zh-CN"/>
              </w:rPr>
            </w:pPr>
            <w:r>
              <w:rPr>
                <w:rFonts w:hint="default"/>
                <w:color w:val="auto"/>
                <w:lang w:val="en-US" w:eastAsia="zh-CN"/>
              </w:rPr>
              <w:t>施工中所产废水量较小，但如果不经处理或处理不当，同样会危害环境。本评价要求施工污水和施工人员生活污水不得随意排放，应尽量减少物料流失、散落和溢流现象。在采取相应的防治措施后，则项目施工期产生的废水对地下水环境影响不大。</w:t>
            </w:r>
          </w:p>
          <w:p>
            <w:pPr>
              <w:bidi w:val="0"/>
              <w:rPr>
                <w:rFonts w:hint="default" w:ascii="Times New Roman" w:hAnsi="Times New Roman" w:eastAsia="宋体" w:cs="Times New Roman"/>
                <w:color w:val="auto"/>
                <w:lang w:val="en-US" w:eastAsia="zh-CN"/>
              </w:rPr>
            </w:pPr>
            <w:r>
              <w:rPr>
                <w:rFonts w:hint="default"/>
                <w:color w:val="auto"/>
                <w:lang w:val="en-US" w:eastAsia="zh-CN"/>
              </w:rPr>
              <w:t>项目建设期可能影响地下水水质的主要是施工过程中的各种废物、油污以及泥浆。堆积的废弃物主要为建筑材料，对水质可能产生的影响较小，而油污含量一般很低，且易浮于泥浆之上而被带出，并排泄到区外，因此，影响地下水水质的主要是开挖、打桩过程中的泥浆。项目施工开挖深度浅，项目开挖对</w:t>
            </w:r>
            <w:r>
              <w:rPr>
                <w:rFonts w:hint="default" w:ascii="Times New Roman" w:hAnsi="Times New Roman" w:eastAsia="宋体" w:cs="Times New Roman"/>
                <w:color w:val="auto"/>
                <w:lang w:val="en-US" w:eastAsia="zh-CN"/>
              </w:rPr>
              <w:t>地下水的影响很小，且施工项比较小，不会对地下水产生明显影响。</w:t>
            </w:r>
          </w:p>
          <w:p>
            <w:pPr>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 xml:space="preserve">1.7 </w:t>
            </w:r>
            <w:r>
              <w:rPr>
                <w:rFonts w:hint="default" w:ascii="Times New Roman" w:hAnsi="Times New Roman" w:eastAsia="宋体" w:cs="Times New Roman"/>
                <w:b/>
                <w:bCs/>
                <w:color w:val="auto"/>
                <w:lang w:val="en-US" w:eastAsia="zh-CN"/>
              </w:rPr>
              <w:t>声</w:t>
            </w:r>
            <w:r>
              <w:rPr>
                <w:rFonts w:hint="eastAsia" w:ascii="Times New Roman" w:hAnsi="Times New Roman" w:eastAsia="宋体" w:cs="Times New Roman"/>
                <w:b/>
                <w:bCs/>
                <w:color w:val="auto"/>
                <w:lang w:val="en-US" w:eastAsia="zh-CN"/>
              </w:rPr>
              <w:t>环境影响分析</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（1）评价标准</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施工场地的噪声强度要求符合《建筑施工场界环境噪声排放标准》</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GB12523-2011</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的要求，表</w:t>
            </w:r>
            <w:r>
              <w:rPr>
                <w:rFonts w:hint="eastAsia" w:cs="Times New Roman"/>
                <w:color w:val="auto"/>
                <w:lang w:val="en-US" w:eastAsia="zh-CN"/>
              </w:rPr>
              <w:t>1</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列出常见的施工机械所产生的噪声值。表中近场噪声指在厂区内可能产生的噪声值。</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表</w:t>
            </w:r>
            <w:r>
              <w:rPr>
                <w:rFonts w:hint="eastAsia" w:cs="Times New Roman"/>
                <w:color w:val="auto"/>
                <w:sz w:val="24"/>
                <w:szCs w:val="24"/>
                <w:lang w:val="en-US" w:eastAsia="zh-CN"/>
              </w:rPr>
              <w:t>1</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 xml:space="preserve">5  </w:t>
            </w:r>
            <w:r>
              <w:rPr>
                <w:rFonts w:hint="default" w:ascii="Times New Roman" w:hAnsi="Times New Roman" w:cs="Times New Roman"/>
                <w:color w:val="auto"/>
                <w:sz w:val="24"/>
                <w:szCs w:val="24"/>
                <w:lang w:val="en-US" w:eastAsia="zh-CN"/>
              </w:rPr>
              <w:t>几种典型施工机械噪声值单位：dB</w:t>
            </w:r>
          </w:p>
          <w:tbl>
            <w:tblPr>
              <w:tblStyle w:val="19"/>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89"/>
              <w:gridCol w:w="2222"/>
              <w:gridCol w:w="2109"/>
              <w:gridCol w:w="215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82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序号</w:t>
                  </w:r>
                </w:p>
              </w:tc>
              <w:tc>
                <w:tcPr>
                  <w:tcW w:w="142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设备名称</w:t>
                  </w:r>
                </w:p>
              </w:tc>
              <w:tc>
                <w:tcPr>
                  <w:tcW w:w="1355"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监测距离（m）</w:t>
                  </w:r>
                </w:p>
              </w:tc>
              <w:tc>
                <w:tcPr>
                  <w:tcW w:w="1387"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噪声级（dB</w:t>
                  </w:r>
                  <w:r>
                    <w:rPr>
                      <w:rFonts w:hint="eastAsia"/>
                      <w:color w:val="auto"/>
                      <w:lang w:val="en-US" w:eastAsia="zh-CN"/>
                    </w:rPr>
                    <w:t>（</w:t>
                  </w:r>
                  <w:r>
                    <w:rPr>
                      <w:rFonts w:hint="default"/>
                      <w:color w:val="auto"/>
                      <w:lang w:val="en-US" w:eastAsia="zh-CN"/>
                    </w:rPr>
                    <w:t>A</w:t>
                  </w:r>
                  <w:r>
                    <w:rPr>
                      <w:rFonts w:hint="eastAsia"/>
                      <w:color w:val="auto"/>
                      <w:lang w:val="en-US" w:eastAsia="zh-CN"/>
                    </w:rPr>
                    <w:t>）</w:t>
                  </w:r>
                  <w:r>
                    <w:rPr>
                      <w:rFonts w:hint="default"/>
                      <w:color w:val="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82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1</w:t>
                  </w:r>
                </w:p>
              </w:tc>
              <w:tc>
                <w:tcPr>
                  <w:tcW w:w="142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装载机</w:t>
                  </w:r>
                </w:p>
              </w:tc>
              <w:tc>
                <w:tcPr>
                  <w:tcW w:w="1355"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5</w:t>
                  </w:r>
                </w:p>
              </w:tc>
              <w:tc>
                <w:tcPr>
                  <w:tcW w:w="1387"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2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2</w:t>
                  </w:r>
                </w:p>
              </w:tc>
              <w:tc>
                <w:tcPr>
                  <w:tcW w:w="142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载重汽车</w:t>
                  </w:r>
                </w:p>
              </w:tc>
              <w:tc>
                <w:tcPr>
                  <w:tcW w:w="1355"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5</w:t>
                  </w:r>
                </w:p>
              </w:tc>
              <w:tc>
                <w:tcPr>
                  <w:tcW w:w="1387"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2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3</w:t>
                  </w:r>
                </w:p>
              </w:tc>
              <w:tc>
                <w:tcPr>
                  <w:tcW w:w="142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振捣棒</w:t>
                  </w:r>
                </w:p>
              </w:tc>
              <w:tc>
                <w:tcPr>
                  <w:tcW w:w="1355"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5</w:t>
                  </w:r>
                </w:p>
              </w:tc>
              <w:tc>
                <w:tcPr>
                  <w:tcW w:w="1387"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78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95" w:hRule="atLeast"/>
              </w:trPr>
              <w:tc>
                <w:tcPr>
                  <w:tcW w:w="82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4</w:t>
                  </w:r>
                </w:p>
              </w:tc>
              <w:tc>
                <w:tcPr>
                  <w:tcW w:w="142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电钻</w:t>
                  </w:r>
                </w:p>
              </w:tc>
              <w:tc>
                <w:tcPr>
                  <w:tcW w:w="1355"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5</w:t>
                  </w:r>
                </w:p>
              </w:tc>
              <w:tc>
                <w:tcPr>
                  <w:tcW w:w="1387"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2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5</w:t>
                  </w:r>
                </w:p>
              </w:tc>
              <w:tc>
                <w:tcPr>
                  <w:tcW w:w="142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电锯</w:t>
                  </w:r>
                </w:p>
              </w:tc>
              <w:tc>
                <w:tcPr>
                  <w:tcW w:w="1355"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5</w:t>
                  </w:r>
                </w:p>
              </w:tc>
              <w:tc>
                <w:tcPr>
                  <w:tcW w:w="1387"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81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82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6</w:t>
                  </w:r>
                </w:p>
              </w:tc>
              <w:tc>
                <w:tcPr>
                  <w:tcW w:w="142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电焊机</w:t>
                  </w:r>
                </w:p>
              </w:tc>
              <w:tc>
                <w:tcPr>
                  <w:tcW w:w="1355"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5</w:t>
                  </w:r>
                </w:p>
              </w:tc>
              <w:tc>
                <w:tcPr>
                  <w:tcW w:w="1387"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82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7</w:t>
                  </w:r>
                </w:p>
              </w:tc>
              <w:tc>
                <w:tcPr>
                  <w:tcW w:w="1428"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多功能木工刨</w:t>
                  </w:r>
                </w:p>
              </w:tc>
              <w:tc>
                <w:tcPr>
                  <w:tcW w:w="1355"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5</w:t>
                  </w:r>
                </w:p>
              </w:tc>
              <w:tc>
                <w:tcPr>
                  <w:tcW w:w="1387" w:type="pct"/>
                  <w:tcBorders>
                    <w:tl2br w:val="nil"/>
                    <w:tr2bl w:val="nil"/>
                  </w:tcBorders>
                  <w:vAlign w:val="center"/>
                </w:tcPr>
                <w:p>
                  <w:pPr>
                    <w:pStyle w:val="17"/>
                    <w:bidi w:val="0"/>
                    <w:jc w:val="center"/>
                    <w:rPr>
                      <w:rFonts w:hint="default"/>
                      <w:color w:val="auto"/>
                      <w:lang w:val="en-US" w:eastAsia="zh-CN"/>
                    </w:rPr>
                  </w:pPr>
                  <w:r>
                    <w:rPr>
                      <w:rFonts w:hint="default"/>
                      <w:color w:val="auto"/>
                      <w:lang w:val="en-US" w:eastAsia="zh-CN"/>
                    </w:rPr>
                    <w:t>80</w:t>
                  </w:r>
                </w:p>
              </w:tc>
            </w:tr>
          </w:tbl>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（2）预测模式</w:t>
            </w:r>
          </w:p>
          <w:p>
            <w:pPr>
              <w:bidi w:val="0"/>
              <w:rPr>
                <w:rFonts w:hint="default"/>
                <w:color w:val="auto"/>
                <w:lang w:val="en-US" w:eastAsia="zh-CN"/>
              </w:rPr>
            </w:pPr>
            <w:r>
              <w:rPr>
                <w:rFonts w:hint="default" w:ascii="Times New Roman" w:hAnsi="Times New Roman" w:eastAsia="宋体" w:cs="Times New Roman"/>
                <w:color w:val="auto"/>
                <w:lang w:val="en-US" w:eastAsia="zh-CN"/>
              </w:rPr>
              <w:t>噪声从声源传播到受声点，受传播距离，空气吸收，阻挡物的反射与屏障等因素的影响而产生衰减。用A声级进</w:t>
            </w:r>
            <w:r>
              <w:rPr>
                <w:rFonts w:hint="default"/>
                <w:color w:val="auto"/>
                <w:lang w:val="en-US" w:eastAsia="zh-CN"/>
              </w:rPr>
              <w:t>行预测时，其预测模式如下：</w:t>
            </w:r>
          </w:p>
          <w:p>
            <w:pPr>
              <w:bidi w:val="0"/>
              <w:ind w:left="0" w:leftChars="0" w:firstLine="0" w:firstLineChars="0"/>
              <w:jc w:val="center"/>
              <w:rPr>
                <w:rFonts w:hint="default"/>
                <w:b w:val="0"/>
                <w:bCs w:val="0"/>
                <w:color w:val="auto"/>
                <w:lang w:val="en-US" w:eastAsia="zh-CN"/>
              </w:rPr>
            </w:pPr>
            <w:r>
              <w:rPr>
                <w:rFonts w:hint="default"/>
                <w:b w:val="0"/>
                <w:bCs w:val="0"/>
                <w:color w:val="auto"/>
                <w:lang w:val="en-US" w:eastAsia="zh-CN"/>
              </w:rPr>
              <w:t>LA（r）=LA（r</w:t>
            </w:r>
            <w:r>
              <w:rPr>
                <w:rFonts w:hint="default"/>
                <w:b w:val="0"/>
                <w:bCs w:val="0"/>
                <w:color w:val="auto"/>
                <w:vertAlign w:val="subscript"/>
                <w:lang w:val="en-US" w:eastAsia="zh-CN"/>
              </w:rPr>
              <w:t>0</w:t>
            </w:r>
            <w:r>
              <w:rPr>
                <w:rFonts w:hint="default"/>
                <w:b w:val="0"/>
                <w:bCs w:val="0"/>
                <w:color w:val="auto"/>
                <w:lang w:val="en-US" w:eastAsia="zh-CN"/>
              </w:rPr>
              <w:t>）-（A</w:t>
            </w:r>
            <w:r>
              <w:rPr>
                <w:rFonts w:hint="default"/>
                <w:b w:val="0"/>
                <w:bCs w:val="0"/>
                <w:color w:val="auto"/>
                <w:vertAlign w:val="subscript"/>
                <w:lang w:val="en-US" w:eastAsia="zh-CN"/>
              </w:rPr>
              <w:t>dir</w:t>
            </w:r>
            <w:r>
              <w:rPr>
                <w:rFonts w:hint="default"/>
                <w:b w:val="0"/>
                <w:bCs w:val="0"/>
                <w:color w:val="auto"/>
                <w:lang w:val="en-US" w:eastAsia="zh-CN"/>
              </w:rPr>
              <w:t>+A</w:t>
            </w:r>
            <w:r>
              <w:rPr>
                <w:rFonts w:hint="default"/>
                <w:b w:val="0"/>
                <w:bCs w:val="0"/>
                <w:color w:val="auto"/>
                <w:vertAlign w:val="subscript"/>
                <w:lang w:val="en-US" w:eastAsia="zh-CN"/>
              </w:rPr>
              <w:t>bar</w:t>
            </w:r>
            <w:r>
              <w:rPr>
                <w:rFonts w:hint="default"/>
                <w:b w:val="0"/>
                <w:bCs w:val="0"/>
                <w:color w:val="auto"/>
                <w:lang w:val="en-US" w:eastAsia="zh-CN"/>
              </w:rPr>
              <w:t>+A</w:t>
            </w:r>
            <w:r>
              <w:rPr>
                <w:rFonts w:hint="default"/>
                <w:b w:val="0"/>
                <w:bCs w:val="0"/>
                <w:color w:val="auto"/>
                <w:vertAlign w:val="subscript"/>
                <w:lang w:val="en-US" w:eastAsia="zh-CN"/>
              </w:rPr>
              <w:t>atm</w:t>
            </w:r>
            <w:r>
              <w:rPr>
                <w:rFonts w:hint="default"/>
                <w:b w:val="0"/>
                <w:bCs w:val="0"/>
                <w:color w:val="auto"/>
                <w:lang w:val="en-US" w:eastAsia="zh-CN"/>
              </w:rPr>
              <w:t>+A</w:t>
            </w:r>
            <w:r>
              <w:rPr>
                <w:rFonts w:hint="default"/>
                <w:b w:val="0"/>
                <w:bCs w:val="0"/>
                <w:color w:val="auto"/>
                <w:vertAlign w:val="subscript"/>
                <w:lang w:val="en-US" w:eastAsia="zh-CN"/>
              </w:rPr>
              <w:t>exs</w:t>
            </w:r>
            <w:r>
              <w:rPr>
                <w:rFonts w:hint="default"/>
                <w:b w:val="0"/>
                <w:bCs w:val="0"/>
                <w:color w:val="auto"/>
                <w:lang w:val="en-US" w:eastAsia="zh-CN"/>
              </w:rPr>
              <w:t>）</w:t>
            </w:r>
          </w:p>
          <w:p>
            <w:pPr>
              <w:bidi w:val="0"/>
              <w:rPr>
                <w:rFonts w:hint="default"/>
                <w:color w:val="auto"/>
                <w:lang w:val="en-US" w:eastAsia="zh-CN"/>
              </w:rPr>
            </w:pPr>
            <w:r>
              <w:rPr>
                <w:rFonts w:hint="default"/>
                <w:color w:val="auto"/>
                <w:lang w:val="en-US" w:eastAsia="zh-CN"/>
              </w:rPr>
              <w:t>式中：LA（r）—距声源r处的A声级；</w:t>
            </w:r>
          </w:p>
          <w:p>
            <w:pPr>
              <w:bidi w:val="0"/>
              <w:ind w:firstLine="1200" w:firstLineChars="500"/>
              <w:rPr>
                <w:rFonts w:hint="default"/>
                <w:color w:val="auto"/>
                <w:lang w:val="en-US" w:eastAsia="zh-CN"/>
              </w:rPr>
            </w:pPr>
            <w:r>
              <w:rPr>
                <w:rFonts w:hint="default"/>
                <w:color w:val="auto"/>
                <w:lang w:val="en-US" w:eastAsia="zh-CN"/>
              </w:rPr>
              <w:t>LA（r0）—参考位置r</w:t>
            </w:r>
            <w:r>
              <w:rPr>
                <w:rFonts w:hint="default"/>
                <w:color w:val="auto"/>
                <w:vertAlign w:val="subscript"/>
                <w:lang w:val="en-US" w:eastAsia="zh-CN"/>
              </w:rPr>
              <w:t>0</w:t>
            </w:r>
            <w:r>
              <w:rPr>
                <w:rFonts w:hint="default"/>
                <w:color w:val="auto"/>
                <w:lang w:val="en-US" w:eastAsia="zh-CN"/>
              </w:rPr>
              <w:t>处的A声级；</w:t>
            </w:r>
          </w:p>
          <w:p>
            <w:pPr>
              <w:bidi w:val="0"/>
              <w:ind w:firstLine="1200" w:firstLineChars="500"/>
              <w:rPr>
                <w:rFonts w:hint="default"/>
                <w:color w:val="auto"/>
                <w:lang w:val="en-US" w:eastAsia="zh-CN"/>
              </w:rPr>
            </w:pPr>
            <w:r>
              <w:rPr>
                <w:rFonts w:hint="default"/>
                <w:color w:val="auto"/>
                <w:lang w:val="en-US" w:eastAsia="zh-CN"/>
              </w:rPr>
              <w:t>A</w:t>
            </w:r>
            <w:r>
              <w:rPr>
                <w:rFonts w:hint="default"/>
                <w:color w:val="auto"/>
                <w:vertAlign w:val="subscript"/>
                <w:lang w:val="en-US" w:eastAsia="zh-CN"/>
              </w:rPr>
              <w:t>dir</w:t>
            </w:r>
            <w:r>
              <w:rPr>
                <w:rFonts w:hint="default"/>
                <w:color w:val="auto"/>
                <w:lang w:val="en-US" w:eastAsia="zh-CN"/>
              </w:rPr>
              <w:t>—声波几何发散所引起的A声级衰减量，即距离所引起的衰减，无指向性点声源几何发散衰减的基本公式为：</w:t>
            </w:r>
          </w:p>
          <w:p>
            <w:pPr>
              <w:bidi w:val="0"/>
              <w:ind w:firstLine="1200" w:firstLineChars="500"/>
              <w:rPr>
                <w:rFonts w:hint="default"/>
                <w:color w:val="auto"/>
                <w:lang w:val="en-US" w:eastAsia="zh-CN"/>
              </w:rPr>
            </w:pPr>
            <w:r>
              <w:rPr>
                <w:rFonts w:hint="default"/>
                <w:color w:val="auto"/>
                <w:lang w:val="en-US" w:eastAsia="zh-CN"/>
              </w:rPr>
              <w:t>A</w:t>
            </w:r>
            <w:r>
              <w:rPr>
                <w:rFonts w:hint="default" w:ascii="Times New Roman" w:hAnsi="Times New Roman" w:eastAsia="宋体" w:cs="Times New Roman"/>
                <w:color w:val="auto"/>
                <w:vertAlign w:val="subscript"/>
                <w:lang w:val="en-US" w:eastAsia="zh-CN"/>
              </w:rPr>
              <w:t>dir</w:t>
            </w:r>
            <w:r>
              <w:rPr>
                <w:rFonts w:hint="default"/>
                <w:color w:val="auto"/>
                <w:lang w:val="en-US" w:eastAsia="zh-CN"/>
              </w:rPr>
              <w:t>＝20lg</w:t>
            </w:r>
            <w:r>
              <w:rPr>
                <w:rFonts w:hint="eastAsia"/>
                <w:color w:val="auto"/>
                <w:lang w:val="en-US" w:eastAsia="zh-CN"/>
              </w:rPr>
              <w:t>（</w:t>
            </w:r>
            <w:r>
              <w:rPr>
                <w:rFonts w:hint="default"/>
                <w:color w:val="auto"/>
                <w:lang w:val="en-US" w:eastAsia="zh-CN"/>
              </w:rPr>
              <w:t>r/r</w:t>
            </w:r>
            <w:r>
              <w:rPr>
                <w:rFonts w:hint="default" w:ascii="Times New Roman" w:hAnsi="Times New Roman" w:eastAsia="宋体" w:cs="Times New Roman"/>
                <w:color w:val="auto"/>
                <w:vertAlign w:val="subscript"/>
                <w:lang w:val="en-US" w:eastAsia="zh-CN"/>
              </w:rPr>
              <w:t>o</w:t>
            </w:r>
            <w:r>
              <w:rPr>
                <w:rFonts w:hint="eastAsia"/>
                <w:color w:val="auto"/>
                <w:lang w:val="en-US" w:eastAsia="zh-CN"/>
              </w:rPr>
              <w:t>）</w:t>
            </w:r>
            <w:r>
              <w:rPr>
                <w:rFonts w:hint="default"/>
                <w:color w:val="auto"/>
                <w:lang w:val="en-US" w:eastAsia="zh-CN"/>
              </w:rPr>
              <w:t>；</w:t>
            </w:r>
          </w:p>
          <w:p>
            <w:pPr>
              <w:bidi w:val="0"/>
              <w:ind w:firstLine="1200" w:firstLineChars="500"/>
              <w:rPr>
                <w:rFonts w:hint="default"/>
                <w:color w:val="auto"/>
                <w:lang w:val="en-US" w:eastAsia="zh-CN"/>
              </w:rPr>
            </w:pPr>
            <w:r>
              <w:rPr>
                <w:rFonts w:hint="default"/>
                <w:color w:val="auto"/>
                <w:lang w:val="en-US" w:eastAsia="zh-CN"/>
              </w:rPr>
              <w:t>A</w:t>
            </w:r>
            <w:r>
              <w:rPr>
                <w:rFonts w:hint="default" w:ascii="Times New Roman" w:hAnsi="Times New Roman" w:eastAsia="宋体" w:cs="Times New Roman"/>
                <w:color w:val="auto"/>
                <w:vertAlign w:val="subscript"/>
                <w:lang w:val="en-US" w:eastAsia="zh-CN"/>
              </w:rPr>
              <w:t>bar</w:t>
            </w:r>
            <w:r>
              <w:rPr>
                <w:rFonts w:hint="default"/>
                <w:color w:val="auto"/>
                <w:lang w:val="en-US" w:eastAsia="zh-CN"/>
              </w:rPr>
              <w:t>—遮挡物所引起的A声级衰减量，遮挡物包括建筑物墙壁的阻挡、建筑物声屏障效应以及植物的吸收屏障效应等，对于产生阻挡的植物而言，只有通过密集的植物丛时，才会对噪声产阻挡衰减作用。本评价不考虑，即取值为0。</w:t>
            </w:r>
          </w:p>
          <w:p>
            <w:pPr>
              <w:bidi w:val="0"/>
              <w:ind w:firstLine="1200" w:firstLineChars="500"/>
              <w:rPr>
                <w:rFonts w:hint="default"/>
                <w:color w:val="auto"/>
                <w:lang w:val="en-US" w:eastAsia="zh-CN"/>
              </w:rPr>
            </w:pPr>
            <w:r>
              <w:rPr>
                <w:rFonts w:hint="default"/>
                <w:color w:val="auto"/>
                <w:lang w:val="en-US" w:eastAsia="zh-CN"/>
              </w:rPr>
              <w:t>A</w:t>
            </w:r>
            <w:r>
              <w:rPr>
                <w:rFonts w:hint="default" w:ascii="Times New Roman" w:hAnsi="Times New Roman" w:eastAsia="宋体" w:cs="Times New Roman"/>
                <w:color w:val="auto"/>
                <w:vertAlign w:val="subscript"/>
                <w:lang w:val="en-US" w:eastAsia="zh-CN"/>
              </w:rPr>
              <w:t>atm</w:t>
            </w:r>
            <w:r>
              <w:rPr>
                <w:rFonts w:hint="default"/>
                <w:color w:val="auto"/>
                <w:lang w:val="en-US" w:eastAsia="zh-CN"/>
              </w:rPr>
              <w:t>=a</w:t>
            </w:r>
            <w:r>
              <w:rPr>
                <w:rFonts w:hint="eastAsia"/>
                <w:color w:val="auto"/>
                <w:lang w:val="en-US" w:eastAsia="zh-CN"/>
              </w:rPr>
              <w:t>（</w:t>
            </w:r>
            <w:r>
              <w:rPr>
                <w:rFonts w:hint="default"/>
                <w:color w:val="auto"/>
                <w:lang w:val="en-US" w:eastAsia="zh-CN"/>
              </w:rPr>
              <w:t>r-r</w:t>
            </w:r>
            <w:r>
              <w:rPr>
                <w:rFonts w:hint="default" w:ascii="Times New Roman" w:hAnsi="Times New Roman" w:eastAsia="宋体" w:cs="Times New Roman"/>
                <w:color w:val="auto"/>
                <w:vertAlign w:val="subscript"/>
                <w:lang w:val="en-US" w:eastAsia="zh-CN"/>
              </w:rPr>
              <w:t>0</w:t>
            </w:r>
            <w:r>
              <w:rPr>
                <w:rFonts w:hint="eastAsia"/>
                <w:color w:val="auto"/>
                <w:lang w:val="en-US" w:eastAsia="zh-CN"/>
              </w:rPr>
              <w:t>）</w:t>
            </w:r>
            <w:r>
              <w:rPr>
                <w:rFonts w:hint="default"/>
                <w:color w:val="auto"/>
                <w:lang w:val="en-US" w:eastAsia="zh-CN"/>
              </w:rPr>
              <w:t>/100Aatm—空气吸收所引起的A声级衰减量，a为每100m空气的吸声系数，其值与温度、湿度以及噪声的频率有关，一般来讲，对高频部分的空气吸声系数很大，而对中低频部分则很小，Δr&lt;200m时，A</w:t>
            </w:r>
            <w:r>
              <w:rPr>
                <w:rFonts w:hint="default" w:ascii="Times New Roman" w:hAnsi="Times New Roman" w:eastAsia="宋体" w:cs="Times New Roman"/>
                <w:color w:val="auto"/>
                <w:vertAlign w:val="subscript"/>
                <w:lang w:val="en-US" w:eastAsia="zh-CN"/>
              </w:rPr>
              <w:t>atm</w:t>
            </w:r>
            <w:r>
              <w:rPr>
                <w:rFonts w:hint="default"/>
                <w:color w:val="auto"/>
                <w:lang w:val="en-US" w:eastAsia="zh-CN"/>
              </w:rPr>
              <w:t>近似为零，一般情况下可忽略不计；</w:t>
            </w:r>
          </w:p>
          <w:p>
            <w:pPr>
              <w:bidi w:val="0"/>
              <w:ind w:firstLine="1200" w:firstLineChars="500"/>
              <w:rPr>
                <w:rFonts w:hint="default"/>
                <w:color w:val="auto"/>
                <w:lang w:val="en-US" w:eastAsia="zh-CN"/>
              </w:rPr>
            </w:pPr>
            <w:r>
              <w:rPr>
                <w:rFonts w:hint="default"/>
                <w:color w:val="auto"/>
                <w:lang w:val="en-US" w:eastAsia="zh-CN"/>
              </w:rPr>
              <w:t>A</w:t>
            </w:r>
            <w:r>
              <w:rPr>
                <w:rFonts w:hint="default" w:ascii="Times New Roman" w:hAnsi="Times New Roman" w:eastAsia="宋体" w:cs="Times New Roman"/>
                <w:color w:val="auto"/>
                <w:vertAlign w:val="subscript"/>
                <w:lang w:val="en-US" w:eastAsia="zh-CN"/>
              </w:rPr>
              <w:t>exs</w:t>
            </w:r>
            <w:r>
              <w:rPr>
                <w:rFonts w:hint="default"/>
                <w:color w:val="auto"/>
                <w:lang w:val="en-US" w:eastAsia="zh-CN"/>
              </w:rPr>
              <w:t>—附加A声衰减量，附加声级衰减包括声波在传播过程中由于云、雾、温度梯度、风而引起的声能量衰减及地面反射和吸收，或近地面的气象条件所引起的衰减。一般情况下的环境影响评价中，不需考虑风、云、雾及温度梯度所引起的附加影响。本评价不考虑，即取值为0。</w:t>
            </w:r>
          </w:p>
          <w:p>
            <w:pPr>
              <w:bidi w:val="0"/>
              <w:rPr>
                <w:rFonts w:hint="default"/>
                <w:color w:val="auto"/>
                <w:lang w:val="en-US" w:eastAsia="zh-CN"/>
              </w:rPr>
            </w:pPr>
            <w:r>
              <w:rPr>
                <w:rFonts w:hint="default"/>
                <w:color w:val="auto"/>
                <w:lang w:val="en-US" w:eastAsia="zh-CN"/>
              </w:rPr>
              <w:t>基于上述分析，本评价采用下列公式计算距离施工机械不同距离处的噪声值：</w:t>
            </w:r>
          </w:p>
          <w:p>
            <w:pPr>
              <w:bidi w:val="0"/>
              <w:ind w:left="0" w:leftChars="0" w:firstLine="0" w:firstLineChars="0"/>
              <w:jc w:val="center"/>
              <w:rPr>
                <w:rFonts w:hint="default"/>
                <w:b w:val="0"/>
                <w:bCs w:val="0"/>
                <w:color w:val="auto"/>
                <w:lang w:val="en-US" w:eastAsia="zh-CN"/>
              </w:rPr>
            </w:pPr>
            <w:r>
              <w:rPr>
                <w:rFonts w:hint="default"/>
                <w:b w:val="0"/>
                <w:bCs w:val="0"/>
                <w:color w:val="auto"/>
                <w:lang w:val="en-US" w:eastAsia="zh-CN"/>
              </w:rPr>
              <w:t>LA（r）=LA（r</w:t>
            </w:r>
            <w:r>
              <w:rPr>
                <w:rFonts w:hint="default"/>
                <w:b w:val="0"/>
                <w:bCs w:val="0"/>
                <w:color w:val="auto"/>
                <w:vertAlign w:val="subscript"/>
                <w:lang w:val="en-US" w:eastAsia="zh-CN"/>
              </w:rPr>
              <w:t>0</w:t>
            </w:r>
            <w:r>
              <w:rPr>
                <w:rFonts w:hint="default"/>
                <w:b w:val="0"/>
                <w:bCs w:val="0"/>
                <w:color w:val="auto"/>
                <w:lang w:val="en-US" w:eastAsia="zh-CN"/>
              </w:rPr>
              <w:t>）-A</w:t>
            </w:r>
            <w:r>
              <w:rPr>
                <w:rFonts w:hint="default"/>
                <w:b w:val="0"/>
                <w:bCs w:val="0"/>
                <w:color w:val="auto"/>
                <w:vertAlign w:val="subscript"/>
                <w:lang w:val="en-US" w:eastAsia="zh-CN"/>
              </w:rPr>
              <w:t>dir</w:t>
            </w:r>
            <w:r>
              <w:rPr>
                <w:rFonts w:hint="default"/>
                <w:b w:val="0"/>
                <w:bCs w:val="0"/>
                <w:color w:val="auto"/>
                <w:lang w:val="en-US" w:eastAsia="zh-CN"/>
              </w:rPr>
              <w:t>=LA（r</w:t>
            </w:r>
            <w:r>
              <w:rPr>
                <w:rFonts w:hint="default"/>
                <w:b w:val="0"/>
                <w:bCs w:val="0"/>
                <w:color w:val="auto"/>
                <w:vertAlign w:val="subscript"/>
                <w:lang w:val="en-US" w:eastAsia="zh-CN"/>
              </w:rPr>
              <w:t>0</w:t>
            </w:r>
            <w:r>
              <w:rPr>
                <w:rFonts w:hint="default"/>
                <w:b w:val="0"/>
                <w:bCs w:val="0"/>
                <w:color w:val="auto"/>
                <w:lang w:val="en-US" w:eastAsia="zh-CN"/>
              </w:rPr>
              <w:t>）-20</w:t>
            </w:r>
            <w:r>
              <w:rPr>
                <w:rFonts w:hint="default" w:ascii="Times New Roman" w:hAnsi="Times New Roman" w:cs="Times New Roman"/>
                <w:b w:val="0"/>
                <w:bCs w:val="0"/>
                <w:color w:val="auto"/>
                <w:lang w:val="en-US" w:eastAsia="zh-CN"/>
              </w:rPr>
              <w:t>㏒</w:t>
            </w:r>
            <w:r>
              <w:rPr>
                <w:rFonts w:hint="default"/>
                <w:b w:val="0"/>
                <w:bCs w:val="0"/>
                <w:color w:val="auto"/>
                <w:lang w:val="en-US" w:eastAsia="zh-CN"/>
              </w:rPr>
              <w:t>（r/r</w:t>
            </w:r>
            <w:r>
              <w:rPr>
                <w:rFonts w:hint="default"/>
                <w:b w:val="0"/>
                <w:bCs w:val="0"/>
                <w:color w:val="auto"/>
                <w:vertAlign w:val="subscript"/>
                <w:lang w:val="en-US" w:eastAsia="zh-CN"/>
              </w:rPr>
              <w:t>0</w:t>
            </w:r>
            <w:r>
              <w:rPr>
                <w:rFonts w:hint="default"/>
                <w:b w:val="0"/>
                <w:bCs w:val="0"/>
                <w:color w:val="auto"/>
                <w:lang w:val="en-US" w:eastAsia="zh-CN"/>
              </w:rPr>
              <w:t>）</w:t>
            </w:r>
          </w:p>
          <w:p>
            <w:pPr>
              <w:bidi w:val="0"/>
              <w:rPr>
                <w:rFonts w:hint="default"/>
                <w:color w:val="auto"/>
                <w:lang w:val="en-US" w:eastAsia="zh-CN"/>
              </w:rPr>
            </w:pPr>
            <w:r>
              <w:rPr>
                <w:rFonts w:hint="default"/>
                <w:color w:val="auto"/>
                <w:lang w:val="en-US" w:eastAsia="zh-CN"/>
              </w:rPr>
              <w:t>经预测，主要施工机械在不同距离上的噪声值见表</w:t>
            </w:r>
            <w:r>
              <w:rPr>
                <w:rFonts w:hint="eastAsia"/>
                <w:color w:val="auto"/>
                <w:lang w:val="en-US" w:eastAsia="zh-CN"/>
              </w:rPr>
              <w:t>1</w:t>
            </w:r>
            <w:r>
              <w:rPr>
                <w:rFonts w:hint="default"/>
                <w:color w:val="auto"/>
                <w:lang w:val="en-US" w:eastAsia="zh-CN"/>
              </w:rPr>
              <w:t>-</w:t>
            </w:r>
            <w:r>
              <w:rPr>
                <w:rFonts w:hint="eastAsia"/>
                <w:color w:val="auto"/>
                <w:lang w:val="en-US" w:eastAsia="zh-CN"/>
              </w:rPr>
              <w:t>6</w:t>
            </w:r>
            <w:r>
              <w:rPr>
                <w:rFonts w:hint="default"/>
                <w:color w:val="auto"/>
                <w:lang w:val="en-US" w:eastAsia="zh-CN"/>
              </w:rPr>
              <w:t>：</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表</w:t>
            </w:r>
            <w:r>
              <w:rPr>
                <w:rFonts w:hint="eastAsia" w:cs="Times New Roman"/>
                <w:color w:val="auto"/>
                <w:sz w:val="24"/>
                <w:szCs w:val="24"/>
                <w:lang w:val="en-US" w:eastAsia="zh-CN"/>
              </w:rPr>
              <w:t>1</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 xml:space="preserve">6  </w:t>
            </w:r>
            <w:r>
              <w:rPr>
                <w:rFonts w:hint="default" w:ascii="Times New Roman" w:hAnsi="Times New Roman" w:cs="Times New Roman"/>
                <w:color w:val="auto"/>
                <w:sz w:val="24"/>
                <w:szCs w:val="24"/>
                <w:lang w:val="en-US" w:eastAsia="zh-CN"/>
              </w:rPr>
              <w:t>主要施工机械在不同距离上的噪声值</w:t>
            </w:r>
          </w:p>
          <w:tbl>
            <w:tblPr>
              <w:tblStyle w:val="19"/>
              <w:tblW w:w="78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93"/>
              <w:gridCol w:w="524"/>
              <w:gridCol w:w="747"/>
              <w:gridCol w:w="748"/>
              <w:gridCol w:w="746"/>
              <w:gridCol w:w="744"/>
              <w:gridCol w:w="746"/>
              <w:gridCol w:w="747"/>
              <w:gridCol w:w="746"/>
              <w:gridCol w:w="7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393" w:type="dxa"/>
                  <w:vMerge w:val="restart"/>
                  <w:tcBorders>
                    <w:top w:val="single" w:color="000000" w:sz="10" w:space="0"/>
                    <w:left w:val="nil"/>
                    <w:bottom w:val="nil"/>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设备名称</w:t>
                  </w:r>
                </w:p>
              </w:tc>
              <w:tc>
                <w:tcPr>
                  <w:tcW w:w="6506" w:type="dxa"/>
                  <w:gridSpan w:val="9"/>
                  <w:tcBorders>
                    <w:top w:val="single" w:color="000000" w:sz="10" w:space="0"/>
                    <w:right w:val="nil"/>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噪声值（dB</w:t>
                  </w:r>
                  <w:r>
                    <w:rPr>
                      <w:rFonts w:hint="eastAsia"/>
                      <w:color w:val="auto"/>
                      <w:lang w:val="en-US" w:eastAsia="zh-CN"/>
                    </w:rPr>
                    <w:t>（</w:t>
                  </w:r>
                  <w:r>
                    <w:rPr>
                      <w:rFonts w:hint="default"/>
                      <w:color w:val="auto"/>
                      <w:lang w:val="en-US" w:eastAsia="zh-CN"/>
                    </w:rPr>
                    <w:t>A</w:t>
                  </w:r>
                  <w:r>
                    <w:rPr>
                      <w:rFonts w:hint="eastAsia"/>
                      <w:color w:val="auto"/>
                      <w:lang w:val="en-US" w:eastAsia="zh-CN"/>
                    </w:rPr>
                    <w:t>）</w:t>
                  </w:r>
                  <w:r>
                    <w:rPr>
                      <w:rFonts w:hint="default"/>
                      <w:color w:val="auto"/>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1393" w:type="dxa"/>
                  <w:vMerge w:val="continue"/>
                  <w:tcBorders>
                    <w:top w:val="nil"/>
                    <w:left w:val="nil"/>
                  </w:tcBorders>
                  <w:vAlign w:val="center"/>
                </w:tcPr>
                <w:p>
                  <w:pPr>
                    <w:pStyle w:val="17"/>
                    <w:bidi w:val="0"/>
                    <w:ind w:left="0" w:leftChars="0" w:right="0" w:rightChars="0" w:firstLine="0" w:firstLineChars="0"/>
                    <w:jc w:val="center"/>
                    <w:rPr>
                      <w:rFonts w:hint="default"/>
                      <w:color w:val="auto"/>
                      <w:lang w:val="en-US" w:eastAsia="zh-CN"/>
                    </w:rPr>
                  </w:pPr>
                </w:p>
              </w:tc>
              <w:tc>
                <w:tcPr>
                  <w:tcW w:w="524"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5m</w:t>
                  </w:r>
                </w:p>
              </w:tc>
              <w:tc>
                <w:tcPr>
                  <w:tcW w:w="747"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10m</w:t>
                  </w:r>
                </w:p>
              </w:tc>
              <w:tc>
                <w:tcPr>
                  <w:tcW w:w="748"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20m</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40m</w:t>
                  </w:r>
                </w:p>
              </w:tc>
              <w:tc>
                <w:tcPr>
                  <w:tcW w:w="744"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60m</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80m</w:t>
                  </w:r>
                </w:p>
              </w:tc>
              <w:tc>
                <w:tcPr>
                  <w:tcW w:w="747"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100m</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175m</w:t>
                  </w:r>
                </w:p>
              </w:tc>
              <w:tc>
                <w:tcPr>
                  <w:tcW w:w="758" w:type="dxa"/>
                  <w:tcBorders>
                    <w:right w:val="nil"/>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200m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393" w:type="dxa"/>
                  <w:tcBorders>
                    <w:left w:val="nil"/>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装载机</w:t>
                  </w:r>
                </w:p>
              </w:tc>
              <w:tc>
                <w:tcPr>
                  <w:tcW w:w="524"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84</w:t>
                  </w:r>
                </w:p>
              </w:tc>
              <w:tc>
                <w:tcPr>
                  <w:tcW w:w="747"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77.98</w:t>
                  </w:r>
                </w:p>
              </w:tc>
              <w:tc>
                <w:tcPr>
                  <w:tcW w:w="748"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71.96</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65.94</w:t>
                  </w:r>
                </w:p>
              </w:tc>
              <w:tc>
                <w:tcPr>
                  <w:tcW w:w="744"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62.42</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59.92</w:t>
                  </w:r>
                </w:p>
              </w:tc>
              <w:tc>
                <w:tcPr>
                  <w:tcW w:w="747"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57.98</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53.12</w:t>
                  </w:r>
                </w:p>
              </w:tc>
              <w:tc>
                <w:tcPr>
                  <w:tcW w:w="758" w:type="dxa"/>
                  <w:tcBorders>
                    <w:right w:val="nil"/>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51.96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393" w:type="dxa"/>
                  <w:tcBorders>
                    <w:left w:val="nil"/>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振捣棒</w:t>
                  </w:r>
                </w:p>
              </w:tc>
              <w:tc>
                <w:tcPr>
                  <w:tcW w:w="524"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78</w:t>
                  </w:r>
                </w:p>
              </w:tc>
              <w:tc>
                <w:tcPr>
                  <w:tcW w:w="747"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71.98</w:t>
                  </w:r>
                </w:p>
              </w:tc>
              <w:tc>
                <w:tcPr>
                  <w:tcW w:w="748"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65.96</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59.94</w:t>
                  </w:r>
                </w:p>
              </w:tc>
              <w:tc>
                <w:tcPr>
                  <w:tcW w:w="744"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56.42</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53.92</w:t>
                  </w:r>
                </w:p>
              </w:tc>
              <w:tc>
                <w:tcPr>
                  <w:tcW w:w="747"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51.98</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47.12</w:t>
                  </w:r>
                </w:p>
              </w:tc>
              <w:tc>
                <w:tcPr>
                  <w:tcW w:w="758" w:type="dxa"/>
                  <w:tcBorders>
                    <w:right w:val="nil"/>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45.96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393" w:type="dxa"/>
                  <w:tcBorders>
                    <w:left w:val="nil"/>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载重汽车</w:t>
                  </w:r>
                </w:p>
              </w:tc>
              <w:tc>
                <w:tcPr>
                  <w:tcW w:w="524"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80</w:t>
                  </w:r>
                </w:p>
              </w:tc>
              <w:tc>
                <w:tcPr>
                  <w:tcW w:w="747"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73.98</w:t>
                  </w:r>
                </w:p>
              </w:tc>
              <w:tc>
                <w:tcPr>
                  <w:tcW w:w="748"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67.96</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61.94</w:t>
                  </w:r>
                </w:p>
              </w:tc>
              <w:tc>
                <w:tcPr>
                  <w:tcW w:w="744"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58.42</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55.92</w:t>
                  </w:r>
                </w:p>
              </w:tc>
              <w:tc>
                <w:tcPr>
                  <w:tcW w:w="747"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53.98</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49.12</w:t>
                  </w:r>
                </w:p>
              </w:tc>
              <w:tc>
                <w:tcPr>
                  <w:tcW w:w="758" w:type="dxa"/>
                  <w:tcBorders>
                    <w:right w:val="nil"/>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47.96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1393" w:type="dxa"/>
                  <w:tcBorders>
                    <w:left w:val="nil"/>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电钻</w:t>
                  </w:r>
                </w:p>
              </w:tc>
              <w:tc>
                <w:tcPr>
                  <w:tcW w:w="524"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80</w:t>
                  </w:r>
                </w:p>
              </w:tc>
              <w:tc>
                <w:tcPr>
                  <w:tcW w:w="747"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73.98</w:t>
                  </w:r>
                </w:p>
              </w:tc>
              <w:tc>
                <w:tcPr>
                  <w:tcW w:w="748"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67.96</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61.94</w:t>
                  </w:r>
                </w:p>
              </w:tc>
              <w:tc>
                <w:tcPr>
                  <w:tcW w:w="744"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58.42</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55.92</w:t>
                  </w:r>
                </w:p>
              </w:tc>
              <w:tc>
                <w:tcPr>
                  <w:tcW w:w="747"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53.98</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49.12</w:t>
                  </w:r>
                </w:p>
              </w:tc>
              <w:tc>
                <w:tcPr>
                  <w:tcW w:w="758" w:type="dxa"/>
                  <w:tcBorders>
                    <w:right w:val="nil"/>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47.96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393" w:type="dxa"/>
                  <w:tcBorders>
                    <w:left w:val="nil"/>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电锯</w:t>
                  </w:r>
                </w:p>
              </w:tc>
              <w:tc>
                <w:tcPr>
                  <w:tcW w:w="524"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81</w:t>
                  </w:r>
                </w:p>
              </w:tc>
              <w:tc>
                <w:tcPr>
                  <w:tcW w:w="747"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74.98</w:t>
                  </w:r>
                </w:p>
              </w:tc>
              <w:tc>
                <w:tcPr>
                  <w:tcW w:w="748"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68.96</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62.94</w:t>
                  </w:r>
                </w:p>
              </w:tc>
              <w:tc>
                <w:tcPr>
                  <w:tcW w:w="744"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59.42</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56.92</w:t>
                  </w:r>
                </w:p>
              </w:tc>
              <w:tc>
                <w:tcPr>
                  <w:tcW w:w="747"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54.98</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50.12</w:t>
                  </w:r>
                </w:p>
              </w:tc>
              <w:tc>
                <w:tcPr>
                  <w:tcW w:w="758" w:type="dxa"/>
                  <w:tcBorders>
                    <w:right w:val="nil"/>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48.96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1393" w:type="dxa"/>
                  <w:tcBorders>
                    <w:left w:val="nil"/>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电焊机</w:t>
                  </w:r>
                </w:p>
              </w:tc>
              <w:tc>
                <w:tcPr>
                  <w:tcW w:w="524"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85</w:t>
                  </w:r>
                </w:p>
              </w:tc>
              <w:tc>
                <w:tcPr>
                  <w:tcW w:w="747"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78.98</w:t>
                  </w:r>
                </w:p>
              </w:tc>
              <w:tc>
                <w:tcPr>
                  <w:tcW w:w="748"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72.96</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66.94</w:t>
                  </w:r>
                </w:p>
              </w:tc>
              <w:tc>
                <w:tcPr>
                  <w:tcW w:w="744"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63.42</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60.92</w:t>
                  </w:r>
                </w:p>
              </w:tc>
              <w:tc>
                <w:tcPr>
                  <w:tcW w:w="747"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58.98</w:t>
                  </w:r>
                </w:p>
              </w:tc>
              <w:tc>
                <w:tcPr>
                  <w:tcW w:w="746" w:type="dxa"/>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54.12</w:t>
                  </w:r>
                </w:p>
              </w:tc>
              <w:tc>
                <w:tcPr>
                  <w:tcW w:w="758" w:type="dxa"/>
                  <w:tcBorders>
                    <w:right w:val="nil"/>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52.96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393" w:type="dxa"/>
                  <w:tcBorders>
                    <w:left w:val="nil"/>
                    <w:bottom w:val="single" w:color="000000" w:sz="10" w:space="0"/>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多功能木工刨</w:t>
                  </w:r>
                </w:p>
              </w:tc>
              <w:tc>
                <w:tcPr>
                  <w:tcW w:w="524" w:type="dxa"/>
                  <w:tcBorders>
                    <w:bottom w:val="single" w:color="000000" w:sz="10" w:space="0"/>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80</w:t>
                  </w:r>
                </w:p>
              </w:tc>
              <w:tc>
                <w:tcPr>
                  <w:tcW w:w="747" w:type="dxa"/>
                  <w:tcBorders>
                    <w:bottom w:val="single" w:color="000000" w:sz="10" w:space="0"/>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73.98</w:t>
                  </w:r>
                </w:p>
              </w:tc>
              <w:tc>
                <w:tcPr>
                  <w:tcW w:w="748" w:type="dxa"/>
                  <w:tcBorders>
                    <w:bottom w:val="single" w:color="000000" w:sz="10" w:space="0"/>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67.96</w:t>
                  </w:r>
                </w:p>
              </w:tc>
              <w:tc>
                <w:tcPr>
                  <w:tcW w:w="746" w:type="dxa"/>
                  <w:tcBorders>
                    <w:bottom w:val="single" w:color="000000" w:sz="10" w:space="0"/>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61.94</w:t>
                  </w:r>
                </w:p>
              </w:tc>
              <w:tc>
                <w:tcPr>
                  <w:tcW w:w="744" w:type="dxa"/>
                  <w:tcBorders>
                    <w:bottom w:val="single" w:color="000000" w:sz="10" w:space="0"/>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58.42</w:t>
                  </w:r>
                </w:p>
              </w:tc>
              <w:tc>
                <w:tcPr>
                  <w:tcW w:w="746" w:type="dxa"/>
                  <w:tcBorders>
                    <w:bottom w:val="single" w:color="000000" w:sz="10" w:space="0"/>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55.92</w:t>
                  </w:r>
                </w:p>
              </w:tc>
              <w:tc>
                <w:tcPr>
                  <w:tcW w:w="747" w:type="dxa"/>
                  <w:tcBorders>
                    <w:bottom w:val="single" w:color="000000" w:sz="10" w:space="0"/>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53.98</w:t>
                  </w:r>
                </w:p>
              </w:tc>
              <w:tc>
                <w:tcPr>
                  <w:tcW w:w="746" w:type="dxa"/>
                  <w:tcBorders>
                    <w:bottom w:val="single" w:color="000000" w:sz="10" w:space="0"/>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49.12</w:t>
                  </w:r>
                </w:p>
              </w:tc>
              <w:tc>
                <w:tcPr>
                  <w:tcW w:w="758" w:type="dxa"/>
                  <w:tcBorders>
                    <w:bottom w:val="single" w:color="000000" w:sz="10" w:space="0"/>
                    <w:right w:val="nil"/>
                  </w:tcBorders>
                  <w:vAlign w:val="center"/>
                </w:tcPr>
                <w:p>
                  <w:pPr>
                    <w:pStyle w:val="17"/>
                    <w:bidi w:val="0"/>
                    <w:ind w:left="0" w:leftChars="0" w:right="0" w:rightChars="0" w:firstLine="0" w:firstLineChars="0"/>
                    <w:jc w:val="center"/>
                    <w:rPr>
                      <w:rFonts w:hint="default"/>
                      <w:color w:val="auto"/>
                      <w:lang w:val="en-US" w:eastAsia="zh-CN"/>
                    </w:rPr>
                  </w:pPr>
                  <w:r>
                    <w:rPr>
                      <w:rFonts w:hint="default"/>
                      <w:color w:val="auto"/>
                      <w:lang w:val="en-US" w:eastAsia="zh-CN"/>
                    </w:rPr>
                    <w:t>47.96</w:t>
                  </w:r>
                </w:p>
              </w:tc>
            </w:tr>
          </w:tbl>
          <w:p>
            <w:pPr>
              <w:bidi w:val="0"/>
              <w:rPr>
                <w:rFonts w:hint="default"/>
                <w:color w:val="auto"/>
                <w:lang w:val="en-US" w:eastAsia="zh-CN"/>
              </w:rPr>
            </w:pPr>
            <w:r>
              <w:rPr>
                <w:rFonts w:hint="default"/>
                <w:color w:val="auto"/>
                <w:lang w:val="en-US" w:eastAsia="zh-CN"/>
              </w:rPr>
              <w:t>由上表预测结果，对照《建筑施工场界环境噪声排放标准》（GB12523－2011），即昼间≤70dB（A）、夜间≤55dB（A），施工噪声将对施工场界周边声环境质量产生一定影响，项目夜间不施工，项目施工期噪声影响昼间主要在距施工场地100m范围内。</w:t>
            </w:r>
          </w:p>
          <w:p>
            <w:pPr>
              <w:bidi w:val="0"/>
              <w:rPr>
                <w:rFonts w:hint="default"/>
                <w:color w:val="auto"/>
                <w:lang w:val="en-US" w:eastAsia="zh-CN"/>
              </w:rPr>
            </w:pPr>
            <w:r>
              <w:rPr>
                <w:rFonts w:hint="default"/>
                <w:color w:val="auto"/>
                <w:lang w:val="en-US" w:eastAsia="zh-CN"/>
              </w:rPr>
              <w:t>（3）对周边环境的影响</w:t>
            </w:r>
          </w:p>
          <w:p>
            <w:pPr>
              <w:bidi w:val="0"/>
              <w:rPr>
                <w:rFonts w:hint="default"/>
                <w:color w:val="auto"/>
                <w:lang w:val="en-US" w:eastAsia="zh-CN"/>
              </w:rPr>
            </w:pPr>
            <w:r>
              <w:rPr>
                <w:rFonts w:hint="default"/>
                <w:color w:val="auto"/>
                <w:lang w:val="en-US" w:eastAsia="zh-CN"/>
              </w:rPr>
              <w:t>1）对</w:t>
            </w:r>
            <w:r>
              <w:rPr>
                <w:rFonts w:hint="eastAsia"/>
                <w:color w:val="auto"/>
                <w:lang w:val="en-US" w:eastAsia="zh-CN"/>
              </w:rPr>
              <w:t>游客</w:t>
            </w:r>
            <w:r>
              <w:rPr>
                <w:rFonts w:hint="default"/>
                <w:color w:val="auto"/>
                <w:lang w:val="en-US" w:eastAsia="zh-CN"/>
              </w:rPr>
              <w:t>的影响</w:t>
            </w:r>
          </w:p>
          <w:p>
            <w:pPr>
              <w:bidi w:val="0"/>
              <w:rPr>
                <w:rFonts w:hint="default"/>
                <w:color w:val="auto"/>
                <w:lang w:val="en-US" w:eastAsia="zh-CN"/>
              </w:rPr>
            </w:pPr>
            <w:r>
              <w:rPr>
                <w:rFonts w:hint="default"/>
                <w:color w:val="auto"/>
                <w:lang w:val="en-US" w:eastAsia="zh-CN"/>
              </w:rPr>
              <w:t>项目区周边</w:t>
            </w:r>
            <w:r>
              <w:rPr>
                <w:rFonts w:hint="eastAsia"/>
                <w:color w:val="auto"/>
                <w:lang w:val="en-US" w:eastAsia="zh-CN"/>
              </w:rPr>
              <w:t>无</w:t>
            </w:r>
            <w:r>
              <w:rPr>
                <w:rFonts w:hint="default"/>
                <w:color w:val="auto"/>
                <w:lang w:val="en-US" w:eastAsia="zh-CN"/>
              </w:rPr>
              <w:t>居民点</w:t>
            </w:r>
            <w:r>
              <w:rPr>
                <w:rFonts w:hint="eastAsia"/>
                <w:color w:val="auto"/>
                <w:lang w:eastAsia="zh-CN"/>
              </w:rPr>
              <w:t>，</w:t>
            </w:r>
            <w:r>
              <w:rPr>
                <w:rFonts w:hint="default"/>
                <w:color w:val="auto"/>
                <w:lang w:val="en-US" w:eastAsia="zh-CN"/>
              </w:rPr>
              <w:t>为了尽量减少项目噪声对景区游客的影响，建设单位施工过程应严格执行国家《建筑施工场界环境噪声排放标准》（GB12523-2011），尽可能采取有效的减噪措施，避免在同一时间集中使用大量的动力机械设备，加强对施工噪声的治理，尽量减轻由于施工给周围环境的影响。施工噪声的影响随着施工结束而消失，其影响是暂时的，在施工过程采取必要的防治及管理措施，其施工过程产生的噪声对周边环境的影响是可以接受的。现场施工机械设备噪声较高，在实际施工过程中，存在多种机械同时作业的情况，各种噪声源辐射的相互叠加，噪声级将会更高，辐射面也会更大。所以施工噪声会对施工作业人员、游客及野生动物产生一定程度的影响。</w:t>
            </w:r>
          </w:p>
          <w:p>
            <w:pPr>
              <w:bidi w:val="0"/>
              <w:rPr>
                <w:rFonts w:hint="default"/>
                <w:color w:val="auto"/>
                <w:lang w:val="en-US" w:eastAsia="zh-CN"/>
              </w:rPr>
            </w:pPr>
            <w:r>
              <w:rPr>
                <w:rFonts w:hint="default"/>
                <w:color w:val="auto"/>
                <w:lang w:val="en-US" w:eastAsia="zh-CN"/>
              </w:rPr>
              <w:t>2）对野生动物的影响</w:t>
            </w:r>
          </w:p>
          <w:p>
            <w:pPr>
              <w:bidi w:val="0"/>
              <w:rPr>
                <w:rFonts w:hint="default"/>
                <w:color w:val="auto"/>
                <w:lang w:val="en-US" w:eastAsia="zh-CN"/>
              </w:rPr>
            </w:pPr>
            <w:r>
              <w:rPr>
                <w:rFonts w:hint="eastAsia"/>
                <w:color w:val="auto"/>
                <w:lang w:val="en-US" w:eastAsia="zh-CN"/>
              </w:rPr>
              <w:t>在本项目索道工程</w:t>
            </w:r>
            <w:r>
              <w:rPr>
                <w:rFonts w:hint="default"/>
                <w:color w:val="auto"/>
                <w:lang w:val="en-US" w:eastAsia="zh-CN"/>
              </w:rPr>
              <w:t>施工过程中，站房及支架点不仅是山体植被破坏最严重的地方，也是施工人员活动最频繁、施工噪声（包括施工机械，如风钻、凿岩机施工噪声以人的嘈杂声）最严重的区域。活动于上述各施工点周围及一定范围内的野生动物将受到较大影响，可能会因受到惊吓而迁移别处。拟建工程施工范围内虽然没有发现珍稀野生动物的活动，但并不能排除珍稀动物到此活动的可能。</w:t>
            </w:r>
          </w:p>
          <w:p>
            <w:pPr>
              <w:bidi w:val="0"/>
              <w:rPr>
                <w:rFonts w:hint="default" w:ascii="Times New Roman" w:hAnsi="Times New Roman" w:eastAsia="宋体" w:cs="Times New Roman"/>
                <w:color w:val="auto"/>
                <w:lang w:val="en-US" w:eastAsia="zh-CN"/>
              </w:rPr>
            </w:pPr>
            <w:r>
              <w:rPr>
                <w:rFonts w:hint="default"/>
                <w:color w:val="auto"/>
                <w:lang w:val="en-US" w:eastAsia="zh-CN"/>
              </w:rPr>
              <w:t>从理论上说，索道的修建将使动物的栖息地和活动场所缩小，如小型穴居兽类和爬行类的洞穴、鸟类巢区的生境遭到破坏后，少数动物的繁殖将有可能受到一定影响。结果迫使原栖息在这一带的动物迁往其他环境适宜的地区，但不会导致物种的消失。由于索道施工区面积较小，按照当地陆栖脊椎动物种类和数量的分布状态估计，这种不良影响对陆栖各类脊椎动物的</w:t>
            </w:r>
            <w:r>
              <w:rPr>
                <w:rFonts w:hint="default" w:ascii="Times New Roman" w:hAnsi="Times New Roman" w:eastAsia="宋体" w:cs="Times New Roman"/>
                <w:color w:val="auto"/>
                <w:lang w:val="en-US" w:eastAsia="zh-CN"/>
              </w:rPr>
              <w:t>种类和数量均不会产生明显的不利影响，不会影响项目区内动物资源的分布。</w:t>
            </w:r>
          </w:p>
          <w:p>
            <w:pPr>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1.8</w:t>
            </w:r>
            <w:r>
              <w:rPr>
                <w:rFonts w:hint="default" w:ascii="Times New Roman" w:hAnsi="Times New Roman" w:eastAsia="宋体" w:cs="Times New Roman"/>
                <w:b/>
                <w:bCs/>
                <w:color w:val="auto"/>
                <w:lang w:val="en-US" w:eastAsia="zh-CN"/>
              </w:rPr>
              <w:t>固废</w:t>
            </w:r>
            <w:r>
              <w:rPr>
                <w:rFonts w:hint="eastAsia" w:ascii="Times New Roman" w:hAnsi="Times New Roman" w:eastAsia="宋体" w:cs="Times New Roman"/>
                <w:b/>
                <w:bCs/>
                <w:color w:val="auto"/>
                <w:lang w:val="en-US" w:eastAsia="zh-CN"/>
              </w:rPr>
              <w:t>影响分析</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生活垃圾</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highlight w:val="none"/>
                <w:lang w:val="en-US" w:eastAsia="zh-CN"/>
              </w:rPr>
              <w:t>项目施工期间</w:t>
            </w:r>
            <w:r>
              <w:rPr>
                <w:rFonts w:hint="default" w:ascii="Times New Roman" w:hAnsi="Times New Roman" w:cs="Times New Roman"/>
                <w:color w:val="auto"/>
                <w:sz w:val="24"/>
                <w:szCs w:val="20"/>
                <w:highlight w:val="none"/>
                <w:lang w:val="en-US" w:eastAsia="zh-CN"/>
              </w:rPr>
              <w:t>，施工现场的施工和管理人员人数最大量约</w:t>
            </w:r>
            <w:r>
              <w:rPr>
                <w:rFonts w:hint="eastAsia" w:cs="Times New Roman"/>
                <w:color w:val="auto"/>
                <w:sz w:val="24"/>
                <w:szCs w:val="20"/>
                <w:highlight w:val="none"/>
                <w:lang w:val="en-US" w:eastAsia="zh-CN"/>
              </w:rPr>
              <w:t>60</w:t>
            </w:r>
            <w:r>
              <w:rPr>
                <w:rFonts w:hint="default" w:ascii="Times New Roman" w:hAnsi="Times New Roman" w:cs="Times New Roman"/>
                <w:color w:val="auto"/>
                <w:sz w:val="24"/>
                <w:szCs w:val="20"/>
                <w:highlight w:val="none"/>
                <w:lang w:val="en-US" w:eastAsia="zh-CN"/>
              </w:rPr>
              <w:t>人，以每人每天垃圾产生量1kg计，则施工现场的生活垃圾最多产生量为</w:t>
            </w:r>
            <w:r>
              <w:rPr>
                <w:rFonts w:hint="eastAsia" w:cs="Times New Roman"/>
                <w:color w:val="auto"/>
                <w:sz w:val="24"/>
                <w:szCs w:val="20"/>
                <w:highlight w:val="none"/>
                <w:lang w:val="en-US" w:eastAsia="zh-CN"/>
              </w:rPr>
              <w:t>6</w:t>
            </w:r>
            <w:r>
              <w:rPr>
                <w:rFonts w:hint="default" w:ascii="Times New Roman" w:hAnsi="Times New Roman" w:cs="Times New Roman"/>
                <w:color w:val="auto"/>
                <w:sz w:val="24"/>
                <w:szCs w:val="20"/>
                <w:highlight w:val="none"/>
                <w:lang w:val="en-US" w:eastAsia="zh-CN"/>
              </w:rPr>
              <w:t>0kg/d。按</w:t>
            </w:r>
            <w:r>
              <w:rPr>
                <w:rFonts w:hint="eastAsia" w:cs="Times New Roman"/>
                <w:color w:val="auto"/>
                <w:sz w:val="24"/>
                <w:szCs w:val="20"/>
                <w:highlight w:val="none"/>
                <w:lang w:val="en-US" w:eastAsia="zh-CN"/>
              </w:rPr>
              <w:t>有效</w:t>
            </w:r>
            <w:r>
              <w:rPr>
                <w:rFonts w:hint="default" w:ascii="Times New Roman" w:hAnsi="Times New Roman" w:cs="Times New Roman"/>
                <w:color w:val="auto"/>
                <w:sz w:val="24"/>
                <w:szCs w:val="20"/>
                <w:highlight w:val="none"/>
                <w:lang w:val="en-US" w:eastAsia="zh-CN"/>
              </w:rPr>
              <w:t>施工</w:t>
            </w:r>
            <w:r>
              <w:rPr>
                <w:rFonts w:hint="eastAsia" w:cs="Times New Roman"/>
                <w:color w:val="auto"/>
                <w:sz w:val="24"/>
                <w:szCs w:val="20"/>
                <w:highlight w:val="none"/>
                <w:lang w:val="en-US" w:eastAsia="zh-CN"/>
              </w:rPr>
              <w:t>期39</w:t>
            </w:r>
            <w:r>
              <w:rPr>
                <w:rFonts w:hint="eastAsia" w:ascii="Times New Roman" w:hAnsi="Times New Roman" w:cs="Times New Roman"/>
                <w:color w:val="auto"/>
                <w:sz w:val="24"/>
                <w:szCs w:val="20"/>
                <w:highlight w:val="none"/>
                <w:lang w:val="en-US" w:eastAsia="zh-CN"/>
              </w:rPr>
              <w:t>0</w:t>
            </w:r>
            <w:r>
              <w:rPr>
                <w:rFonts w:hint="default" w:ascii="Times New Roman" w:hAnsi="Times New Roman" w:cs="Times New Roman"/>
                <w:color w:val="auto"/>
                <w:sz w:val="24"/>
                <w:szCs w:val="20"/>
                <w:highlight w:val="none"/>
                <w:lang w:val="en-US" w:eastAsia="zh-CN"/>
              </w:rPr>
              <w:t>天计，则施工期人员的生活垃圾产生量约为</w:t>
            </w:r>
            <w:r>
              <w:rPr>
                <w:rFonts w:hint="eastAsia" w:cs="Times New Roman"/>
                <w:color w:val="auto"/>
                <w:sz w:val="24"/>
                <w:szCs w:val="20"/>
                <w:highlight w:val="none"/>
                <w:lang w:val="en-US" w:eastAsia="zh-CN"/>
              </w:rPr>
              <w:t>23.4</w:t>
            </w:r>
            <w:r>
              <w:rPr>
                <w:rFonts w:hint="default" w:ascii="Times New Roman" w:hAnsi="Times New Roman" w:cs="Times New Roman"/>
                <w:color w:val="auto"/>
                <w:sz w:val="24"/>
                <w:szCs w:val="20"/>
                <w:highlight w:val="none"/>
                <w:lang w:val="en-US" w:eastAsia="zh-CN"/>
              </w:rPr>
              <w:t>t</w:t>
            </w:r>
            <w:r>
              <w:rPr>
                <w:rFonts w:hint="eastAsia" w:cs="Times New Roman"/>
                <w:color w:val="auto"/>
                <w:sz w:val="24"/>
                <w:szCs w:val="20"/>
                <w:highlight w:val="none"/>
                <w:lang w:val="en-US" w:eastAsia="zh-CN"/>
              </w:rPr>
              <w:t>。</w:t>
            </w:r>
            <w:r>
              <w:rPr>
                <w:rFonts w:hint="default"/>
                <w:color w:val="auto"/>
                <w:lang w:val="en-US" w:eastAsia="zh-CN"/>
              </w:rPr>
              <w:t>施工人员产生的生活垃圾，若堆置不当</w:t>
            </w:r>
            <w:r>
              <w:rPr>
                <w:rFonts w:hint="default" w:ascii="Times New Roman" w:hAnsi="Times New Roman" w:eastAsia="宋体" w:cs="Times New Roman"/>
                <w:color w:val="auto"/>
                <w:lang w:val="en-US" w:eastAsia="zh-CN"/>
              </w:rPr>
              <w:t>或清运不及时，则容易孳生蚊蝇，引起疾病传播，对项目区及其附近区域的空气环境、水环境、土壤环境等产生一定的影响。因此，生活垃圾不可随意丢弃，应在施工区及生活区设垃圾桶，要求及时清运，由景区环卫部门统一处理。</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建筑垃圾</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项目施工期建筑垃圾主要包括各类废建筑材料，如废</w:t>
            </w:r>
            <w:r>
              <w:rPr>
                <w:rFonts w:hint="eastAsia" w:ascii="Times New Roman" w:hAnsi="Times New Roman" w:eastAsia="宋体" w:cs="Times New Roman"/>
                <w:color w:val="auto"/>
                <w:lang w:val="en-US" w:eastAsia="zh-CN"/>
              </w:rPr>
              <w:t>木材、废</w:t>
            </w:r>
            <w:r>
              <w:rPr>
                <w:rFonts w:hint="default" w:ascii="Times New Roman" w:hAnsi="Times New Roman" w:eastAsia="宋体" w:cs="Times New Roman"/>
                <w:color w:val="auto"/>
                <w:lang w:val="en-US" w:eastAsia="zh-CN"/>
              </w:rPr>
              <w:t>砖头、废水泥块、废钢条等。施工期的固体废物具有产生量大、时间集中的特点，其成分是无机物较多。这些建筑垃圾如果堆存、处置不当，对堆放场地周边环境会产生一定的影响。主体工程施工期建筑垃圾产生量采用建筑面积发展预测法进行计算。</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预测</w:t>
            </w:r>
            <w:r>
              <w:rPr>
                <w:rFonts w:hint="default" w:ascii="Times New Roman" w:hAnsi="Times New Roman" w:eastAsia="宋体" w:cs="Times New Roman"/>
                <w:color w:val="auto"/>
                <w:highlight w:val="none"/>
                <w:lang w:val="en-US" w:eastAsia="zh-CN"/>
              </w:rPr>
              <w:t>模式</w:t>
            </w:r>
            <w:r>
              <w:rPr>
                <w:rFonts w:hint="default" w:ascii="Times New Roman" w:hAnsi="Times New Roman" w:cs="Times New Roman"/>
                <w:color w:val="auto"/>
                <w:sz w:val="24"/>
                <w:szCs w:val="20"/>
                <w:highlight w:val="none"/>
                <w:lang w:val="en-US" w:eastAsia="zh-CN"/>
              </w:rPr>
              <w:t>为：J</w:t>
            </w:r>
            <w:r>
              <w:rPr>
                <w:rFonts w:hint="default" w:ascii="Times New Roman" w:hAnsi="Times New Roman" w:cs="Times New Roman"/>
                <w:color w:val="auto"/>
                <w:sz w:val="24"/>
                <w:szCs w:val="20"/>
                <w:highlight w:val="none"/>
                <w:vertAlign w:val="subscript"/>
                <w:lang w:val="en-US" w:eastAsia="zh-CN"/>
              </w:rPr>
              <w:t>S</w:t>
            </w:r>
            <w:r>
              <w:rPr>
                <w:rFonts w:hint="default" w:ascii="Times New Roman" w:hAnsi="Times New Roman" w:cs="Times New Roman"/>
                <w:color w:val="auto"/>
                <w:sz w:val="24"/>
                <w:szCs w:val="20"/>
                <w:highlight w:val="none"/>
                <w:lang w:val="en-US" w:eastAsia="zh-CN"/>
              </w:rPr>
              <w:t>=Q</w:t>
            </w:r>
            <w:r>
              <w:rPr>
                <w:rFonts w:hint="default" w:ascii="Times New Roman" w:hAnsi="Times New Roman" w:cs="Times New Roman"/>
                <w:color w:val="auto"/>
                <w:sz w:val="24"/>
                <w:szCs w:val="20"/>
                <w:highlight w:val="none"/>
                <w:vertAlign w:val="subscript"/>
                <w:lang w:val="en-US" w:eastAsia="zh-CN"/>
              </w:rPr>
              <w:t>S</w:t>
            </w:r>
            <w:r>
              <w:rPr>
                <w:rFonts w:hint="default" w:ascii="Times New Roman" w:hAnsi="Times New Roman" w:cs="Times New Roman"/>
                <w:color w:val="auto"/>
                <w:sz w:val="24"/>
                <w:szCs w:val="20"/>
                <w:highlight w:val="none"/>
                <w:lang w:val="en-US" w:eastAsia="zh-CN"/>
              </w:rPr>
              <w:t>×C</w:t>
            </w:r>
            <w:r>
              <w:rPr>
                <w:rFonts w:hint="default" w:ascii="Times New Roman" w:hAnsi="Times New Roman" w:cs="Times New Roman"/>
                <w:color w:val="auto"/>
                <w:sz w:val="24"/>
                <w:szCs w:val="20"/>
                <w:highlight w:val="none"/>
                <w:vertAlign w:val="subscript"/>
                <w:lang w:val="en-US" w:eastAsia="zh-CN"/>
              </w:rPr>
              <w:t>S</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lang w:val="en-US" w:eastAsia="zh-CN"/>
              </w:rPr>
              <w:t>式中</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sz w:val="24"/>
                <w:szCs w:val="20"/>
                <w:highlight w:val="none"/>
                <w:lang w:val="en-US" w:eastAsia="zh-CN"/>
              </w:rPr>
              <w:t>J</w:t>
            </w:r>
            <w:r>
              <w:rPr>
                <w:rFonts w:hint="default" w:ascii="Times New Roman" w:hAnsi="Times New Roman" w:cs="Times New Roman"/>
                <w:color w:val="auto"/>
                <w:sz w:val="24"/>
                <w:szCs w:val="20"/>
                <w:highlight w:val="none"/>
                <w:vertAlign w:val="subscript"/>
                <w:lang w:val="en-US" w:eastAsia="zh-CN"/>
              </w:rPr>
              <w:t>S</w:t>
            </w:r>
            <w:r>
              <w:rPr>
                <w:rFonts w:hint="default" w:ascii="Times New Roman" w:hAnsi="Times New Roman" w:cs="Times New Roman"/>
                <w:color w:val="auto"/>
                <w:sz w:val="24"/>
                <w:szCs w:val="20"/>
                <w:highlight w:val="none"/>
                <w:lang w:val="en-US" w:eastAsia="zh-CN"/>
              </w:rPr>
              <w:t>——年建筑垃</w:t>
            </w:r>
            <w:r>
              <w:rPr>
                <w:rFonts w:hint="default" w:ascii="Times New Roman" w:hAnsi="Times New Roman" w:eastAsia="宋体" w:cs="Times New Roman"/>
                <w:color w:val="auto"/>
                <w:highlight w:val="none"/>
                <w:lang w:val="en-US" w:eastAsia="zh-CN"/>
              </w:rPr>
              <w:t>圾产生量（t/a）；</w:t>
            </w:r>
          </w:p>
          <w:p>
            <w:pPr>
              <w:ind w:firstLine="1200" w:firstLineChars="5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Q</w:t>
            </w:r>
            <w:r>
              <w:rPr>
                <w:rFonts w:hint="default" w:ascii="Times New Roman" w:hAnsi="Times New Roman" w:cs="Times New Roman"/>
                <w:color w:val="auto"/>
                <w:sz w:val="24"/>
                <w:szCs w:val="20"/>
                <w:highlight w:val="none"/>
                <w:vertAlign w:val="subscript"/>
                <w:lang w:val="en-US" w:eastAsia="zh-CN"/>
              </w:rPr>
              <w:t>S</w:t>
            </w:r>
            <w:r>
              <w:rPr>
                <w:rFonts w:hint="default" w:ascii="Times New Roman" w:hAnsi="Times New Roman" w:cs="Times New Roman"/>
                <w:color w:val="auto"/>
                <w:sz w:val="24"/>
                <w:szCs w:val="20"/>
                <w:highlight w:val="none"/>
                <w:lang w:val="en-US" w:eastAsia="zh-CN"/>
              </w:rPr>
              <w:t>——年建筑面积（m</w:t>
            </w:r>
            <w:r>
              <w:rPr>
                <w:rFonts w:hint="default" w:ascii="Times New Roman" w:hAnsi="Times New Roman" w:cs="Times New Roman"/>
                <w:color w:val="auto"/>
                <w:sz w:val="24"/>
                <w:szCs w:val="20"/>
                <w:highlight w:val="none"/>
                <w:vertAlign w:val="superscript"/>
                <w:lang w:val="en-US" w:eastAsia="zh-CN"/>
              </w:rPr>
              <w:t>2</w:t>
            </w:r>
            <w:r>
              <w:rPr>
                <w:rFonts w:hint="default" w:ascii="Times New Roman" w:hAnsi="Times New Roman" w:cs="Times New Roman"/>
                <w:color w:val="auto"/>
                <w:sz w:val="24"/>
                <w:szCs w:val="20"/>
                <w:highlight w:val="none"/>
                <w:lang w:val="en-US" w:eastAsia="zh-CN"/>
              </w:rPr>
              <w:t>/a</w:t>
            </w:r>
            <w:r>
              <w:rPr>
                <w:rFonts w:hint="default" w:ascii="Times New Roman" w:hAnsi="Times New Roman" w:eastAsia="宋体" w:cs="Times New Roman"/>
                <w:color w:val="auto"/>
                <w:highlight w:val="none"/>
                <w:lang w:val="en-US" w:eastAsia="zh-CN"/>
              </w:rPr>
              <w:t>）；</w:t>
            </w:r>
          </w:p>
          <w:p>
            <w:pPr>
              <w:bidi w:val="0"/>
              <w:ind w:firstLine="1200" w:firstLineChars="5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highlight w:val="none"/>
                <w:lang w:val="en-US" w:eastAsia="zh-CN"/>
              </w:rPr>
              <w:t>C</w:t>
            </w:r>
            <w:r>
              <w:rPr>
                <w:rFonts w:hint="default" w:ascii="Times New Roman" w:hAnsi="Times New Roman" w:cs="Times New Roman"/>
                <w:color w:val="auto"/>
                <w:sz w:val="24"/>
                <w:szCs w:val="20"/>
                <w:highlight w:val="none"/>
                <w:vertAlign w:val="subscript"/>
                <w:lang w:val="en-US" w:eastAsia="zh-CN"/>
              </w:rPr>
              <w:t>S</w:t>
            </w:r>
            <w:r>
              <w:rPr>
                <w:rFonts w:hint="default" w:ascii="Times New Roman" w:hAnsi="Times New Roman" w:cs="Times New Roman"/>
                <w:color w:val="auto"/>
                <w:sz w:val="24"/>
                <w:szCs w:val="20"/>
                <w:highlight w:val="none"/>
                <w:lang w:val="en-US" w:eastAsia="zh-CN"/>
              </w:rPr>
              <w:t>——年平均每平方米建筑面积建筑垃圾产生量（t/a·m</w:t>
            </w:r>
            <w:r>
              <w:rPr>
                <w:rFonts w:hint="default" w:ascii="Times New Roman" w:hAnsi="Times New Roman" w:cs="Times New Roman"/>
                <w:color w:val="auto"/>
                <w:sz w:val="24"/>
                <w:szCs w:val="20"/>
                <w:highlight w:val="none"/>
                <w:vertAlign w:val="superscript"/>
                <w:lang w:val="en-US" w:eastAsia="zh-CN"/>
              </w:rPr>
              <w:t>2</w:t>
            </w:r>
            <w:r>
              <w:rPr>
                <w:rFonts w:hint="default" w:ascii="Times New Roman" w:hAnsi="Times New Roman" w:eastAsia="宋体" w:cs="Times New Roman"/>
                <w:color w:val="auto"/>
                <w:lang w:val="en-US" w:eastAsia="zh-CN"/>
              </w:rPr>
              <w:t>）。</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建筑垃圾的产生量与施工水平、管理水平、建筑类型有直接的联系。根据建筑垃圾产生数据统计资料，每平方米建筑面积将产生40~200kg左右的建筑垃圾，考虑本项目建设情况，项目建筑</w:t>
            </w:r>
            <w:r>
              <w:rPr>
                <w:rFonts w:hint="default" w:ascii="Times New Roman" w:hAnsi="Times New Roman" w:cs="Times New Roman"/>
                <w:color w:val="auto"/>
                <w:sz w:val="24"/>
                <w:szCs w:val="20"/>
                <w:highlight w:val="none"/>
                <w:lang w:val="en-US" w:eastAsia="zh-CN"/>
              </w:rPr>
              <w:t>主要为</w:t>
            </w:r>
            <w:r>
              <w:rPr>
                <w:rFonts w:hint="eastAsia" w:cs="Times New Roman"/>
                <w:color w:val="auto"/>
                <w:sz w:val="24"/>
                <w:szCs w:val="20"/>
                <w:highlight w:val="none"/>
                <w:lang w:val="en-US" w:eastAsia="zh-CN"/>
              </w:rPr>
              <w:t>木材、</w:t>
            </w:r>
            <w:r>
              <w:rPr>
                <w:rFonts w:hint="default" w:ascii="Times New Roman" w:hAnsi="Times New Roman" w:cs="Times New Roman"/>
                <w:color w:val="auto"/>
                <w:sz w:val="24"/>
                <w:szCs w:val="20"/>
                <w:highlight w:val="none"/>
                <w:lang w:val="en-US" w:eastAsia="zh-CN"/>
              </w:rPr>
              <w:t>砖、砼结构，因此本次评价取每平方米建筑面积产生50kg建筑垃圾估算。项目建筑面积</w:t>
            </w:r>
            <w:r>
              <w:rPr>
                <w:rFonts w:hint="eastAsia" w:ascii="Times New Roman" w:hAnsi="Times New Roman" w:cs="Times New Roman"/>
                <w:color w:val="auto"/>
                <w:sz w:val="24"/>
                <w:szCs w:val="20"/>
                <w:highlight w:val="none"/>
                <w:lang w:val="en-US" w:eastAsia="zh-CN"/>
              </w:rPr>
              <w:t>约</w:t>
            </w:r>
            <w:r>
              <w:rPr>
                <w:rFonts w:hint="eastAsia"/>
                <w:color w:val="auto"/>
                <w:lang w:val="en-US" w:eastAsia="zh-CN"/>
              </w:rPr>
              <w:t>13100</w:t>
            </w:r>
            <w:r>
              <w:rPr>
                <w:rFonts w:hint="default" w:ascii="Times New Roman" w:hAnsi="Times New Roman" w:cs="Times New Roman"/>
                <w:color w:val="auto"/>
                <w:sz w:val="24"/>
                <w:szCs w:val="20"/>
                <w:highlight w:val="none"/>
                <w:lang w:val="en-US" w:eastAsia="zh-CN"/>
              </w:rPr>
              <w:t>m</w:t>
            </w:r>
            <w:r>
              <w:rPr>
                <w:rFonts w:hint="default" w:ascii="Times New Roman" w:hAnsi="Times New Roman" w:cs="Times New Roman"/>
                <w:color w:val="auto"/>
                <w:sz w:val="24"/>
                <w:szCs w:val="20"/>
                <w:highlight w:val="none"/>
                <w:vertAlign w:val="superscript"/>
                <w:lang w:val="en-US" w:eastAsia="zh-CN"/>
              </w:rPr>
              <w:t>2</w:t>
            </w:r>
            <w:r>
              <w:rPr>
                <w:rFonts w:hint="default" w:ascii="Times New Roman" w:hAnsi="Times New Roman" w:cs="Times New Roman"/>
                <w:color w:val="auto"/>
                <w:sz w:val="24"/>
                <w:szCs w:val="20"/>
                <w:highlight w:val="none"/>
                <w:lang w:val="en-US" w:eastAsia="zh-CN"/>
              </w:rPr>
              <w:t>，则项目施工期建筑垃圾产生总量约为</w:t>
            </w:r>
            <w:r>
              <w:rPr>
                <w:rFonts w:hint="eastAsia" w:cs="Times New Roman"/>
                <w:color w:val="auto"/>
                <w:sz w:val="24"/>
                <w:szCs w:val="20"/>
                <w:highlight w:val="none"/>
                <w:lang w:val="en-US" w:eastAsia="zh-CN"/>
              </w:rPr>
              <w:t>655</w:t>
            </w:r>
            <w:r>
              <w:rPr>
                <w:rFonts w:hint="default" w:ascii="Times New Roman" w:hAnsi="Times New Roman" w:cs="Times New Roman"/>
                <w:color w:val="auto"/>
                <w:sz w:val="24"/>
                <w:szCs w:val="20"/>
                <w:highlight w:val="none"/>
                <w:lang w:val="en-US" w:eastAsia="zh-CN"/>
              </w:rPr>
              <w:t>t。</w:t>
            </w:r>
            <w:r>
              <w:rPr>
                <w:rFonts w:hint="default"/>
                <w:color w:val="auto"/>
                <w:lang w:val="en-US" w:eastAsia="zh-CN"/>
              </w:rPr>
              <w:t>若建筑土石料随意堆放，会使堆放点及周围显得脏乱，影响周围自然景观的视觉效果；对施工过程中产生的建筑垃圾尽可能用于回填，不适宜回填的则要及时外运，送至</w:t>
            </w:r>
            <w:r>
              <w:rPr>
                <w:rFonts w:hint="eastAsia"/>
                <w:color w:val="auto"/>
                <w:lang w:val="en-US" w:eastAsia="zh-CN"/>
              </w:rPr>
              <w:t>建筑</w:t>
            </w:r>
            <w:r>
              <w:rPr>
                <w:rFonts w:hint="default"/>
                <w:color w:val="auto"/>
                <w:lang w:val="en-US" w:eastAsia="zh-CN"/>
              </w:rPr>
              <w:t>垃圾填埋场统一处置。清运时，会沿路散落成为垃圾，破坏沿途环境卫生，因此必须安排专人进行监</w:t>
            </w:r>
            <w:r>
              <w:rPr>
                <w:rFonts w:hint="default" w:ascii="Times New Roman" w:hAnsi="Times New Roman" w:eastAsia="宋体" w:cs="Times New Roman"/>
                <w:color w:val="auto"/>
                <w:lang w:val="en-US" w:eastAsia="zh-CN"/>
              </w:rPr>
              <w:t>管。</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（3）临时堆土</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建设过程中需进行场地平整和开挖</w:t>
            </w:r>
            <w:r>
              <w:rPr>
                <w:rFonts w:hint="default"/>
                <w:color w:val="auto"/>
                <w:lang w:val="en-US" w:eastAsia="zh-CN"/>
              </w:rPr>
              <w:t>（如表土开挖等），会产生一定量土石方，全部用于项目区回填，在项目内平衡，做到无余</w:t>
            </w:r>
            <w:r>
              <w:rPr>
                <w:rFonts w:hint="eastAsia"/>
                <w:color w:val="auto"/>
                <w:lang w:val="en-US" w:eastAsia="zh-CN"/>
              </w:rPr>
              <w:t>土</w:t>
            </w:r>
            <w:r>
              <w:rPr>
                <w:rFonts w:hint="default"/>
                <w:color w:val="auto"/>
                <w:lang w:val="en-US" w:eastAsia="zh-CN"/>
              </w:rPr>
              <w:t>外运。表土开挖堆放在施工场地范围内，并采取相应水土保持措施，避免产生新的水土流失。项目临时</w:t>
            </w:r>
            <w:r>
              <w:rPr>
                <w:rFonts w:hint="eastAsia"/>
                <w:color w:val="auto"/>
                <w:lang w:val="en-US" w:eastAsia="zh-CN"/>
              </w:rPr>
              <w:t>堆土</w:t>
            </w:r>
            <w:r>
              <w:rPr>
                <w:rFonts w:hint="default"/>
                <w:color w:val="auto"/>
                <w:lang w:val="en-US" w:eastAsia="zh-CN"/>
              </w:rPr>
              <w:t>于各</w:t>
            </w:r>
            <w:r>
              <w:rPr>
                <w:rFonts w:hint="eastAsia"/>
                <w:color w:val="auto"/>
                <w:lang w:val="en-US" w:eastAsia="zh-CN"/>
              </w:rPr>
              <w:t>地块</w:t>
            </w:r>
            <w:r>
              <w:rPr>
                <w:rFonts w:hint="default"/>
                <w:color w:val="auto"/>
                <w:lang w:val="en-US" w:eastAsia="zh-CN"/>
              </w:rPr>
              <w:t>工程场地范围内，对</w:t>
            </w:r>
            <w:r>
              <w:rPr>
                <w:rFonts w:hint="eastAsia"/>
                <w:color w:val="auto"/>
                <w:lang w:val="en-US" w:eastAsia="zh-CN"/>
              </w:rPr>
              <w:t>一般</w:t>
            </w:r>
            <w:r>
              <w:rPr>
                <w:rFonts w:hint="default"/>
                <w:color w:val="auto"/>
                <w:lang w:val="en-US" w:eastAsia="zh-CN"/>
              </w:rPr>
              <w:t>临时</w:t>
            </w:r>
            <w:r>
              <w:rPr>
                <w:rFonts w:hint="eastAsia"/>
                <w:color w:val="auto"/>
                <w:lang w:val="en-US" w:eastAsia="zh-CN"/>
              </w:rPr>
              <w:t>堆土采取防尘网苫盖、袋装土围挡</w:t>
            </w:r>
            <w:r>
              <w:rPr>
                <w:rFonts w:hint="default"/>
                <w:color w:val="auto"/>
                <w:lang w:val="en-US" w:eastAsia="zh-CN"/>
              </w:rPr>
              <w:t>等措施，并</w:t>
            </w:r>
            <w:r>
              <w:rPr>
                <w:rFonts w:hint="default" w:ascii="Times New Roman" w:hAnsi="Times New Roman" w:eastAsia="宋体" w:cs="Times New Roman"/>
                <w:color w:val="auto"/>
                <w:lang w:val="en-US" w:eastAsia="zh-CN"/>
              </w:rPr>
              <w:t>尽快进行回填</w:t>
            </w:r>
            <w:r>
              <w:rPr>
                <w:rFonts w:hint="eastAsia" w:cs="Times New Roman"/>
                <w:color w:val="auto"/>
                <w:lang w:val="en-US" w:eastAsia="zh-CN"/>
              </w:rPr>
              <w:t>；</w:t>
            </w:r>
            <w:r>
              <w:rPr>
                <w:rFonts w:hint="eastAsia"/>
                <w:color w:val="auto"/>
                <w:lang w:val="en-US" w:eastAsia="zh-CN"/>
              </w:rPr>
              <w:t>对剥离的表土采取撒播草籽、袋装土围挡等措施，以防水土流失和堆土扬尘的产生。</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施工固废对景区景观的影响</w:t>
            </w:r>
          </w:p>
          <w:p>
            <w:pPr>
              <w:bidi w:val="0"/>
              <w:rPr>
                <w:rFonts w:hint="default"/>
                <w:color w:val="auto"/>
                <w:lang w:val="en-US" w:eastAsia="zh-CN"/>
              </w:rPr>
            </w:pPr>
            <w:r>
              <w:rPr>
                <w:rFonts w:hint="default" w:ascii="Times New Roman" w:hAnsi="Times New Roman" w:eastAsia="宋体" w:cs="Times New Roman"/>
                <w:color w:val="auto"/>
                <w:lang w:val="en-US" w:eastAsia="zh-CN"/>
              </w:rPr>
              <w:t>本项目施工期产生的生活垃圾、建筑垃圾、土石方的不合理堆放，施工材料的堆放等会直接影响到景区周边景观，造成施工区域与周围自然景观不协调的景象，但这种影响随着施工结束和工程恢复措施的实施而逐渐减弱和消除。施工期对景观的影响是暂时的、可恢复的。</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6" w:type="pct"/>
            <w:noWrap w:val="0"/>
            <w:tcMar>
              <w:left w:w="28" w:type="dxa"/>
              <w:right w:w="28" w:type="dxa"/>
            </w:tcMar>
            <w:vAlign w:val="center"/>
          </w:tcPr>
          <w:p>
            <w:pPr>
              <w:pStyle w:val="17"/>
              <w:bidi w:val="0"/>
              <w:rPr>
                <w:rFonts w:hint="default"/>
                <w:color w:val="auto"/>
                <w:sz w:val="24"/>
                <w:szCs w:val="24"/>
              </w:rPr>
            </w:pPr>
            <w:r>
              <w:rPr>
                <w:rFonts w:hint="default"/>
                <w:color w:val="auto"/>
                <w:sz w:val="24"/>
                <w:szCs w:val="24"/>
              </w:rPr>
              <w:t>运营期生态环境影响分析</w:t>
            </w:r>
          </w:p>
        </w:tc>
        <w:tc>
          <w:tcPr>
            <w:tcW w:w="4753" w:type="pct"/>
            <w:noWrap w:val="0"/>
            <w:vAlign w:val="top"/>
          </w:tcPr>
          <w:p>
            <w:pPr>
              <w:bidi w:val="0"/>
              <w:ind w:left="0" w:leftChars="0" w:firstLine="0" w:firstLineChars="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对生态环境影响</w:t>
            </w:r>
          </w:p>
          <w:p>
            <w:pPr>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1.1</w:t>
            </w:r>
            <w:r>
              <w:rPr>
                <w:rFonts w:hint="default" w:ascii="Times New Roman" w:hAnsi="Times New Roman" w:eastAsia="宋体" w:cs="Times New Roman"/>
                <w:b/>
                <w:bCs/>
                <w:color w:val="auto"/>
                <w:lang w:val="en-US" w:eastAsia="zh-CN"/>
              </w:rPr>
              <w:t>对植被的影响</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w:t>
            </w:r>
            <w:r>
              <w:rPr>
                <w:rFonts w:hint="eastAsia" w:ascii="Times New Roman" w:hAnsi="Times New Roman" w:eastAsia="宋体" w:cs="Times New Roman"/>
                <w:color w:val="auto"/>
                <w:lang w:val="en-US" w:eastAsia="zh-CN"/>
              </w:rPr>
              <w:t>索道</w:t>
            </w:r>
            <w:r>
              <w:rPr>
                <w:rFonts w:hint="default" w:ascii="Times New Roman" w:hAnsi="Times New Roman" w:eastAsia="宋体" w:cs="Times New Roman"/>
                <w:color w:val="auto"/>
                <w:lang w:val="en-US" w:eastAsia="zh-CN"/>
              </w:rPr>
              <w:t>维修通道的影响</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项目施工结束后，除维修通道外，不再涉及工程对植被的影响内容。项目拟将现有的简易</w:t>
            </w:r>
            <w:r>
              <w:rPr>
                <w:rFonts w:hint="eastAsia" w:ascii="Times New Roman" w:hAnsi="Times New Roman" w:eastAsia="宋体" w:cs="Times New Roman"/>
                <w:color w:val="auto"/>
                <w:lang w:val="en-US" w:eastAsia="zh-CN"/>
              </w:rPr>
              <w:t>牧</w:t>
            </w:r>
            <w:r>
              <w:rPr>
                <w:rFonts w:hint="default" w:ascii="Times New Roman" w:hAnsi="Times New Roman" w:eastAsia="宋体" w:cs="Times New Roman"/>
                <w:color w:val="auto"/>
                <w:lang w:val="en-US" w:eastAsia="zh-CN"/>
              </w:rPr>
              <w:t>道稍作清理作为施工便道，施工便道经修整后可作为索道线路维护所用，因而维修通道并不会对项目区植被造成新的干扰。</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w:t>
            </w:r>
            <w:r>
              <w:rPr>
                <w:rFonts w:hint="eastAsia" w:ascii="Times New Roman" w:hAnsi="Times New Roman" w:eastAsia="宋体" w:cs="Times New Roman"/>
                <w:color w:val="auto"/>
                <w:lang w:val="en-US" w:eastAsia="zh-CN"/>
              </w:rPr>
              <w:t>索道</w:t>
            </w:r>
            <w:r>
              <w:rPr>
                <w:rFonts w:hint="default" w:ascii="Times New Roman" w:hAnsi="Times New Roman" w:eastAsia="宋体" w:cs="Times New Roman"/>
                <w:color w:val="auto"/>
                <w:lang w:val="en-US" w:eastAsia="zh-CN"/>
              </w:rPr>
              <w:t>站房和支架的影响</w:t>
            </w:r>
          </w:p>
          <w:p>
            <w:pPr>
              <w:bidi w:val="0"/>
              <w:rPr>
                <w:rFonts w:hint="default"/>
                <w:color w:val="auto"/>
                <w:lang w:val="en-US" w:eastAsia="zh-CN"/>
              </w:rPr>
            </w:pPr>
            <w:r>
              <w:rPr>
                <w:rFonts w:hint="default" w:ascii="Times New Roman" w:hAnsi="Times New Roman" w:eastAsia="宋体" w:cs="Times New Roman"/>
                <w:color w:val="auto"/>
                <w:lang w:val="en-US" w:eastAsia="zh-CN"/>
              </w:rPr>
              <w:t>索道运营后，不再有新的占地行为，亦不会存在新的植被破坏。缆车</w:t>
            </w:r>
            <w:r>
              <w:rPr>
                <w:rFonts w:hint="eastAsia" w:cs="Times New Roman"/>
                <w:color w:val="auto"/>
                <w:lang w:val="en-US" w:eastAsia="zh-CN"/>
              </w:rPr>
              <w:t>下层主要经过有林地，主要植被为雪岭云杉，缆车</w:t>
            </w:r>
            <w:r>
              <w:rPr>
                <w:rFonts w:hint="default" w:ascii="Times New Roman" w:hAnsi="Times New Roman" w:eastAsia="宋体" w:cs="Times New Roman"/>
                <w:color w:val="auto"/>
                <w:lang w:val="en-US" w:eastAsia="zh-CN"/>
              </w:rPr>
              <w:t>将在林冠上层运行，</w:t>
            </w:r>
            <w:r>
              <w:rPr>
                <w:rFonts w:hint="default"/>
                <w:color w:val="auto"/>
                <w:lang w:val="en-US" w:eastAsia="zh-CN"/>
              </w:rPr>
              <w:t>以规避可能的植物碰触缆车。除此之外，索道的游客集散场地更加规范，可消除游客下缆车后对站点附近植被的破坏，对于植被管理而言，这是有利的。</w:t>
            </w:r>
          </w:p>
          <w:p>
            <w:pPr>
              <w:bidi w:val="0"/>
              <w:rPr>
                <w:rFonts w:hint="default"/>
                <w:color w:val="auto"/>
                <w:lang w:val="en-US" w:eastAsia="zh-CN"/>
              </w:rPr>
            </w:pPr>
            <w:r>
              <w:rPr>
                <w:rFonts w:hint="default"/>
                <w:color w:val="auto"/>
                <w:lang w:val="en-US" w:eastAsia="zh-CN"/>
              </w:rPr>
              <w:t>③游客活动对植被的影响</w:t>
            </w:r>
          </w:p>
          <w:p>
            <w:pPr>
              <w:bidi w:val="0"/>
              <w:rPr>
                <w:rFonts w:hint="default"/>
                <w:color w:val="auto"/>
                <w:lang w:val="en-US" w:eastAsia="zh-CN"/>
              </w:rPr>
            </w:pPr>
            <w:r>
              <w:rPr>
                <w:rFonts w:hint="eastAsia"/>
                <w:color w:val="auto"/>
                <w:lang w:val="en-US" w:eastAsia="zh-CN"/>
              </w:rPr>
              <w:t>本</w:t>
            </w:r>
            <w:r>
              <w:rPr>
                <w:rFonts w:hint="default"/>
                <w:color w:val="auto"/>
                <w:lang w:val="en-US" w:eastAsia="zh-CN"/>
              </w:rPr>
              <w:t>项目运营后，项目区域游客人数大大增加，游客密度过大，游客对游览区道路两侧植被践踏，以及部分游客的一些不文明行为如乱折树枝花草、乱扔垃圾等，可能会对评价区内的植被及植物资源造成一定的影响，影响植物正常的光合作用，从而造成区域内生物量的下降。</w:t>
            </w:r>
            <w:r>
              <w:rPr>
                <w:rFonts w:hint="eastAsia"/>
                <w:color w:val="auto"/>
                <w:lang w:val="en-US" w:eastAsia="zh-CN"/>
              </w:rPr>
              <w:t>本项目各地块</w:t>
            </w:r>
            <w:r>
              <w:rPr>
                <w:rFonts w:hint="default"/>
                <w:color w:val="auto"/>
                <w:lang w:val="en-US" w:eastAsia="zh-CN"/>
              </w:rPr>
              <w:t>观景平台布置有防护护栏，游览区道路宽阔，可容纳多人并排行走，道路沿线布置有垃圾桶，并设有专门的保洁员对游客随手扔掉的垃圾及时收集</w:t>
            </w:r>
            <w:r>
              <w:rPr>
                <w:rFonts w:hint="eastAsia"/>
                <w:color w:val="auto"/>
                <w:lang w:val="en-US" w:eastAsia="zh-CN"/>
              </w:rPr>
              <w:t>。</w:t>
            </w:r>
          </w:p>
          <w:p>
            <w:pPr>
              <w:bidi w:val="0"/>
              <w:rPr>
                <w:rFonts w:hint="default"/>
                <w:color w:val="auto"/>
                <w:lang w:val="en-US" w:eastAsia="zh-CN"/>
              </w:rPr>
            </w:pPr>
            <w:r>
              <w:rPr>
                <w:rFonts w:hint="default"/>
                <w:color w:val="auto"/>
                <w:lang w:val="en-US" w:eastAsia="zh-CN"/>
              </w:rPr>
              <w:t>由于游客一般只在</w:t>
            </w:r>
            <w:r>
              <w:rPr>
                <w:rFonts w:hint="eastAsia"/>
                <w:color w:val="auto"/>
                <w:lang w:val="en-US" w:eastAsia="zh-CN"/>
              </w:rPr>
              <w:t>索道</w:t>
            </w:r>
            <w:r>
              <w:rPr>
                <w:rFonts w:hint="default"/>
                <w:color w:val="auto"/>
                <w:lang w:val="en-US" w:eastAsia="zh-CN"/>
              </w:rPr>
              <w:t>站址及游览道路区范围内活动，因此，</w:t>
            </w:r>
            <w:r>
              <w:rPr>
                <w:rFonts w:hint="eastAsia"/>
                <w:color w:val="auto"/>
                <w:lang w:val="en-US" w:eastAsia="zh-CN"/>
              </w:rPr>
              <w:t>本项目</w:t>
            </w:r>
            <w:r>
              <w:rPr>
                <w:rFonts w:hint="default"/>
                <w:color w:val="auto"/>
                <w:lang w:val="en-US" w:eastAsia="zh-CN"/>
              </w:rPr>
              <w:t>建成后，虽然游客人数增加，但其游览活动对项目区植被及植物资源影响不大，不过应加强景区环保宣传和管理工作，杜绝游客的不文明现象的发生，同时控制游客人数，使其不超过本</w:t>
            </w:r>
            <w:r>
              <w:rPr>
                <w:rFonts w:hint="eastAsia"/>
                <w:color w:val="auto"/>
                <w:lang w:val="en-US" w:eastAsia="zh-CN"/>
              </w:rPr>
              <w:t>项目</w:t>
            </w:r>
            <w:r>
              <w:rPr>
                <w:rFonts w:hint="default"/>
                <w:color w:val="auto"/>
                <w:lang w:val="en-US" w:eastAsia="zh-CN"/>
              </w:rPr>
              <w:t>规划的日环境容量。</w:t>
            </w:r>
          </w:p>
          <w:p>
            <w:pPr>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1.2</w:t>
            </w:r>
            <w:r>
              <w:rPr>
                <w:rFonts w:hint="default" w:ascii="Times New Roman" w:hAnsi="Times New Roman" w:eastAsia="宋体" w:cs="Times New Roman"/>
                <w:b/>
                <w:bCs/>
                <w:color w:val="auto"/>
                <w:lang w:val="en-US" w:eastAsia="zh-CN"/>
              </w:rPr>
              <w:t>对动物的影响</w:t>
            </w:r>
          </w:p>
          <w:p>
            <w:pPr>
              <w:bidi w:val="0"/>
              <w:rPr>
                <w:rFonts w:hint="default"/>
                <w:color w:val="auto"/>
                <w:lang w:val="en-US" w:eastAsia="zh-CN"/>
              </w:rPr>
            </w:pPr>
            <w:r>
              <w:rPr>
                <w:rFonts w:hint="eastAsia"/>
                <w:color w:val="auto"/>
                <w:lang w:val="en-US" w:eastAsia="zh-CN"/>
              </w:rPr>
              <w:t>本</w:t>
            </w:r>
            <w:r>
              <w:rPr>
                <w:rFonts w:hint="default"/>
                <w:color w:val="auto"/>
                <w:lang w:val="en-US" w:eastAsia="zh-CN"/>
              </w:rPr>
              <w:t>项目是永久性人工建筑，开始运营一段时间后，随着施工人为干扰的消失和植被的逐渐恢复，大部分外迁动物会陆续回归原地。运营期对动物的影响主要是噪声和游客两个方面。</w:t>
            </w:r>
          </w:p>
          <w:p>
            <w:pPr>
              <w:bidi w:val="0"/>
              <w:rPr>
                <w:rFonts w:hint="default"/>
                <w:color w:val="auto"/>
                <w:lang w:val="en-US" w:eastAsia="zh-CN"/>
              </w:rPr>
            </w:pPr>
            <w:r>
              <w:rPr>
                <w:rFonts w:hint="default"/>
                <w:color w:val="auto"/>
                <w:lang w:val="en-US" w:eastAsia="zh-CN"/>
              </w:rPr>
              <w:t>①对两栖类动物的影响</w:t>
            </w:r>
          </w:p>
          <w:p>
            <w:pPr>
              <w:bidi w:val="0"/>
              <w:rPr>
                <w:rFonts w:hint="default"/>
                <w:color w:val="auto"/>
                <w:lang w:val="en-US" w:eastAsia="zh-CN"/>
              </w:rPr>
            </w:pPr>
            <w:r>
              <w:rPr>
                <w:rFonts w:hint="default"/>
                <w:color w:val="auto"/>
                <w:lang w:val="en-US" w:eastAsia="zh-CN"/>
              </w:rPr>
              <w:t>评价区域两栖类动物较少，主要为蟾蜍和蛙类，索道完成后，</w:t>
            </w:r>
            <w:r>
              <w:rPr>
                <w:rFonts w:hint="eastAsia"/>
                <w:color w:val="auto"/>
                <w:lang w:val="en-US" w:eastAsia="zh-CN"/>
              </w:rPr>
              <w:t>本项目</w:t>
            </w:r>
            <w:r>
              <w:rPr>
                <w:rFonts w:hint="default"/>
                <w:color w:val="auto"/>
                <w:lang w:val="en-US" w:eastAsia="zh-CN"/>
              </w:rPr>
              <w:t>对区域内两栖类的影响较小。主要的影响风险在于以下几点：a、</w:t>
            </w:r>
            <w:r>
              <w:rPr>
                <w:rFonts w:hint="eastAsia"/>
                <w:color w:val="auto"/>
                <w:lang w:val="en-US" w:eastAsia="zh-CN"/>
              </w:rPr>
              <w:t>建构筑物</w:t>
            </w:r>
            <w:r>
              <w:rPr>
                <w:rFonts w:hint="default"/>
                <w:color w:val="auto"/>
                <w:lang w:val="en-US" w:eastAsia="zh-CN"/>
              </w:rPr>
              <w:t>将会产生一定的阻隔效应，影响某些两栖动物的迁移和扩散。b、改变其它生态因子的作用，如植被破坏，栖息地面积会有部分减少等。不过，考虑到这些区域可能影响到的物种均是数量较大的物种，由于这些物种分布广泛，种群数量较高。而且，在整个</w:t>
            </w:r>
            <w:r>
              <w:rPr>
                <w:rFonts w:hint="eastAsia"/>
                <w:color w:val="auto"/>
                <w:lang w:val="en-US" w:eastAsia="zh-CN"/>
              </w:rPr>
              <w:t>项目建设</w:t>
            </w:r>
            <w:r>
              <w:rPr>
                <w:rFonts w:hint="default"/>
                <w:color w:val="auto"/>
                <w:lang w:val="en-US" w:eastAsia="zh-CN"/>
              </w:rPr>
              <w:t>过程中，栖息地的变化是十分有限的，所以在营运期间，并不会因为上述潜在的影响而导致两栖动物的群落结构，或者某些物种的种群产生明显变化。</w:t>
            </w:r>
          </w:p>
          <w:p>
            <w:pPr>
              <w:bidi w:val="0"/>
              <w:rPr>
                <w:rFonts w:hint="default"/>
                <w:color w:val="auto"/>
                <w:lang w:val="en-US" w:eastAsia="zh-CN"/>
              </w:rPr>
            </w:pPr>
            <w:r>
              <w:rPr>
                <w:rFonts w:hint="default"/>
                <w:color w:val="auto"/>
                <w:lang w:val="en-US" w:eastAsia="zh-CN"/>
              </w:rPr>
              <w:t>②对爬行类动物的影响</w:t>
            </w:r>
          </w:p>
          <w:p>
            <w:pPr>
              <w:bidi w:val="0"/>
              <w:rPr>
                <w:rFonts w:hint="default"/>
                <w:color w:val="auto"/>
                <w:lang w:val="en-US" w:eastAsia="zh-CN"/>
              </w:rPr>
            </w:pPr>
            <w:r>
              <w:rPr>
                <w:rFonts w:hint="default"/>
                <w:color w:val="auto"/>
                <w:lang w:val="en-US" w:eastAsia="zh-CN"/>
              </w:rPr>
              <w:t>运行期间主要的影响在于</w:t>
            </w:r>
            <w:r>
              <w:rPr>
                <w:rFonts w:hint="eastAsia"/>
                <w:color w:val="auto"/>
                <w:lang w:val="en-US" w:eastAsia="zh-CN"/>
              </w:rPr>
              <w:t>本项目的建构筑物</w:t>
            </w:r>
            <w:r>
              <w:rPr>
                <w:rFonts w:hint="default"/>
                <w:color w:val="auto"/>
                <w:lang w:val="en-US" w:eastAsia="zh-CN"/>
              </w:rPr>
              <w:t>将会产生一定的阻隔效应，影响某些爬行动物的迁移和扩散。但爬行类的生存状态将很快恢复到项目施工前的状态。作为具有快速移动能力的冷血动物，爬行动物对栖息地的质量要求不高，他们能够很快适应新的栖息环境，使群落结构和种群数量得以恢复。对爬行动物来说，</w:t>
            </w:r>
            <w:r>
              <w:rPr>
                <w:rFonts w:hint="eastAsia"/>
                <w:color w:val="auto"/>
                <w:lang w:val="en-US" w:eastAsia="zh-CN"/>
              </w:rPr>
              <w:t>项目</w:t>
            </w:r>
            <w:r>
              <w:rPr>
                <w:rFonts w:hint="default"/>
                <w:color w:val="auto"/>
                <w:lang w:val="en-US" w:eastAsia="zh-CN"/>
              </w:rPr>
              <w:t>运营后可能引起的改变在于</w:t>
            </w:r>
            <w:r>
              <w:rPr>
                <w:rFonts w:hint="eastAsia"/>
                <w:color w:val="auto"/>
                <w:lang w:val="en-US" w:eastAsia="zh-CN"/>
              </w:rPr>
              <w:t>建构筑物的建设</w:t>
            </w:r>
            <w:r>
              <w:rPr>
                <w:rFonts w:hint="default"/>
                <w:color w:val="auto"/>
                <w:lang w:val="en-US" w:eastAsia="zh-CN"/>
              </w:rPr>
              <w:t>会引起部分原有的栖息地的消失，会对某些物种的种群数量产生影响。但施工结束，一旦评价区内的植被恢复后，这些爬行动物（如蛇类）将很快回到原来的环境内生活。因此，从长远的角度来看，项目的实施和以后的运行不会对爬行动物的群落结构或种群产生明显影响。</w:t>
            </w:r>
          </w:p>
          <w:p>
            <w:pPr>
              <w:bidi w:val="0"/>
              <w:rPr>
                <w:rFonts w:hint="default"/>
                <w:color w:val="auto"/>
                <w:lang w:val="en-US" w:eastAsia="zh-CN"/>
              </w:rPr>
            </w:pPr>
            <w:r>
              <w:rPr>
                <w:rFonts w:hint="default"/>
                <w:color w:val="auto"/>
                <w:lang w:val="en-US" w:eastAsia="zh-CN"/>
              </w:rPr>
              <w:t>③对鸟类的影响</w:t>
            </w:r>
          </w:p>
          <w:p>
            <w:pPr>
              <w:bidi w:val="0"/>
              <w:rPr>
                <w:rFonts w:hint="default"/>
                <w:color w:val="auto"/>
                <w:lang w:val="en-US" w:eastAsia="zh-CN"/>
              </w:rPr>
            </w:pPr>
            <w:r>
              <w:rPr>
                <w:rFonts w:hint="default"/>
                <w:color w:val="auto"/>
                <w:lang w:val="en-US" w:eastAsia="zh-CN"/>
              </w:rPr>
              <w:t>鸟类受</w:t>
            </w:r>
            <w:r>
              <w:rPr>
                <w:rFonts w:hint="eastAsia"/>
                <w:color w:val="auto"/>
                <w:lang w:val="en-US" w:eastAsia="zh-CN"/>
              </w:rPr>
              <w:t>本项目的</w:t>
            </w:r>
            <w:r>
              <w:rPr>
                <w:rFonts w:hint="default"/>
                <w:color w:val="auto"/>
                <w:lang w:val="en-US" w:eastAsia="zh-CN"/>
              </w:rPr>
              <w:t>运行的影响主要有光源污染和噪声干扰。人工的光源改变自然光的节律，有可能会对一些鸟类的发育造成影响，如鸟类的性腺发育、卵壳硬度、孵化率和生长发育周期等。以当项目投入运行后，环境改变可能会导致项目区周边地区的鸟类需要一定的时间来适应新环境。但是总体上来看，项目区各处位置的不会对各种鸟类的产生明显的影响。项目建成后对鸟类影响还有可能表现人为干扰，如人类活动的惊吓、游客驱赶等，潜在增加了人为捕捉鸟类的可能性，这也是对鸟类影响的一个重要方面。这要求景区加强对鸟类保护教育，培养人们的生态行为观念。</w:t>
            </w:r>
          </w:p>
          <w:p>
            <w:pPr>
              <w:bidi w:val="0"/>
              <w:rPr>
                <w:rFonts w:hint="default"/>
                <w:color w:val="auto"/>
                <w:lang w:val="en-US" w:eastAsia="zh-CN"/>
              </w:rPr>
            </w:pPr>
            <w:r>
              <w:rPr>
                <w:rFonts w:hint="default"/>
                <w:color w:val="auto"/>
                <w:lang w:val="en-US" w:eastAsia="zh-CN"/>
              </w:rPr>
              <w:t>④对兽类的影响</w:t>
            </w:r>
          </w:p>
          <w:p>
            <w:pPr>
              <w:bidi w:val="0"/>
              <w:rPr>
                <w:rFonts w:hint="default" w:ascii="Times New Roman" w:hAnsi="Times New Roman" w:eastAsia="宋体" w:cs="Times New Roman"/>
                <w:color w:val="auto"/>
                <w:lang w:val="en-US" w:eastAsia="zh-CN"/>
              </w:rPr>
            </w:pPr>
            <w:r>
              <w:rPr>
                <w:rFonts w:hint="default"/>
                <w:color w:val="auto"/>
                <w:lang w:val="en-US" w:eastAsia="zh-CN"/>
              </w:rPr>
              <w:t>项目建成后，在一定程度上会对一些兽类的扩散起到阻隔作用，因而对其觅食、求偶和繁殖产生一定的影响，但是由于拟建工程面积在山区所占比例较低，不会造成生境的斑块化。加之工程周边地区的生态环境好，工程对原有生境的连接度影响较小。因此，从整体上来看，该工程建成使用后对兽类动物迁徙阻隔的影响作用较小。上述影响主要针对一些和人类活动接触较多的动物类群而言。在项</w:t>
            </w:r>
            <w:r>
              <w:rPr>
                <w:rFonts w:hint="default" w:ascii="Times New Roman" w:hAnsi="Times New Roman" w:eastAsia="宋体" w:cs="Times New Roman"/>
                <w:color w:val="auto"/>
                <w:lang w:val="en-US" w:eastAsia="zh-CN"/>
              </w:rPr>
              <w:t>目区域周围活动的兽类，一般多为一些小型的兽类，它们具有较大环境的适应性，项目建成后可很快恢复种群数量，并适应新的栖息环境。</w:t>
            </w:r>
          </w:p>
          <w:p>
            <w:pPr>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 xml:space="preserve">2 </w:t>
            </w:r>
            <w:r>
              <w:rPr>
                <w:rFonts w:hint="default" w:ascii="Times New Roman" w:hAnsi="Times New Roman" w:eastAsia="宋体" w:cs="Times New Roman"/>
                <w:b/>
                <w:bCs/>
                <w:color w:val="auto"/>
                <w:lang w:val="en-US" w:eastAsia="zh-CN"/>
              </w:rPr>
              <w:t>对</w:t>
            </w:r>
            <w:r>
              <w:rPr>
                <w:rFonts w:hint="eastAsia" w:ascii="Times New Roman" w:hAnsi="Times New Roman" w:eastAsia="宋体" w:cs="Times New Roman"/>
                <w:b/>
                <w:bCs/>
                <w:color w:val="auto"/>
                <w:lang w:val="en-US" w:eastAsia="zh-CN"/>
              </w:rPr>
              <w:t>果子沟-赛里木湖景区</w:t>
            </w:r>
            <w:r>
              <w:rPr>
                <w:rFonts w:hint="default" w:ascii="Times New Roman" w:hAnsi="Times New Roman" w:eastAsia="宋体" w:cs="Times New Roman"/>
                <w:b/>
                <w:bCs/>
                <w:color w:val="auto"/>
                <w:lang w:val="en-US" w:eastAsia="zh-CN"/>
              </w:rPr>
              <w:t>的影响分析</w:t>
            </w:r>
          </w:p>
          <w:p>
            <w:pPr>
              <w:bidi w:val="0"/>
              <w:rPr>
                <w:rFonts w:hint="default"/>
                <w:color w:val="auto"/>
                <w:lang w:val="en-US" w:eastAsia="zh-CN"/>
              </w:rPr>
            </w:pPr>
            <w:r>
              <w:rPr>
                <w:rFonts w:hint="eastAsia"/>
                <w:color w:val="auto"/>
                <w:lang w:val="en-US" w:eastAsia="zh-CN"/>
              </w:rPr>
              <w:t>本项目</w:t>
            </w:r>
            <w:r>
              <w:rPr>
                <w:rFonts w:hint="default"/>
                <w:color w:val="auto"/>
                <w:lang w:val="en-US" w:eastAsia="zh-CN"/>
              </w:rPr>
              <w:t>营</w:t>
            </w:r>
            <w:r>
              <w:rPr>
                <w:rFonts w:hint="default" w:ascii="Times New Roman" w:hAnsi="Times New Roman" w:eastAsia="宋体" w:cs="Times New Roman"/>
                <w:color w:val="auto"/>
                <w:lang w:val="en-US" w:eastAsia="zh-CN"/>
              </w:rPr>
              <w:t>运期对</w:t>
            </w:r>
            <w:r>
              <w:rPr>
                <w:rFonts w:hint="eastAsia" w:ascii="Times New Roman" w:hAnsi="Times New Roman" w:eastAsia="宋体" w:cs="Times New Roman"/>
                <w:color w:val="auto"/>
                <w:lang w:val="en-US" w:eastAsia="zh-CN"/>
              </w:rPr>
              <w:t>果子沟-赛里木湖景区</w:t>
            </w:r>
            <w:r>
              <w:rPr>
                <w:rFonts w:hint="default" w:ascii="Times New Roman" w:hAnsi="Times New Roman" w:eastAsia="宋体" w:cs="Times New Roman"/>
                <w:color w:val="auto"/>
                <w:lang w:val="en-US" w:eastAsia="zh-CN"/>
              </w:rPr>
              <w:t>的可</w:t>
            </w:r>
            <w:r>
              <w:rPr>
                <w:rFonts w:hint="default"/>
                <w:color w:val="auto"/>
                <w:lang w:val="en-US" w:eastAsia="zh-CN"/>
              </w:rPr>
              <w:t>能造成影响主要为</w:t>
            </w:r>
            <w:r>
              <w:rPr>
                <w:rFonts w:hint="eastAsia"/>
                <w:color w:val="auto"/>
                <w:lang w:val="en-US" w:eastAsia="zh-CN"/>
              </w:rPr>
              <w:t>游服设施、商业构筑物及</w:t>
            </w:r>
            <w:r>
              <w:rPr>
                <w:rFonts w:hint="default"/>
                <w:color w:val="auto"/>
                <w:lang w:val="en-US" w:eastAsia="zh-CN"/>
              </w:rPr>
              <w:t>索道架设对附近景观资源的遮挡以及游客增加带来的对景区的污染和破坏。</w:t>
            </w:r>
          </w:p>
          <w:p>
            <w:pPr>
              <w:bidi w:val="0"/>
              <w:rPr>
                <w:rFonts w:hint="default"/>
                <w:color w:val="auto"/>
                <w:lang w:val="en-US" w:eastAsia="zh-CN"/>
              </w:rPr>
            </w:pPr>
            <w:r>
              <w:rPr>
                <w:rFonts w:hint="eastAsia"/>
                <w:color w:val="auto"/>
                <w:lang w:val="en-US" w:eastAsia="zh-CN"/>
              </w:rPr>
              <w:t>本项目在</w:t>
            </w:r>
            <w:r>
              <w:rPr>
                <w:rFonts w:hint="default"/>
                <w:color w:val="auto"/>
                <w:lang w:val="en-US" w:eastAsia="zh-CN"/>
              </w:rPr>
              <w:t>设计</w:t>
            </w:r>
            <w:r>
              <w:rPr>
                <w:rFonts w:hint="eastAsia"/>
                <w:color w:val="auto"/>
                <w:lang w:val="en-US" w:eastAsia="zh-CN"/>
              </w:rPr>
              <w:t>上</w:t>
            </w:r>
            <w:r>
              <w:rPr>
                <w:rFonts w:hint="default"/>
                <w:color w:val="auto"/>
                <w:lang w:val="en-US" w:eastAsia="zh-CN"/>
              </w:rPr>
              <w:t>考虑了</w:t>
            </w:r>
            <w:r>
              <w:rPr>
                <w:rFonts w:hint="eastAsia"/>
                <w:color w:val="auto"/>
                <w:lang w:val="en-US" w:eastAsia="zh-CN"/>
              </w:rPr>
              <w:t>游服设施、商业构筑物、</w:t>
            </w:r>
            <w:r>
              <w:rPr>
                <w:rFonts w:hint="default"/>
                <w:color w:val="auto"/>
                <w:lang w:val="en-US" w:eastAsia="zh-CN"/>
              </w:rPr>
              <w:t>索道线路、</w:t>
            </w:r>
            <w:r>
              <w:rPr>
                <w:rFonts w:hint="eastAsia"/>
                <w:color w:val="auto"/>
                <w:lang w:val="en-US" w:eastAsia="zh-CN"/>
              </w:rPr>
              <w:t>索道</w:t>
            </w:r>
            <w:r>
              <w:rPr>
                <w:rFonts w:hint="default"/>
                <w:color w:val="auto"/>
                <w:lang w:val="en-US" w:eastAsia="zh-CN"/>
              </w:rPr>
              <w:t>上下站房及支架与周围环境的协调，环评要求将</w:t>
            </w:r>
            <w:r>
              <w:rPr>
                <w:rFonts w:hint="eastAsia"/>
                <w:color w:val="auto"/>
                <w:lang w:val="en-US" w:eastAsia="zh-CN"/>
              </w:rPr>
              <w:t>游服设施、商业构筑物索道上下</w:t>
            </w:r>
            <w:r>
              <w:rPr>
                <w:rFonts w:hint="default"/>
                <w:color w:val="auto"/>
                <w:lang w:val="en-US" w:eastAsia="zh-CN"/>
              </w:rPr>
              <w:t>站房的建筑外观按照当地民族风格及景区统一规划进行外观包装，以此将</w:t>
            </w:r>
            <w:r>
              <w:rPr>
                <w:rFonts w:hint="eastAsia"/>
                <w:color w:val="auto"/>
                <w:lang w:val="en-US" w:eastAsia="zh-CN"/>
              </w:rPr>
              <w:t>项目各类建构筑物</w:t>
            </w:r>
            <w:r>
              <w:rPr>
                <w:rFonts w:hint="default"/>
                <w:color w:val="auto"/>
                <w:lang w:val="en-US" w:eastAsia="zh-CN"/>
              </w:rPr>
              <w:t>对景观的视觉污染影响降到最低。</w:t>
            </w:r>
          </w:p>
          <w:p>
            <w:pPr>
              <w:bidi w:val="0"/>
              <w:rPr>
                <w:rFonts w:hint="default" w:ascii="Times New Roman" w:hAnsi="Times New Roman" w:eastAsia="宋体" w:cs="Times New Roman"/>
                <w:color w:val="auto"/>
                <w:lang w:val="en-US" w:eastAsia="zh-CN"/>
              </w:rPr>
            </w:pPr>
            <w:r>
              <w:rPr>
                <w:rFonts w:hint="eastAsia"/>
                <w:color w:val="auto"/>
                <w:lang w:val="en-US" w:eastAsia="zh-CN"/>
              </w:rPr>
              <w:t>本项目</w:t>
            </w:r>
            <w:r>
              <w:rPr>
                <w:rFonts w:hint="default"/>
                <w:color w:val="auto"/>
                <w:lang w:val="en-US" w:eastAsia="zh-CN"/>
              </w:rPr>
              <w:t>运行后，游客量会大大增加，游客的喧哗声及产生的生活垃圾会给景区带来不利影响，景区现有生活垃圾收集处理设施完善，生活垃圾能得到较好的处理，不会产生白色垃圾污染，游客的喧哗声对评价区域动物的影响也不大，况且游客增多后</w:t>
            </w:r>
            <w:r>
              <w:rPr>
                <w:rFonts w:hint="default" w:ascii="Times New Roman" w:hAnsi="Times New Roman" w:eastAsia="宋体" w:cs="Times New Roman"/>
                <w:color w:val="auto"/>
                <w:lang w:val="en-US" w:eastAsia="zh-CN"/>
              </w:rPr>
              <w:t>，景区的管理力度也会随之增加，这就保证了游客的游览活动能得到较好的规范和管理，从而避免出现乱扔垃圾等一些不文明的现象发生。因此，总体而言，工程运营对</w:t>
            </w:r>
            <w:r>
              <w:rPr>
                <w:rFonts w:hint="eastAsia" w:ascii="Times New Roman" w:hAnsi="Times New Roman" w:eastAsia="宋体" w:cs="Times New Roman"/>
                <w:color w:val="auto"/>
                <w:lang w:val="en-US" w:eastAsia="zh-CN"/>
              </w:rPr>
              <w:t>果子沟-赛里木湖景区</w:t>
            </w:r>
            <w:r>
              <w:rPr>
                <w:rFonts w:hint="default" w:ascii="Times New Roman" w:hAnsi="Times New Roman" w:eastAsia="宋体" w:cs="Times New Roman"/>
                <w:color w:val="auto"/>
                <w:lang w:val="en-US" w:eastAsia="zh-CN"/>
              </w:rPr>
              <w:t>中的各类地貌、动植物等景观影响不大。</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因此，综合考虑，工程建设对于景区的影响不大。</w:t>
            </w:r>
          </w:p>
          <w:p>
            <w:pPr>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3 地表</w:t>
            </w:r>
            <w:r>
              <w:rPr>
                <w:rFonts w:hint="default" w:ascii="Times New Roman" w:hAnsi="Times New Roman" w:eastAsia="宋体" w:cs="Times New Roman"/>
                <w:b/>
                <w:bCs/>
                <w:color w:val="auto"/>
                <w:lang w:val="en-US" w:eastAsia="zh-CN"/>
              </w:rPr>
              <w:t>水环境影响分析</w:t>
            </w:r>
          </w:p>
          <w:p>
            <w:pPr>
              <w:bidi w:val="0"/>
              <w:rPr>
                <w:rFonts w:hint="default"/>
                <w:color w:val="auto"/>
              </w:rPr>
            </w:pPr>
            <w:r>
              <w:rPr>
                <w:rFonts w:hint="eastAsia"/>
                <w:color w:val="auto"/>
                <w:lang w:val="en-US" w:eastAsia="zh-CN"/>
              </w:rPr>
              <w:t>根据本项目可研设计，本项目运营期内年接待量最高预计达150万人次，</w:t>
            </w:r>
            <w:r>
              <w:rPr>
                <w:rFonts w:hint="default"/>
                <w:color w:val="auto"/>
              </w:rPr>
              <w:t>项目职工人数为130人。</w:t>
            </w:r>
            <w:r>
              <w:rPr>
                <w:rFonts w:hint="eastAsia"/>
                <w:color w:val="auto"/>
                <w:lang w:val="en-US" w:eastAsia="zh-CN"/>
              </w:rPr>
              <w:t>运营接</w:t>
            </w:r>
            <w:r>
              <w:rPr>
                <w:rFonts w:hint="eastAsia" w:ascii="Times New Roman" w:hAnsi="Times New Roman" w:eastAsia="宋体" w:cs="Times New Roman"/>
                <w:color w:val="auto"/>
                <w:lang w:val="en-US" w:eastAsia="zh-CN"/>
              </w:rPr>
              <w:t>待时间按旅游旺季5-10月计，</w:t>
            </w:r>
            <w:r>
              <w:rPr>
                <w:rFonts w:hint="default" w:ascii="Times New Roman" w:hAnsi="Times New Roman" w:eastAsia="宋体" w:cs="Times New Roman"/>
                <w:color w:val="auto"/>
                <w:lang w:val="en-US" w:eastAsia="zh-CN"/>
              </w:rPr>
              <w:t>其污水排放系数取0.8</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项目供排水情况一览</w:t>
            </w:r>
            <w:r>
              <w:rPr>
                <w:rFonts w:hint="default"/>
                <w:color w:val="auto"/>
              </w:rPr>
              <w:t>表见表</w:t>
            </w:r>
            <w:r>
              <w:rPr>
                <w:rFonts w:hint="eastAsia"/>
                <w:color w:val="auto"/>
                <w:lang w:val="en-US" w:eastAsia="zh-CN"/>
              </w:rPr>
              <w:t>3-1</w:t>
            </w:r>
            <w:r>
              <w:rPr>
                <w:rFonts w:hint="default"/>
                <w:color w:val="auto"/>
              </w:rPr>
              <w:t>。</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b w:val="0"/>
                <w:bCs w:val="0"/>
                <w:color w:val="auto"/>
                <w:sz w:val="24"/>
                <w:szCs w:val="24"/>
              </w:rPr>
            </w:pPr>
            <w:r>
              <w:rPr>
                <w:rFonts w:hint="default"/>
                <w:b w:val="0"/>
                <w:bCs w:val="0"/>
                <w:color w:val="auto"/>
                <w:sz w:val="24"/>
                <w:szCs w:val="24"/>
              </w:rPr>
              <w:t>表</w:t>
            </w:r>
            <w:r>
              <w:rPr>
                <w:rFonts w:hint="eastAsia"/>
                <w:b w:val="0"/>
                <w:bCs w:val="0"/>
                <w:color w:val="auto"/>
                <w:sz w:val="24"/>
                <w:szCs w:val="24"/>
                <w:lang w:val="en-US" w:eastAsia="zh-CN"/>
              </w:rPr>
              <w:t xml:space="preserve">3-1      </w:t>
            </w:r>
            <w:r>
              <w:rPr>
                <w:rFonts w:hint="default"/>
                <w:b w:val="0"/>
                <w:bCs w:val="0"/>
                <w:color w:val="auto"/>
                <w:sz w:val="24"/>
                <w:szCs w:val="24"/>
              </w:rPr>
              <w:t>用排水情况一览表</w:t>
            </w:r>
            <w:r>
              <w:rPr>
                <w:rFonts w:hint="eastAsia"/>
                <w:b w:val="0"/>
                <w:bCs w:val="0"/>
                <w:color w:val="auto"/>
                <w:sz w:val="24"/>
                <w:szCs w:val="24"/>
                <w:lang w:val="en-US" w:eastAsia="zh-CN"/>
              </w:rPr>
              <w:t xml:space="preserve">       </w:t>
            </w:r>
            <w:r>
              <w:rPr>
                <w:rFonts w:hint="default"/>
                <w:b w:val="0"/>
                <w:bCs w:val="0"/>
                <w:color w:val="auto"/>
                <w:sz w:val="24"/>
                <w:szCs w:val="24"/>
              </w:rPr>
              <w:t>单位：</w:t>
            </w:r>
            <w:r>
              <w:rPr>
                <w:rFonts w:hint="eastAsia"/>
                <w:b w:val="0"/>
                <w:bCs w:val="0"/>
                <w:color w:val="auto"/>
                <w:sz w:val="24"/>
                <w:szCs w:val="24"/>
                <w:lang w:eastAsia="zh-CN"/>
              </w:rPr>
              <w:t>m</w:t>
            </w:r>
            <w:r>
              <w:rPr>
                <w:rFonts w:hint="eastAsia"/>
                <w:b w:val="0"/>
                <w:bCs w:val="0"/>
                <w:color w:val="auto"/>
                <w:sz w:val="24"/>
                <w:szCs w:val="24"/>
                <w:vertAlign w:val="superscript"/>
                <w:lang w:eastAsia="zh-CN"/>
              </w:rPr>
              <w:t>3</w:t>
            </w:r>
            <w:r>
              <w:rPr>
                <w:rFonts w:hint="default"/>
                <w:b w:val="0"/>
                <w:bCs w:val="0"/>
                <w:color w:val="auto"/>
                <w:sz w:val="24"/>
                <w:szCs w:val="24"/>
              </w:rPr>
              <w:t>/d</w:t>
            </w:r>
          </w:p>
          <w:tbl>
            <w:tblPr>
              <w:tblStyle w:val="19"/>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59"/>
              <w:gridCol w:w="1215"/>
              <w:gridCol w:w="871"/>
              <w:gridCol w:w="1075"/>
              <w:gridCol w:w="915"/>
              <w:gridCol w:w="973"/>
              <w:gridCol w:w="974"/>
              <w:gridCol w:w="89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552" w:type="pct"/>
                  <w:vMerge w:val="restart"/>
                  <w:tcBorders>
                    <w:tl2br w:val="nil"/>
                    <w:tr2bl w:val="nil"/>
                  </w:tcBorders>
                  <w:vAlign w:val="center"/>
                </w:tcPr>
                <w:p>
                  <w:pPr>
                    <w:pStyle w:val="17"/>
                    <w:bidi w:val="0"/>
                    <w:jc w:val="center"/>
                    <w:rPr>
                      <w:rFonts w:hint="default"/>
                      <w:color w:val="auto"/>
                    </w:rPr>
                  </w:pPr>
                  <w:r>
                    <w:rPr>
                      <w:rFonts w:hint="default"/>
                      <w:color w:val="auto"/>
                    </w:rPr>
                    <w:t>用水单元</w:t>
                  </w:r>
                </w:p>
              </w:tc>
              <w:tc>
                <w:tcPr>
                  <w:tcW w:w="781" w:type="pct"/>
                  <w:vMerge w:val="restart"/>
                  <w:tcBorders>
                    <w:tl2br w:val="nil"/>
                    <w:tr2bl w:val="nil"/>
                  </w:tcBorders>
                  <w:vAlign w:val="center"/>
                </w:tcPr>
                <w:p>
                  <w:pPr>
                    <w:pStyle w:val="17"/>
                    <w:bidi w:val="0"/>
                    <w:jc w:val="center"/>
                    <w:rPr>
                      <w:rFonts w:hint="default"/>
                      <w:color w:val="auto"/>
                    </w:rPr>
                  </w:pPr>
                  <w:r>
                    <w:rPr>
                      <w:rFonts w:hint="default"/>
                      <w:color w:val="auto"/>
                    </w:rPr>
                    <w:t>用水定额</w:t>
                  </w:r>
                </w:p>
              </w:tc>
              <w:tc>
                <w:tcPr>
                  <w:tcW w:w="560" w:type="pct"/>
                  <w:vMerge w:val="restart"/>
                  <w:tcBorders>
                    <w:tl2br w:val="nil"/>
                    <w:tr2bl w:val="nil"/>
                  </w:tcBorders>
                  <w:vAlign w:val="center"/>
                </w:tcPr>
                <w:p>
                  <w:pPr>
                    <w:pStyle w:val="17"/>
                    <w:bidi w:val="0"/>
                    <w:jc w:val="center"/>
                    <w:rPr>
                      <w:rFonts w:hint="default"/>
                      <w:color w:val="auto"/>
                    </w:rPr>
                  </w:pPr>
                  <w:r>
                    <w:rPr>
                      <w:rFonts w:hint="default"/>
                      <w:color w:val="auto"/>
                    </w:rPr>
                    <w:t>年用水</w:t>
                  </w:r>
                </w:p>
                <w:p>
                  <w:pPr>
                    <w:pStyle w:val="17"/>
                    <w:bidi w:val="0"/>
                    <w:jc w:val="center"/>
                    <w:rPr>
                      <w:rFonts w:hint="default"/>
                      <w:color w:val="auto"/>
                    </w:rPr>
                  </w:pPr>
                  <w:r>
                    <w:rPr>
                      <w:rFonts w:hint="default"/>
                      <w:color w:val="auto"/>
                    </w:rPr>
                    <w:t>天数</w:t>
                  </w:r>
                </w:p>
              </w:tc>
              <w:tc>
                <w:tcPr>
                  <w:tcW w:w="691" w:type="pct"/>
                  <w:vMerge w:val="restart"/>
                  <w:tcBorders>
                    <w:tl2br w:val="nil"/>
                    <w:tr2bl w:val="nil"/>
                  </w:tcBorders>
                  <w:vAlign w:val="center"/>
                </w:tcPr>
                <w:p>
                  <w:pPr>
                    <w:pStyle w:val="17"/>
                    <w:bidi w:val="0"/>
                    <w:jc w:val="center"/>
                    <w:rPr>
                      <w:rFonts w:hint="default"/>
                      <w:color w:val="auto"/>
                    </w:rPr>
                  </w:pPr>
                  <w:r>
                    <w:rPr>
                      <w:rFonts w:hint="default"/>
                      <w:color w:val="auto"/>
                    </w:rPr>
                    <w:t>计量基数</w:t>
                  </w:r>
                </w:p>
              </w:tc>
              <w:tc>
                <w:tcPr>
                  <w:tcW w:w="588" w:type="pct"/>
                  <w:tcBorders>
                    <w:tl2br w:val="nil"/>
                    <w:tr2bl w:val="nil"/>
                  </w:tcBorders>
                  <w:vAlign w:val="center"/>
                </w:tcPr>
                <w:p>
                  <w:pPr>
                    <w:pStyle w:val="17"/>
                    <w:bidi w:val="0"/>
                    <w:jc w:val="center"/>
                    <w:rPr>
                      <w:rFonts w:hint="default"/>
                      <w:color w:val="auto"/>
                    </w:rPr>
                  </w:pPr>
                  <w:r>
                    <w:rPr>
                      <w:rFonts w:hint="default"/>
                      <w:color w:val="auto"/>
                    </w:rPr>
                    <w:t>日用水量</w:t>
                  </w:r>
                </w:p>
              </w:tc>
              <w:tc>
                <w:tcPr>
                  <w:tcW w:w="625" w:type="pct"/>
                  <w:tcBorders>
                    <w:tl2br w:val="nil"/>
                    <w:tr2bl w:val="nil"/>
                  </w:tcBorders>
                  <w:vAlign w:val="center"/>
                </w:tcPr>
                <w:p>
                  <w:pPr>
                    <w:pStyle w:val="17"/>
                    <w:bidi w:val="0"/>
                    <w:jc w:val="center"/>
                    <w:rPr>
                      <w:rFonts w:hint="default"/>
                      <w:color w:val="auto"/>
                    </w:rPr>
                  </w:pPr>
                  <w:r>
                    <w:rPr>
                      <w:rFonts w:hint="default"/>
                      <w:color w:val="auto"/>
                    </w:rPr>
                    <w:t>年用水量</w:t>
                  </w:r>
                </w:p>
              </w:tc>
              <w:tc>
                <w:tcPr>
                  <w:tcW w:w="626" w:type="pct"/>
                  <w:tcBorders>
                    <w:tl2br w:val="nil"/>
                    <w:tr2bl w:val="nil"/>
                  </w:tcBorders>
                  <w:vAlign w:val="center"/>
                </w:tcPr>
                <w:p>
                  <w:pPr>
                    <w:pStyle w:val="17"/>
                    <w:bidi w:val="0"/>
                    <w:jc w:val="center"/>
                    <w:rPr>
                      <w:rFonts w:hint="default"/>
                      <w:color w:val="auto"/>
                    </w:rPr>
                  </w:pPr>
                  <w:r>
                    <w:rPr>
                      <w:rFonts w:hint="default"/>
                      <w:color w:val="auto"/>
                    </w:rPr>
                    <w:t>日污水量</w:t>
                  </w:r>
                </w:p>
              </w:tc>
              <w:tc>
                <w:tcPr>
                  <w:tcW w:w="573" w:type="pct"/>
                  <w:tcBorders>
                    <w:tl2br w:val="nil"/>
                    <w:tr2bl w:val="nil"/>
                  </w:tcBorders>
                  <w:vAlign w:val="center"/>
                </w:tcPr>
                <w:p>
                  <w:pPr>
                    <w:pStyle w:val="17"/>
                    <w:bidi w:val="0"/>
                    <w:jc w:val="center"/>
                    <w:rPr>
                      <w:rFonts w:hint="default"/>
                      <w:color w:val="auto"/>
                    </w:rPr>
                  </w:pPr>
                  <w:r>
                    <w:rPr>
                      <w:rFonts w:hint="default"/>
                      <w:color w:val="auto"/>
                    </w:rPr>
                    <w:t>年污水量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2" w:type="pct"/>
                  <w:vMerge w:val="continue"/>
                  <w:tcBorders>
                    <w:tl2br w:val="nil"/>
                    <w:tr2bl w:val="nil"/>
                  </w:tcBorders>
                  <w:vAlign w:val="center"/>
                </w:tcPr>
                <w:p>
                  <w:pPr>
                    <w:pStyle w:val="17"/>
                    <w:bidi w:val="0"/>
                    <w:jc w:val="center"/>
                    <w:rPr>
                      <w:rFonts w:hint="default"/>
                      <w:color w:val="auto"/>
                    </w:rPr>
                  </w:pPr>
                </w:p>
              </w:tc>
              <w:tc>
                <w:tcPr>
                  <w:tcW w:w="781" w:type="pct"/>
                  <w:vMerge w:val="continue"/>
                  <w:tcBorders>
                    <w:tl2br w:val="nil"/>
                    <w:tr2bl w:val="nil"/>
                  </w:tcBorders>
                  <w:vAlign w:val="center"/>
                </w:tcPr>
                <w:p>
                  <w:pPr>
                    <w:pStyle w:val="17"/>
                    <w:bidi w:val="0"/>
                    <w:jc w:val="center"/>
                    <w:rPr>
                      <w:rFonts w:hint="default"/>
                      <w:color w:val="auto"/>
                    </w:rPr>
                  </w:pPr>
                </w:p>
              </w:tc>
              <w:tc>
                <w:tcPr>
                  <w:tcW w:w="560" w:type="pct"/>
                  <w:vMerge w:val="continue"/>
                  <w:tcBorders>
                    <w:tl2br w:val="nil"/>
                    <w:tr2bl w:val="nil"/>
                  </w:tcBorders>
                  <w:vAlign w:val="center"/>
                </w:tcPr>
                <w:p>
                  <w:pPr>
                    <w:pStyle w:val="17"/>
                    <w:bidi w:val="0"/>
                    <w:jc w:val="center"/>
                    <w:rPr>
                      <w:rFonts w:hint="default"/>
                      <w:color w:val="auto"/>
                    </w:rPr>
                  </w:pPr>
                </w:p>
              </w:tc>
              <w:tc>
                <w:tcPr>
                  <w:tcW w:w="691" w:type="pct"/>
                  <w:vMerge w:val="continue"/>
                  <w:tcBorders>
                    <w:tl2br w:val="nil"/>
                    <w:tr2bl w:val="nil"/>
                  </w:tcBorders>
                  <w:vAlign w:val="center"/>
                </w:tcPr>
                <w:p>
                  <w:pPr>
                    <w:pStyle w:val="17"/>
                    <w:bidi w:val="0"/>
                    <w:jc w:val="center"/>
                    <w:rPr>
                      <w:rFonts w:hint="default"/>
                      <w:color w:val="auto"/>
                    </w:rPr>
                  </w:pPr>
                </w:p>
              </w:tc>
              <w:tc>
                <w:tcPr>
                  <w:tcW w:w="588" w:type="pct"/>
                  <w:tcBorders>
                    <w:tl2br w:val="nil"/>
                    <w:tr2bl w:val="nil"/>
                  </w:tcBorders>
                  <w:vAlign w:val="center"/>
                </w:tcPr>
                <w:p>
                  <w:pPr>
                    <w:pStyle w:val="17"/>
                    <w:bidi w:val="0"/>
                    <w:jc w:val="center"/>
                    <w:rPr>
                      <w:rFonts w:hint="default"/>
                      <w:color w:val="auto"/>
                    </w:rPr>
                  </w:pPr>
                  <w:r>
                    <w:rPr>
                      <w:rFonts w:hint="eastAsia"/>
                      <w:color w:val="auto"/>
                      <w:lang w:eastAsia="zh-CN"/>
                    </w:rPr>
                    <w:t>m</w:t>
                  </w:r>
                  <w:r>
                    <w:rPr>
                      <w:rFonts w:hint="eastAsia"/>
                      <w:color w:val="auto"/>
                      <w:vertAlign w:val="superscript"/>
                      <w:lang w:eastAsia="zh-CN"/>
                    </w:rPr>
                    <w:t>3</w:t>
                  </w:r>
                  <w:r>
                    <w:rPr>
                      <w:rFonts w:hint="default"/>
                      <w:color w:val="auto"/>
                    </w:rPr>
                    <w:t>/d</w:t>
                  </w:r>
                </w:p>
              </w:tc>
              <w:tc>
                <w:tcPr>
                  <w:tcW w:w="625" w:type="pct"/>
                  <w:tcBorders>
                    <w:tl2br w:val="nil"/>
                    <w:tr2bl w:val="nil"/>
                  </w:tcBorders>
                  <w:vAlign w:val="center"/>
                </w:tcPr>
                <w:p>
                  <w:pPr>
                    <w:pStyle w:val="17"/>
                    <w:bidi w:val="0"/>
                    <w:jc w:val="center"/>
                    <w:rPr>
                      <w:rFonts w:hint="default"/>
                      <w:color w:val="auto"/>
                    </w:rPr>
                  </w:pPr>
                  <w:r>
                    <w:rPr>
                      <w:rFonts w:hint="eastAsia"/>
                      <w:color w:val="auto"/>
                      <w:lang w:eastAsia="zh-CN"/>
                    </w:rPr>
                    <w:t>m</w:t>
                  </w:r>
                  <w:r>
                    <w:rPr>
                      <w:rFonts w:hint="eastAsia"/>
                      <w:color w:val="auto"/>
                      <w:vertAlign w:val="superscript"/>
                      <w:lang w:eastAsia="zh-CN"/>
                    </w:rPr>
                    <w:t>3</w:t>
                  </w:r>
                  <w:r>
                    <w:rPr>
                      <w:rFonts w:hint="default"/>
                      <w:color w:val="auto"/>
                    </w:rPr>
                    <w:t>/a</w:t>
                  </w:r>
                </w:p>
              </w:tc>
              <w:tc>
                <w:tcPr>
                  <w:tcW w:w="626" w:type="pct"/>
                  <w:tcBorders>
                    <w:tl2br w:val="nil"/>
                    <w:tr2bl w:val="nil"/>
                  </w:tcBorders>
                  <w:vAlign w:val="center"/>
                </w:tcPr>
                <w:p>
                  <w:pPr>
                    <w:pStyle w:val="17"/>
                    <w:bidi w:val="0"/>
                    <w:jc w:val="center"/>
                    <w:rPr>
                      <w:rFonts w:hint="default"/>
                      <w:color w:val="auto"/>
                    </w:rPr>
                  </w:pPr>
                  <w:r>
                    <w:rPr>
                      <w:rFonts w:hint="eastAsia"/>
                      <w:color w:val="auto"/>
                      <w:lang w:eastAsia="zh-CN"/>
                    </w:rPr>
                    <w:t>m</w:t>
                  </w:r>
                  <w:r>
                    <w:rPr>
                      <w:rFonts w:hint="eastAsia"/>
                      <w:color w:val="auto"/>
                      <w:vertAlign w:val="superscript"/>
                      <w:lang w:eastAsia="zh-CN"/>
                    </w:rPr>
                    <w:t>3</w:t>
                  </w:r>
                  <w:r>
                    <w:rPr>
                      <w:rFonts w:hint="default"/>
                      <w:color w:val="auto"/>
                    </w:rPr>
                    <w:t>/d</w:t>
                  </w:r>
                </w:p>
              </w:tc>
              <w:tc>
                <w:tcPr>
                  <w:tcW w:w="573" w:type="pct"/>
                  <w:tcBorders>
                    <w:tl2br w:val="nil"/>
                    <w:tr2bl w:val="nil"/>
                  </w:tcBorders>
                  <w:vAlign w:val="center"/>
                </w:tcPr>
                <w:p>
                  <w:pPr>
                    <w:pStyle w:val="17"/>
                    <w:bidi w:val="0"/>
                    <w:jc w:val="center"/>
                    <w:rPr>
                      <w:rFonts w:hint="default"/>
                      <w:color w:val="auto"/>
                    </w:rPr>
                  </w:pPr>
                  <w:r>
                    <w:rPr>
                      <w:rFonts w:hint="eastAsia"/>
                      <w:color w:val="auto"/>
                      <w:lang w:eastAsia="zh-CN"/>
                    </w:rPr>
                    <w:t>m</w:t>
                  </w:r>
                  <w:r>
                    <w:rPr>
                      <w:rFonts w:hint="eastAsia"/>
                      <w:color w:val="auto"/>
                      <w:vertAlign w:val="superscript"/>
                      <w:lang w:eastAsia="zh-CN"/>
                    </w:rPr>
                    <w:t>3</w:t>
                  </w:r>
                  <w:r>
                    <w:rPr>
                      <w:rFonts w:hint="default"/>
                      <w:color w:val="auto"/>
                    </w:rPr>
                    <w: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52" w:type="pct"/>
                  <w:tcBorders>
                    <w:tl2br w:val="nil"/>
                    <w:tr2bl w:val="nil"/>
                  </w:tcBorders>
                  <w:vAlign w:val="center"/>
                </w:tcPr>
                <w:p>
                  <w:pPr>
                    <w:pStyle w:val="17"/>
                    <w:bidi w:val="0"/>
                    <w:jc w:val="center"/>
                    <w:rPr>
                      <w:rFonts w:hint="default"/>
                      <w:color w:val="auto"/>
                    </w:rPr>
                  </w:pPr>
                  <w:r>
                    <w:rPr>
                      <w:rFonts w:hint="default"/>
                      <w:color w:val="auto"/>
                    </w:rPr>
                    <w:t>职工</w:t>
                  </w:r>
                </w:p>
              </w:tc>
              <w:tc>
                <w:tcPr>
                  <w:tcW w:w="781" w:type="pct"/>
                  <w:tcBorders>
                    <w:tl2br w:val="nil"/>
                    <w:tr2bl w:val="nil"/>
                  </w:tcBorders>
                  <w:vAlign w:val="center"/>
                </w:tcPr>
                <w:p>
                  <w:pPr>
                    <w:pStyle w:val="17"/>
                    <w:bidi w:val="0"/>
                    <w:jc w:val="center"/>
                    <w:rPr>
                      <w:rFonts w:hint="default"/>
                      <w:color w:val="auto"/>
                    </w:rPr>
                  </w:pPr>
                  <w:r>
                    <w:rPr>
                      <w:rFonts w:hint="default"/>
                      <w:color w:val="auto"/>
                    </w:rPr>
                    <w:t>60L/（人•天）</w:t>
                  </w:r>
                </w:p>
              </w:tc>
              <w:tc>
                <w:tcPr>
                  <w:tcW w:w="560" w:type="pct"/>
                  <w:tcBorders>
                    <w:tl2br w:val="nil"/>
                    <w:tr2bl w:val="nil"/>
                  </w:tcBorders>
                  <w:vAlign w:val="center"/>
                </w:tcPr>
                <w:p>
                  <w:pPr>
                    <w:pStyle w:val="17"/>
                    <w:bidi w:val="0"/>
                    <w:jc w:val="center"/>
                    <w:rPr>
                      <w:rFonts w:hint="default"/>
                      <w:color w:val="auto"/>
                    </w:rPr>
                  </w:pPr>
                  <w:r>
                    <w:rPr>
                      <w:rFonts w:hint="default"/>
                      <w:color w:val="auto"/>
                    </w:rPr>
                    <w:t>180天</w:t>
                  </w:r>
                </w:p>
              </w:tc>
              <w:tc>
                <w:tcPr>
                  <w:tcW w:w="691" w:type="pct"/>
                  <w:tcBorders>
                    <w:tl2br w:val="nil"/>
                    <w:tr2bl w:val="nil"/>
                  </w:tcBorders>
                  <w:vAlign w:val="center"/>
                </w:tcPr>
                <w:p>
                  <w:pPr>
                    <w:pStyle w:val="17"/>
                    <w:bidi w:val="0"/>
                    <w:jc w:val="center"/>
                    <w:rPr>
                      <w:rFonts w:hint="default"/>
                      <w:color w:val="auto"/>
                    </w:rPr>
                  </w:pPr>
                  <w:r>
                    <w:rPr>
                      <w:rFonts w:hint="default"/>
                      <w:color w:val="auto"/>
                    </w:rPr>
                    <w:t>130人/d</w:t>
                  </w:r>
                </w:p>
              </w:tc>
              <w:tc>
                <w:tcPr>
                  <w:tcW w:w="588"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7.8</w:t>
                  </w:r>
                </w:p>
              </w:tc>
              <w:tc>
                <w:tcPr>
                  <w:tcW w:w="625"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1404</w:t>
                  </w:r>
                </w:p>
              </w:tc>
              <w:tc>
                <w:tcPr>
                  <w:tcW w:w="626"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6.24</w:t>
                  </w:r>
                </w:p>
              </w:tc>
              <w:tc>
                <w:tcPr>
                  <w:tcW w:w="573" w:type="pct"/>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1123.2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52" w:type="pct"/>
                  <w:tcBorders>
                    <w:tl2br w:val="nil"/>
                    <w:tr2bl w:val="nil"/>
                  </w:tcBorders>
                  <w:vAlign w:val="center"/>
                </w:tcPr>
                <w:p>
                  <w:pPr>
                    <w:pStyle w:val="17"/>
                    <w:bidi w:val="0"/>
                    <w:jc w:val="center"/>
                    <w:rPr>
                      <w:rFonts w:hint="default"/>
                      <w:color w:val="auto"/>
                    </w:rPr>
                  </w:pPr>
                  <w:r>
                    <w:rPr>
                      <w:rFonts w:hint="default"/>
                      <w:color w:val="auto"/>
                    </w:rPr>
                    <w:t>游客</w:t>
                  </w:r>
                </w:p>
              </w:tc>
              <w:tc>
                <w:tcPr>
                  <w:tcW w:w="781" w:type="pct"/>
                  <w:tcBorders>
                    <w:tl2br w:val="nil"/>
                    <w:tr2bl w:val="nil"/>
                  </w:tcBorders>
                  <w:vAlign w:val="center"/>
                </w:tcPr>
                <w:p>
                  <w:pPr>
                    <w:pStyle w:val="17"/>
                    <w:bidi w:val="0"/>
                    <w:jc w:val="center"/>
                    <w:rPr>
                      <w:rFonts w:hint="default"/>
                      <w:color w:val="auto"/>
                    </w:rPr>
                  </w:pPr>
                  <w:r>
                    <w:rPr>
                      <w:rFonts w:hint="default"/>
                      <w:color w:val="auto"/>
                    </w:rPr>
                    <w:t>10L/人</w:t>
                  </w:r>
                </w:p>
              </w:tc>
              <w:tc>
                <w:tcPr>
                  <w:tcW w:w="560" w:type="pct"/>
                  <w:tcBorders>
                    <w:tl2br w:val="nil"/>
                    <w:tr2bl w:val="nil"/>
                  </w:tcBorders>
                  <w:vAlign w:val="center"/>
                </w:tcPr>
                <w:p>
                  <w:pPr>
                    <w:pStyle w:val="17"/>
                    <w:bidi w:val="0"/>
                    <w:jc w:val="center"/>
                    <w:rPr>
                      <w:rFonts w:hint="default"/>
                      <w:color w:val="auto"/>
                    </w:rPr>
                  </w:pPr>
                  <w:r>
                    <w:rPr>
                      <w:rFonts w:hint="default"/>
                      <w:color w:val="auto"/>
                    </w:rPr>
                    <w:t>180天</w:t>
                  </w:r>
                </w:p>
              </w:tc>
              <w:tc>
                <w:tcPr>
                  <w:tcW w:w="691" w:type="pct"/>
                  <w:tcBorders>
                    <w:tl2br w:val="nil"/>
                    <w:tr2bl w:val="nil"/>
                  </w:tcBorders>
                  <w:vAlign w:val="center"/>
                </w:tcPr>
                <w:p>
                  <w:pPr>
                    <w:pStyle w:val="17"/>
                    <w:bidi w:val="0"/>
                    <w:jc w:val="center"/>
                    <w:rPr>
                      <w:rFonts w:hint="default"/>
                      <w:color w:val="auto"/>
                    </w:rPr>
                  </w:pPr>
                  <w:r>
                    <w:rPr>
                      <w:rFonts w:hint="eastAsia"/>
                      <w:color w:val="auto"/>
                      <w:lang w:val="en-US" w:eastAsia="zh-CN"/>
                    </w:rPr>
                    <w:t>4110</w:t>
                  </w:r>
                  <w:r>
                    <w:rPr>
                      <w:rFonts w:hint="default"/>
                      <w:color w:val="auto"/>
                    </w:rPr>
                    <w:t>人/d</w:t>
                  </w:r>
                </w:p>
              </w:tc>
              <w:tc>
                <w:tcPr>
                  <w:tcW w:w="588" w:type="pct"/>
                  <w:tcBorders>
                    <w:tl2br w:val="nil"/>
                    <w:tr2bl w:val="nil"/>
                  </w:tcBorders>
                  <w:vAlign w:val="center"/>
                </w:tcPr>
                <w:p>
                  <w:pPr>
                    <w:pStyle w:val="17"/>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41.1</w:t>
                  </w:r>
                </w:p>
              </w:tc>
              <w:tc>
                <w:tcPr>
                  <w:tcW w:w="625" w:type="pct"/>
                  <w:tcBorders>
                    <w:tl2br w:val="nil"/>
                    <w:tr2bl w:val="nil"/>
                  </w:tcBorders>
                  <w:vAlign w:val="center"/>
                </w:tcPr>
                <w:p>
                  <w:pPr>
                    <w:pStyle w:val="17"/>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7398</w:t>
                  </w:r>
                </w:p>
              </w:tc>
              <w:tc>
                <w:tcPr>
                  <w:tcW w:w="626" w:type="pct"/>
                  <w:tcBorders>
                    <w:tl2br w:val="nil"/>
                    <w:tr2bl w:val="nil"/>
                  </w:tcBorders>
                  <w:vAlign w:val="center"/>
                </w:tcPr>
                <w:p>
                  <w:pPr>
                    <w:pStyle w:val="17"/>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32.88</w:t>
                  </w:r>
                </w:p>
              </w:tc>
              <w:tc>
                <w:tcPr>
                  <w:tcW w:w="573" w:type="pct"/>
                  <w:tcBorders>
                    <w:tl2br w:val="nil"/>
                    <w:tr2bl w:val="nil"/>
                  </w:tcBorders>
                  <w:vAlign w:val="center"/>
                </w:tcPr>
                <w:p>
                  <w:pPr>
                    <w:pStyle w:val="17"/>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5918.4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552" w:type="pct"/>
                  <w:tcBorders>
                    <w:tl2br w:val="nil"/>
                    <w:tr2bl w:val="nil"/>
                  </w:tcBorders>
                  <w:vAlign w:val="center"/>
                </w:tcPr>
                <w:p>
                  <w:pPr>
                    <w:pStyle w:val="17"/>
                    <w:bidi w:val="0"/>
                    <w:jc w:val="center"/>
                    <w:rPr>
                      <w:rFonts w:hint="default"/>
                      <w:color w:val="auto"/>
                    </w:rPr>
                  </w:pPr>
                </w:p>
              </w:tc>
              <w:tc>
                <w:tcPr>
                  <w:tcW w:w="781" w:type="pct"/>
                  <w:tcBorders>
                    <w:tl2br w:val="nil"/>
                    <w:tr2bl w:val="nil"/>
                  </w:tcBorders>
                  <w:vAlign w:val="center"/>
                </w:tcPr>
                <w:p>
                  <w:pPr>
                    <w:pStyle w:val="17"/>
                    <w:bidi w:val="0"/>
                    <w:jc w:val="center"/>
                    <w:rPr>
                      <w:rFonts w:hint="default"/>
                      <w:color w:val="auto"/>
                    </w:rPr>
                  </w:pPr>
                  <w:r>
                    <w:rPr>
                      <w:rFonts w:hint="default"/>
                      <w:color w:val="auto"/>
                    </w:rPr>
                    <w:t>合计</w:t>
                  </w:r>
                </w:p>
              </w:tc>
              <w:tc>
                <w:tcPr>
                  <w:tcW w:w="560" w:type="pct"/>
                  <w:tcBorders>
                    <w:tl2br w:val="nil"/>
                    <w:tr2bl w:val="nil"/>
                  </w:tcBorders>
                  <w:vAlign w:val="center"/>
                </w:tcPr>
                <w:p>
                  <w:pPr>
                    <w:pStyle w:val="17"/>
                    <w:bidi w:val="0"/>
                    <w:jc w:val="center"/>
                    <w:rPr>
                      <w:rFonts w:hint="default"/>
                      <w:color w:val="auto"/>
                    </w:rPr>
                  </w:pPr>
                </w:p>
              </w:tc>
              <w:tc>
                <w:tcPr>
                  <w:tcW w:w="691" w:type="pct"/>
                  <w:tcBorders>
                    <w:tl2br w:val="nil"/>
                    <w:tr2bl w:val="nil"/>
                  </w:tcBorders>
                  <w:vAlign w:val="center"/>
                </w:tcPr>
                <w:p>
                  <w:pPr>
                    <w:pStyle w:val="17"/>
                    <w:bidi w:val="0"/>
                    <w:jc w:val="center"/>
                    <w:rPr>
                      <w:rFonts w:hint="default"/>
                      <w:color w:val="auto"/>
                    </w:rPr>
                  </w:pPr>
                </w:p>
              </w:tc>
              <w:tc>
                <w:tcPr>
                  <w:tcW w:w="588" w:type="pct"/>
                  <w:tcBorders>
                    <w:tl2br w:val="nil"/>
                    <w:tr2bl w:val="nil"/>
                  </w:tcBorders>
                  <w:vAlign w:val="center"/>
                </w:tcPr>
                <w:p>
                  <w:pPr>
                    <w:pStyle w:val="17"/>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48.9</w:t>
                  </w:r>
                </w:p>
              </w:tc>
              <w:tc>
                <w:tcPr>
                  <w:tcW w:w="625" w:type="pct"/>
                  <w:tcBorders>
                    <w:tl2br w:val="nil"/>
                    <w:tr2bl w:val="nil"/>
                  </w:tcBorders>
                  <w:vAlign w:val="center"/>
                </w:tcPr>
                <w:p>
                  <w:pPr>
                    <w:pStyle w:val="17"/>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8802</w:t>
                  </w:r>
                </w:p>
              </w:tc>
              <w:tc>
                <w:tcPr>
                  <w:tcW w:w="626" w:type="pct"/>
                  <w:tcBorders>
                    <w:tl2br w:val="nil"/>
                    <w:tr2bl w:val="nil"/>
                  </w:tcBorders>
                  <w:vAlign w:val="center"/>
                </w:tcPr>
                <w:p>
                  <w:pPr>
                    <w:pStyle w:val="17"/>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39.12</w:t>
                  </w:r>
                </w:p>
              </w:tc>
              <w:tc>
                <w:tcPr>
                  <w:tcW w:w="573" w:type="pct"/>
                  <w:tcBorders>
                    <w:tl2br w:val="nil"/>
                    <w:tr2bl w:val="nil"/>
                  </w:tcBorders>
                  <w:vAlign w:val="center"/>
                </w:tcPr>
                <w:p>
                  <w:pPr>
                    <w:pStyle w:val="17"/>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7041.6</w:t>
                  </w:r>
                </w:p>
              </w:tc>
            </w:tr>
          </w:tbl>
          <w:p>
            <w:pPr>
              <w:bidi w:val="0"/>
              <w:rPr>
                <w:rFonts w:hint="default"/>
                <w:color w:val="auto"/>
              </w:rPr>
            </w:pPr>
            <w:r>
              <w:rPr>
                <w:rFonts w:hint="default" w:ascii="Times New Roman" w:hAnsi="Times New Roman" w:eastAsia="宋体" w:cs="Times New Roman"/>
                <w:color w:val="auto"/>
              </w:rPr>
              <w:t>项目运营期废水主要为</w:t>
            </w:r>
            <w:r>
              <w:rPr>
                <w:rFonts w:hint="eastAsia" w:ascii="Times New Roman" w:hAnsi="Times New Roman" w:eastAsia="宋体" w:cs="Times New Roman"/>
                <w:color w:val="auto"/>
                <w:lang w:val="en-US" w:eastAsia="zh-CN"/>
              </w:rPr>
              <w:t>职工和游客</w:t>
            </w:r>
            <w:r>
              <w:rPr>
                <w:rFonts w:hint="default" w:ascii="Times New Roman" w:hAnsi="Times New Roman" w:eastAsia="宋体" w:cs="Times New Roman"/>
                <w:color w:val="auto"/>
              </w:rPr>
              <w:t>生活污水</w:t>
            </w:r>
            <w:r>
              <w:rPr>
                <w:rFonts w:hint="eastAsia" w:ascii="Times New Roman" w:hAnsi="Times New Roman" w:eastAsia="宋体" w:cs="Times New Roman"/>
                <w:color w:val="auto"/>
                <w:lang w:val="en-US" w:eastAsia="zh-CN"/>
              </w:rPr>
              <w:t>和餐饮废水</w:t>
            </w:r>
            <w:r>
              <w:rPr>
                <w:rFonts w:hint="default" w:ascii="Times New Roman" w:hAnsi="Times New Roman" w:eastAsia="宋体" w:cs="Times New Roman"/>
                <w:color w:val="auto"/>
              </w:rPr>
              <w:t>，生活污水产生量为</w:t>
            </w:r>
            <w:r>
              <w:rPr>
                <w:rFonts w:hint="eastAsia" w:ascii="Times New Roman" w:hAnsi="Times New Roman" w:eastAsia="宋体" w:cs="Times New Roman"/>
                <w:color w:val="auto"/>
                <w:lang w:val="en-US" w:eastAsia="zh-CN"/>
              </w:rPr>
              <w:t>7041.6</w:t>
            </w:r>
            <w:r>
              <w:rPr>
                <w:rFonts w:hint="eastAsia" w:ascii="Times New Roman" w:hAnsi="Times New Roman" w:eastAsia="宋体" w:cs="Times New Roman"/>
                <w:color w:val="auto"/>
                <w:lang w:eastAsia="zh-CN"/>
              </w:rPr>
              <w:t>m</w:t>
            </w:r>
            <w:r>
              <w:rPr>
                <w:rFonts w:hint="eastAsia"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a</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39.12</w:t>
            </w:r>
            <w:r>
              <w:rPr>
                <w:rFonts w:hint="eastAsia" w:ascii="Times New Roman" w:hAnsi="Times New Roman" w:eastAsia="宋体" w:cs="Times New Roman"/>
                <w:color w:val="auto"/>
                <w:lang w:eastAsia="zh-CN"/>
              </w:rPr>
              <w:t>m</w:t>
            </w:r>
            <w:r>
              <w:rPr>
                <w:rFonts w:hint="eastAsia"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/d）。生活污水</w:t>
            </w:r>
            <w:r>
              <w:rPr>
                <w:rFonts w:hint="eastAsia" w:ascii="Times New Roman" w:hAnsi="Times New Roman" w:eastAsia="宋体" w:cs="Times New Roman"/>
                <w:color w:val="auto"/>
                <w:lang w:val="en-US" w:eastAsia="zh-CN"/>
              </w:rPr>
              <w:t>污染物浓度为</w:t>
            </w:r>
            <w:r>
              <w:rPr>
                <w:rFonts w:hint="default" w:ascii="Times New Roman" w:hAnsi="Times New Roman" w:eastAsia="宋体" w:cs="Times New Roman"/>
                <w:color w:val="auto"/>
              </w:rPr>
              <w:t>：COD</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350mg/L、BOD</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5200mg/L、SS</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220mg/L、</w:t>
            </w:r>
            <w:r>
              <w:rPr>
                <w:rFonts w:hint="eastAsia" w:ascii="Times New Roman" w:hAnsi="Times New Roman" w:eastAsia="宋体" w:cs="Times New Roman"/>
                <w:color w:val="auto"/>
                <w:lang w:eastAsia="zh-CN"/>
              </w:rPr>
              <w:t>NH</w:t>
            </w:r>
            <w:r>
              <w:rPr>
                <w:rFonts w:hint="eastAsia" w:ascii="Times New Roman" w:hAnsi="Times New Roman" w:eastAsia="宋体" w:cs="Times New Roman"/>
                <w:color w:val="auto"/>
                <w:vertAlign w:val="subscript"/>
                <w:lang w:eastAsia="zh-CN"/>
              </w:rPr>
              <w:t>3</w:t>
            </w:r>
            <w:r>
              <w:rPr>
                <w:rFonts w:hint="default" w:ascii="Times New Roman" w:hAnsi="Times New Roman" w:eastAsia="宋体" w:cs="Times New Roman"/>
                <w:color w:val="auto"/>
              </w:rPr>
              <w:t>-N</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35mg/L</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动植物油2000</w:t>
            </w:r>
            <w:r>
              <w:rPr>
                <w:rFonts w:hint="default" w:ascii="Times New Roman" w:hAnsi="Times New Roman" w:eastAsia="宋体" w:cs="Times New Roman"/>
                <w:color w:val="auto"/>
              </w:rPr>
              <w:t>mg/L。项目所在区域位于</w:t>
            </w:r>
            <w:r>
              <w:rPr>
                <w:rFonts w:hint="eastAsia" w:ascii="Times New Roman" w:hAnsi="Times New Roman" w:eastAsia="宋体" w:cs="Times New Roman"/>
                <w:color w:val="auto"/>
                <w:lang w:eastAsia="zh-CN"/>
              </w:rPr>
              <w:t>风景区</w:t>
            </w:r>
            <w:r>
              <w:rPr>
                <w:rFonts w:hint="default" w:ascii="Times New Roman" w:hAnsi="Times New Roman" w:eastAsia="宋体" w:cs="Times New Roman"/>
                <w:color w:val="auto"/>
              </w:rPr>
              <w:t>，属于</w:t>
            </w:r>
            <w:r>
              <w:rPr>
                <w:rFonts w:hint="eastAsia" w:ascii="Times New Roman" w:hAnsi="Times New Roman" w:eastAsia="宋体" w:cs="Times New Roman"/>
                <w:color w:val="auto"/>
                <w:lang w:val="en-US" w:eastAsia="zh-CN"/>
              </w:rPr>
              <w:t>生态环境较敏感</w:t>
            </w:r>
            <w:r>
              <w:rPr>
                <w:rFonts w:hint="default" w:ascii="Times New Roman" w:hAnsi="Times New Roman" w:eastAsia="宋体" w:cs="Times New Roman"/>
                <w:color w:val="auto"/>
              </w:rPr>
              <w:t>区，不当排污可能造成景</w:t>
            </w:r>
            <w:r>
              <w:rPr>
                <w:rFonts w:hint="default"/>
                <w:color w:val="auto"/>
              </w:rPr>
              <w:t>区的污染。</w:t>
            </w:r>
          </w:p>
          <w:p>
            <w:pPr>
              <w:bidi w:val="0"/>
              <w:rPr>
                <w:rFonts w:hint="default" w:ascii="Times New Roman" w:hAnsi="Times New Roman" w:eastAsia="宋体" w:cs="Times New Roman"/>
                <w:color w:val="auto"/>
              </w:rPr>
            </w:pPr>
            <w:r>
              <w:rPr>
                <w:rFonts w:hint="eastAsia"/>
                <w:color w:val="auto"/>
                <w:lang w:val="en-US" w:eastAsia="zh-CN"/>
              </w:rPr>
              <w:t>本</w:t>
            </w:r>
            <w:r>
              <w:rPr>
                <w:rFonts w:hint="default"/>
                <w:color w:val="auto"/>
              </w:rPr>
              <w:t>项目</w:t>
            </w:r>
            <w:r>
              <w:rPr>
                <w:rFonts w:hint="eastAsia"/>
                <w:color w:val="auto"/>
                <w:lang w:val="en-US" w:eastAsia="zh-CN"/>
              </w:rPr>
              <w:t>运营期餐饮废水采用隔油池处理后，与</w:t>
            </w:r>
            <w:r>
              <w:rPr>
                <w:rFonts w:hint="default"/>
                <w:color w:val="auto"/>
              </w:rPr>
              <w:t>生活污水</w:t>
            </w:r>
            <w:r>
              <w:rPr>
                <w:rFonts w:hint="eastAsia"/>
                <w:color w:val="auto"/>
                <w:lang w:val="en-US" w:eastAsia="zh-CN"/>
              </w:rPr>
              <w:t>一同</w:t>
            </w:r>
            <w:r>
              <w:rPr>
                <w:rFonts w:hint="default"/>
                <w:color w:val="auto"/>
              </w:rPr>
              <w:t>经地埋式一体化污水处理设施处理，</w:t>
            </w:r>
            <w:r>
              <w:rPr>
                <w:rFonts w:hint="eastAsia"/>
                <w:color w:val="auto"/>
                <w:lang w:val="en-US" w:eastAsia="zh-CN"/>
              </w:rPr>
              <w:t>处理后污水满足</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污水综合排放标准</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GB</w:t>
            </w:r>
            <w:r>
              <w:rPr>
                <w:rFonts w:hint="eastAsia" w:ascii="Times New Roman" w:hAnsi="Times New Roman" w:eastAsia="宋体" w:cs="Times New Roman"/>
                <w:color w:val="auto"/>
                <w:kern w:val="2"/>
                <w:sz w:val="24"/>
                <w:szCs w:val="24"/>
                <w:lang w:val="en-US" w:eastAsia="zh-CN" w:bidi="ar-SA"/>
              </w:rPr>
              <w:t>8978</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1996）三级标准，</w:t>
            </w:r>
            <w:r>
              <w:rPr>
                <w:rFonts w:hint="eastAsia"/>
                <w:color w:val="auto"/>
                <w:lang w:val="en-US" w:eastAsia="zh-CN"/>
              </w:rPr>
              <w:t>定期由吸污车清运至当地生活污水处理厂处理，待</w:t>
            </w:r>
            <w:r>
              <w:rPr>
                <w:rFonts w:cs="Times New Roman"/>
                <w:kern w:val="0"/>
                <w:szCs w:val="24"/>
              </w:rPr>
              <w:t>果</w:t>
            </w:r>
            <w:r>
              <w:rPr>
                <w:rFonts w:hint="eastAsia" w:cs="Times New Roman"/>
                <w:kern w:val="0"/>
                <w:szCs w:val="24"/>
                <w:lang w:val="en-US" w:eastAsia="zh-CN"/>
              </w:rPr>
              <w:t>赛</w:t>
            </w:r>
            <w:r>
              <w:rPr>
                <w:rFonts w:cs="Times New Roman"/>
                <w:kern w:val="0"/>
                <w:szCs w:val="24"/>
              </w:rPr>
              <w:t>景区</w:t>
            </w:r>
            <w:r>
              <w:rPr>
                <w:rFonts w:hint="eastAsia" w:cs="Times New Roman"/>
                <w:kern w:val="0"/>
                <w:szCs w:val="24"/>
                <w:lang w:val="en-US" w:eastAsia="zh-CN"/>
              </w:rPr>
              <w:t>污水处理厂建成后运至景区污水处理厂处理</w:t>
            </w:r>
            <w:r>
              <w:rPr>
                <w:rFonts w:hint="default"/>
                <w:color w:val="auto"/>
              </w:rPr>
              <w:t>。废水严禁未经处理直接外排，为防止废水下渗对地下水的污染，在废水收集、处置、排污管道设计的施工中应严格执行防渗措施，防止废水沿途泄漏，</w:t>
            </w:r>
            <w:r>
              <w:rPr>
                <w:rFonts w:hint="default" w:ascii="Times New Roman" w:hAnsi="Times New Roman" w:eastAsia="宋体" w:cs="Times New Roman"/>
                <w:color w:val="auto"/>
              </w:rPr>
              <w:t>项目运营期污水对水环境影响较小。</w:t>
            </w:r>
          </w:p>
          <w:p>
            <w:pPr>
              <w:bidi w:val="0"/>
              <w:ind w:left="0" w:leftChars="0" w:firstLine="0" w:firstLineChars="0"/>
              <w:rPr>
                <w:rFonts w:hint="eastAsia" w:ascii="Times New Roman" w:hAnsi="Times New Roman" w:eastAsia="宋体" w:cs="Times New Roman"/>
                <w:b/>
                <w:bCs/>
                <w:color w:val="auto"/>
                <w:lang w:eastAsia="zh-CN"/>
              </w:rPr>
            </w:pPr>
            <w:r>
              <w:rPr>
                <w:rFonts w:hint="eastAsia" w:ascii="Times New Roman" w:hAnsi="Times New Roman" w:eastAsia="宋体" w:cs="Times New Roman"/>
                <w:b/>
                <w:bCs/>
                <w:color w:val="auto"/>
                <w:lang w:val="en-US" w:eastAsia="zh-CN"/>
              </w:rPr>
              <w:t xml:space="preserve">4 </w:t>
            </w:r>
            <w:r>
              <w:rPr>
                <w:rFonts w:hint="eastAsia" w:ascii="Times New Roman" w:hAnsi="Times New Roman" w:eastAsia="宋体" w:cs="Times New Roman"/>
                <w:b/>
                <w:bCs/>
                <w:color w:val="auto"/>
                <w:lang w:eastAsia="zh-CN"/>
              </w:rPr>
              <w:t>地下水</w:t>
            </w:r>
            <w:r>
              <w:rPr>
                <w:rFonts w:hint="eastAsia" w:ascii="Times New Roman" w:hAnsi="Times New Roman" w:eastAsia="宋体" w:cs="Times New Roman"/>
                <w:b/>
                <w:bCs/>
                <w:color w:val="auto"/>
                <w:lang w:val="en-US" w:eastAsia="zh-CN"/>
              </w:rPr>
              <w:t>环境</w:t>
            </w:r>
            <w:r>
              <w:rPr>
                <w:rFonts w:hint="eastAsia" w:ascii="Times New Roman" w:hAnsi="Times New Roman" w:eastAsia="宋体" w:cs="Times New Roman"/>
                <w:b/>
                <w:bCs/>
                <w:color w:val="auto"/>
                <w:lang w:eastAsia="zh-CN"/>
              </w:rPr>
              <w:t>影响分析</w:t>
            </w:r>
          </w:p>
          <w:p>
            <w:pPr>
              <w:bidi w:val="0"/>
              <w:rPr>
                <w:rFonts w:hint="default" w:ascii="Times New Roman" w:hAnsi="Times New Roman" w:eastAsia="宋体" w:cs="Times New Roman"/>
                <w:color w:val="auto"/>
                <w:lang w:val="en-US" w:eastAsia="zh-CN"/>
              </w:rPr>
            </w:pPr>
            <w:r>
              <w:rPr>
                <w:rFonts w:hint="eastAsia" w:cs="Times New Roman"/>
                <w:color w:val="auto"/>
                <w:lang w:val="en-US" w:eastAsia="zh-CN"/>
              </w:rPr>
              <w:t>本项目地下水污染源主要为污水处理设施。</w:t>
            </w:r>
          </w:p>
          <w:p>
            <w:pPr>
              <w:bidi w:val="0"/>
              <w:rPr>
                <w:rFonts w:hint="eastAsia"/>
                <w:color w:val="auto"/>
                <w:lang w:eastAsia="zh-CN"/>
              </w:rPr>
            </w:pPr>
            <w:r>
              <w:rPr>
                <w:rFonts w:hint="eastAsia" w:ascii="Times New Roman" w:hAnsi="Times New Roman" w:eastAsia="宋体" w:cs="Times New Roman"/>
                <w:color w:val="auto"/>
                <w:lang w:eastAsia="zh-CN"/>
              </w:rPr>
              <w:t>1）正常工况下地下水影</w:t>
            </w:r>
            <w:r>
              <w:rPr>
                <w:rFonts w:hint="eastAsia"/>
                <w:color w:val="auto"/>
                <w:lang w:eastAsia="zh-CN"/>
              </w:rPr>
              <w:t>响分析</w:t>
            </w:r>
          </w:p>
          <w:p>
            <w:pPr>
              <w:bidi w:val="0"/>
              <w:rPr>
                <w:rFonts w:hint="eastAsia"/>
                <w:color w:val="auto"/>
                <w:lang w:eastAsia="zh-CN"/>
              </w:rPr>
            </w:pPr>
            <w:r>
              <w:rPr>
                <w:rFonts w:hint="eastAsia"/>
                <w:color w:val="auto"/>
                <w:lang w:eastAsia="zh-CN"/>
              </w:rPr>
              <w:t>本项目</w:t>
            </w:r>
            <w:r>
              <w:rPr>
                <w:rFonts w:hint="eastAsia"/>
                <w:color w:val="auto"/>
                <w:lang w:val="en-US" w:eastAsia="zh-CN"/>
              </w:rPr>
              <w:t>餐饮废水采用隔油池处理后，与</w:t>
            </w:r>
            <w:r>
              <w:rPr>
                <w:rFonts w:hint="default"/>
                <w:color w:val="auto"/>
              </w:rPr>
              <w:t>生活污水</w:t>
            </w:r>
            <w:r>
              <w:rPr>
                <w:rFonts w:hint="eastAsia"/>
                <w:color w:val="auto"/>
                <w:lang w:val="en-US" w:eastAsia="zh-CN"/>
              </w:rPr>
              <w:t>一同</w:t>
            </w:r>
            <w:r>
              <w:rPr>
                <w:rFonts w:hint="default"/>
                <w:color w:val="auto"/>
              </w:rPr>
              <w:t>经地埋式一体化污水处理设施处理，</w:t>
            </w:r>
            <w:r>
              <w:rPr>
                <w:rFonts w:hint="eastAsia"/>
                <w:color w:val="auto"/>
                <w:lang w:val="en-US" w:eastAsia="zh-CN"/>
              </w:rPr>
              <w:t>处理后废水定期由吸污车清运至当地生活污水处理厂</w:t>
            </w:r>
            <w:r>
              <w:rPr>
                <w:rFonts w:hint="eastAsia"/>
                <w:color w:val="auto"/>
                <w:lang w:eastAsia="zh-CN"/>
              </w:rPr>
              <w:t>，</w:t>
            </w:r>
            <w:r>
              <w:rPr>
                <w:rFonts w:hint="eastAsia"/>
                <w:color w:val="auto"/>
                <w:lang w:val="en-US" w:eastAsia="zh-CN"/>
              </w:rPr>
              <w:t>待</w:t>
            </w:r>
            <w:r>
              <w:rPr>
                <w:rFonts w:cs="Times New Roman"/>
                <w:kern w:val="0"/>
                <w:szCs w:val="24"/>
              </w:rPr>
              <w:t>果</w:t>
            </w:r>
            <w:r>
              <w:rPr>
                <w:rFonts w:hint="eastAsia" w:cs="Times New Roman"/>
                <w:kern w:val="0"/>
                <w:szCs w:val="24"/>
                <w:lang w:val="en-US" w:eastAsia="zh-CN"/>
              </w:rPr>
              <w:t>赛</w:t>
            </w:r>
            <w:r>
              <w:rPr>
                <w:rFonts w:cs="Times New Roman"/>
                <w:kern w:val="0"/>
                <w:szCs w:val="24"/>
              </w:rPr>
              <w:t>景区</w:t>
            </w:r>
            <w:r>
              <w:rPr>
                <w:rFonts w:hint="eastAsia" w:cs="Times New Roman"/>
                <w:kern w:val="0"/>
                <w:szCs w:val="24"/>
                <w:lang w:val="en-US" w:eastAsia="zh-CN"/>
              </w:rPr>
              <w:t>污水处理厂建成后运至景区污水处理厂处理，</w:t>
            </w:r>
            <w:r>
              <w:rPr>
                <w:rFonts w:hint="eastAsia"/>
                <w:color w:val="auto"/>
                <w:lang w:eastAsia="zh-CN"/>
              </w:rPr>
              <w:t>不存在外排行为。正常状况下，在采取相应的防渗及保护措施后项目运营期间不会对评价区内的地下水水质产生影响。防渗措施主要为：</w:t>
            </w:r>
          </w:p>
          <w:p>
            <w:pPr>
              <w:bidi w:val="0"/>
              <w:rPr>
                <w:rFonts w:hint="eastAsia"/>
                <w:color w:val="auto"/>
                <w:lang w:eastAsia="zh-CN"/>
              </w:rPr>
            </w:pPr>
            <w:r>
              <w:rPr>
                <w:rFonts w:hint="eastAsia"/>
                <w:color w:val="auto"/>
                <w:lang w:eastAsia="zh-CN"/>
              </w:rPr>
              <w:t>①基底处理</w:t>
            </w:r>
          </w:p>
          <w:p>
            <w:pPr>
              <w:bidi w:val="0"/>
              <w:rPr>
                <w:rFonts w:hint="eastAsia"/>
                <w:color w:val="auto"/>
                <w:lang w:eastAsia="zh-CN"/>
              </w:rPr>
            </w:pPr>
            <w:r>
              <w:rPr>
                <w:rFonts w:hint="eastAsia"/>
                <w:color w:val="auto"/>
                <w:lang w:eastAsia="zh-CN"/>
              </w:rPr>
              <w:t>开挖基坑后，先对基底整平、夯实，进行20cm厚碎石填筑，在碎石上用30cm厚粘土进行压实，采用小型打夯机进行夯实。</w:t>
            </w:r>
          </w:p>
          <w:p>
            <w:pPr>
              <w:bidi w:val="0"/>
              <w:rPr>
                <w:rFonts w:hint="eastAsia"/>
                <w:color w:val="auto"/>
                <w:lang w:eastAsia="zh-CN"/>
              </w:rPr>
            </w:pPr>
            <w:r>
              <w:rPr>
                <w:rFonts w:hint="eastAsia"/>
                <w:color w:val="auto"/>
                <w:lang w:eastAsia="zh-CN"/>
              </w:rPr>
              <w:t>②防渗材料</w:t>
            </w:r>
          </w:p>
          <w:p>
            <w:pPr>
              <w:bidi w:val="0"/>
              <w:rPr>
                <w:rFonts w:hint="eastAsia"/>
                <w:color w:val="auto"/>
                <w:lang w:eastAsia="zh-CN"/>
              </w:rPr>
            </w:pPr>
            <w:r>
              <w:rPr>
                <w:rFonts w:hint="eastAsia"/>
                <w:color w:val="auto"/>
                <w:lang w:eastAsia="zh-CN"/>
              </w:rPr>
              <w:t>防渗材料选择抗渗钢筋混凝土+1.5mm厚高密度聚乙烯（HDPE）膜，对储存池进行防渗铺设，铺设自池壁放至坡底。</w:t>
            </w:r>
          </w:p>
          <w:p>
            <w:pPr>
              <w:bidi w:val="0"/>
              <w:rPr>
                <w:rFonts w:hint="eastAsia"/>
                <w:color w:val="auto"/>
                <w:lang w:eastAsia="zh-CN"/>
              </w:rPr>
            </w:pPr>
            <w:r>
              <w:rPr>
                <w:rFonts w:hint="eastAsia"/>
                <w:color w:val="auto"/>
                <w:lang w:eastAsia="zh-CN"/>
              </w:rPr>
              <w:t>2）事故状态下环境影响评价</w:t>
            </w:r>
          </w:p>
          <w:p>
            <w:pPr>
              <w:bidi w:val="0"/>
              <w:rPr>
                <w:rFonts w:hint="eastAsia"/>
                <w:color w:val="auto"/>
                <w:lang w:eastAsia="zh-CN"/>
              </w:rPr>
            </w:pPr>
            <w:r>
              <w:rPr>
                <w:rFonts w:hint="eastAsia"/>
                <w:color w:val="auto"/>
                <w:lang w:eastAsia="zh-CN"/>
              </w:rPr>
              <w:t>事故状态下，生活污水将对地下水产生一定影响。</w:t>
            </w:r>
          </w:p>
          <w:p>
            <w:pPr>
              <w:bidi w:val="0"/>
              <w:rPr>
                <w:rFonts w:hint="eastAsia"/>
                <w:color w:val="auto"/>
                <w:lang w:eastAsia="zh-CN"/>
              </w:rPr>
            </w:pPr>
            <w:r>
              <w:rPr>
                <w:rFonts w:hint="eastAsia"/>
                <w:color w:val="auto"/>
                <w:lang w:eastAsia="zh-CN"/>
              </w:rPr>
              <w:t>①可能出现的事故情况及针对措施</w:t>
            </w:r>
          </w:p>
          <w:p>
            <w:pPr>
              <w:bidi w:val="0"/>
              <w:rPr>
                <w:rFonts w:hint="eastAsia"/>
                <w:color w:val="auto"/>
                <w:lang w:eastAsia="zh-CN"/>
              </w:rPr>
            </w:pPr>
            <w:r>
              <w:rPr>
                <w:rFonts w:hint="eastAsia"/>
                <w:color w:val="auto"/>
                <w:lang w:eastAsia="zh-CN"/>
              </w:rPr>
              <w:t>地震破坏：地震发生时可能产生砂土液化现象，或撕裂局部的防渗膜，但这种可能性极小。环评要求防渗膜下方铺设粘土层（K≤10-7cm/s），以起到缓冲的保护作用。</w:t>
            </w:r>
          </w:p>
          <w:p>
            <w:pPr>
              <w:bidi w:val="0"/>
              <w:rPr>
                <w:rFonts w:hint="eastAsia" w:ascii="Times New Roman" w:hAnsi="Times New Roman" w:eastAsia="宋体" w:cs="Times New Roman"/>
                <w:color w:val="auto"/>
                <w:lang w:eastAsia="zh-CN"/>
              </w:rPr>
            </w:pPr>
            <w:r>
              <w:rPr>
                <w:rFonts w:hint="eastAsia"/>
                <w:color w:val="auto"/>
                <w:lang w:eastAsia="zh-CN"/>
              </w:rPr>
              <w:t>防渗膜破损：据有关资料，防渗膜应用于水库、沟渠、垃圾场等设施历史较长，尚未有污染事例，只要选购HDPE防渗膜时把好第一道关口，即施工中精心粘结</w:t>
            </w:r>
            <w:r>
              <w:rPr>
                <w:rFonts w:hint="eastAsia" w:ascii="Times New Roman" w:hAnsi="Times New Roman" w:eastAsia="宋体" w:cs="Times New Roman"/>
                <w:color w:val="auto"/>
                <w:lang w:eastAsia="zh-CN"/>
              </w:rPr>
              <w:t>，作业时避免对其过分碾压等，就可避免对其的损坏。</w:t>
            </w:r>
          </w:p>
          <w:p>
            <w:pPr>
              <w:bidi w:val="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②事故情况下对地下水环境影响分析</w:t>
            </w:r>
          </w:p>
          <w:p>
            <w:pPr>
              <w:bidi w:val="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本项目一旦发生以上事故情况，废水将穿过防渗层进入地下水，对地下水环境会造成影响。平时强化维护，加强管理，发现问题及时处理。一旦发生渗漏事故，必须要及时处理，以减轻对地下水环境的影响。</w:t>
            </w:r>
          </w:p>
          <w:p>
            <w:pPr>
              <w:bidi w:val="0"/>
              <w:ind w:left="0" w:leftChars="0" w:firstLine="0" w:firstLineChars="0"/>
              <w:rPr>
                <w:rFonts w:hint="eastAsia" w:ascii="Times New Roman" w:hAnsi="Times New Roman" w:eastAsia="宋体" w:cs="Times New Roman"/>
                <w:b/>
                <w:bCs/>
                <w:color w:val="auto"/>
                <w:lang w:eastAsia="zh-CN"/>
              </w:rPr>
            </w:pPr>
            <w:r>
              <w:rPr>
                <w:rFonts w:hint="eastAsia" w:ascii="Times New Roman" w:hAnsi="Times New Roman" w:eastAsia="宋体" w:cs="Times New Roman"/>
                <w:b/>
                <w:bCs/>
                <w:color w:val="auto"/>
                <w:lang w:val="en-US" w:eastAsia="zh-CN"/>
              </w:rPr>
              <w:t xml:space="preserve">5 </w:t>
            </w:r>
            <w:r>
              <w:rPr>
                <w:rFonts w:hint="eastAsia" w:ascii="Times New Roman" w:hAnsi="Times New Roman" w:eastAsia="宋体" w:cs="Times New Roman"/>
                <w:b/>
                <w:bCs/>
                <w:color w:val="auto"/>
                <w:lang w:eastAsia="zh-CN"/>
              </w:rPr>
              <w:t>大气环境影响分析</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建设项目建成后，索道采用电力驱动，冬季</w:t>
            </w:r>
            <w:r>
              <w:rPr>
                <w:rFonts w:hint="eastAsia" w:ascii="Times New Roman" w:hAnsi="Times New Roman" w:eastAsia="宋体" w:cs="Times New Roman"/>
                <w:color w:val="auto"/>
                <w:lang w:val="en-US" w:eastAsia="zh-CN"/>
              </w:rPr>
              <w:t>采用电采</w:t>
            </w:r>
            <w:r>
              <w:rPr>
                <w:rFonts w:hint="eastAsia" w:ascii="Times New Roman" w:hAnsi="Times New Roman" w:eastAsia="宋体" w:cs="Times New Roman"/>
                <w:color w:val="auto"/>
                <w:lang w:eastAsia="zh-CN"/>
              </w:rPr>
              <w:t>暖，</w:t>
            </w:r>
            <w:r>
              <w:rPr>
                <w:rFonts w:hint="eastAsia" w:ascii="Times New Roman" w:hAnsi="Times New Roman" w:eastAsia="宋体" w:cs="Times New Roman"/>
                <w:color w:val="auto"/>
                <w:lang w:val="en-US" w:eastAsia="zh-CN"/>
              </w:rPr>
              <w:t>运营期间本项目大气污染主要来源于餐厅饮食油烟、污水处理设施和生活垃圾恶臭。</w:t>
            </w:r>
          </w:p>
          <w:p>
            <w:pPr>
              <w:numPr>
                <w:ilvl w:val="0"/>
                <w:numId w:val="5"/>
              </w:numPr>
              <w:bidi w:val="0"/>
              <w:ind w:left="240" w:leftChars="100" w:firstLine="240" w:firstLineChars="1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饮食油烟</w:t>
            </w:r>
          </w:p>
          <w:p>
            <w:pPr>
              <w:numPr>
                <w:ilvl w:val="0"/>
                <w:numId w:val="0"/>
              </w:numPr>
              <w:bidi w:val="0"/>
              <w:ind w:firstLine="480" w:firstLineChars="200"/>
              <w:rPr>
                <w:rFonts w:hint="eastAsia" w:ascii="Times New Roman" w:hAnsi="Times New Roman"/>
                <w:color w:val="auto"/>
                <w:highlight w:val="none"/>
                <w:lang w:val="zh-CN" w:eastAsia="zh-CN"/>
              </w:rPr>
            </w:pPr>
            <w:r>
              <w:rPr>
                <w:rFonts w:hint="eastAsia" w:ascii="Times New Roman" w:hAnsi="Times New Roman" w:eastAsia="宋体" w:cs="Times New Roman"/>
                <w:color w:val="auto"/>
                <w:lang w:val="en-US" w:eastAsia="zh-CN"/>
              </w:rPr>
              <w:t>本项目商业餐吧主要安排在索道上站（果赛景区-三台关），根据设计餐吧日就餐人数最大量为500人次。由</w:t>
            </w:r>
            <w:r>
              <w:rPr>
                <w:rFonts w:hint="default" w:ascii="Times New Roman" w:hAnsi="Times New Roman" w:eastAsia="宋体" w:cs="Times New Roman"/>
                <w:color w:val="auto"/>
                <w:lang w:val="zh-CN" w:eastAsia="zh-CN"/>
              </w:rPr>
              <w:t>相关资料可知，食用油用量平均可按0.03kg/人·天计，则本项目日耗油量为</w:t>
            </w:r>
            <w:r>
              <w:rPr>
                <w:rFonts w:hint="eastAsia" w:ascii="Times New Roman" w:hAnsi="Times New Roman" w:eastAsia="宋体" w:cs="Times New Roman"/>
                <w:color w:val="auto"/>
                <w:lang w:val="en-US" w:eastAsia="zh-CN"/>
              </w:rPr>
              <w:t>15</w:t>
            </w:r>
            <w:r>
              <w:rPr>
                <w:rFonts w:hint="default" w:ascii="Times New Roman" w:hAnsi="Times New Roman" w:eastAsia="宋体" w:cs="Times New Roman"/>
                <w:color w:val="auto"/>
                <w:lang w:val="zh-CN" w:eastAsia="zh-CN"/>
              </w:rPr>
              <w:t>kg/d。据类比调查，不同的烧炸工况，油烟气中烟气浓度及挥发量均有所不同，平均来说，油的挥发量占总耗油量的2%～4%之间，取其平均值3%计算，本项</w:t>
            </w:r>
            <w:r>
              <w:rPr>
                <w:rFonts w:hint="default" w:ascii="Times New Roman" w:hAnsi="Times New Roman"/>
                <w:color w:val="auto"/>
                <w:highlight w:val="none"/>
                <w:lang w:val="zh-CN" w:eastAsia="zh-CN"/>
              </w:rPr>
              <w:t>目日产生油烟量为</w:t>
            </w:r>
            <w:r>
              <w:rPr>
                <w:rFonts w:hint="default" w:ascii="Times New Roman" w:hAnsi="Times New Roman"/>
                <w:color w:val="auto"/>
                <w:highlight w:val="none"/>
                <w:lang w:val="en-US" w:eastAsia="zh-CN"/>
              </w:rPr>
              <w:t>0.</w:t>
            </w:r>
            <w:r>
              <w:rPr>
                <w:rFonts w:hint="eastAsia" w:ascii="Times New Roman" w:hAnsi="Times New Roman"/>
                <w:color w:val="auto"/>
                <w:highlight w:val="none"/>
                <w:lang w:val="en-US" w:eastAsia="zh-CN"/>
              </w:rPr>
              <w:t>45</w:t>
            </w:r>
            <w:r>
              <w:rPr>
                <w:rFonts w:hint="default" w:ascii="Times New Roman" w:hAnsi="Times New Roman"/>
                <w:color w:val="auto"/>
                <w:highlight w:val="none"/>
                <w:lang w:val="en-US" w:eastAsia="zh-CN"/>
              </w:rPr>
              <w:t>k</w:t>
            </w:r>
            <w:r>
              <w:rPr>
                <w:rFonts w:hint="default" w:ascii="Times New Roman" w:hAnsi="Times New Roman"/>
                <w:color w:val="auto"/>
                <w:highlight w:val="none"/>
                <w:lang w:val="zh-CN" w:eastAsia="zh-CN"/>
              </w:rPr>
              <w:t>g/d，</w:t>
            </w:r>
            <w:r>
              <w:rPr>
                <w:rFonts w:hint="default" w:ascii="Times New Roman" w:hAnsi="Times New Roman" w:cs="Times New Roman"/>
                <w:color w:val="auto"/>
              </w:rPr>
              <w:t>按日高峰期</w:t>
            </w:r>
            <w:r>
              <w:rPr>
                <w:rFonts w:hint="eastAsia" w:ascii="Times New Roman" w:hAnsi="Times New Roman" w:cs="Times New Roman"/>
                <w:color w:val="auto"/>
                <w:lang w:val="en-US" w:eastAsia="zh-CN"/>
              </w:rPr>
              <w:t>8</w:t>
            </w:r>
            <w:r>
              <w:rPr>
                <w:rFonts w:hint="default" w:ascii="Times New Roman" w:hAnsi="Times New Roman" w:cs="Times New Roman"/>
                <w:color w:val="auto"/>
              </w:rPr>
              <w:t>小时计，</w:t>
            </w:r>
            <w:r>
              <w:rPr>
                <w:rFonts w:hint="default" w:ascii="Times New Roman" w:hAnsi="Times New Roman"/>
                <w:color w:val="auto"/>
                <w:highlight w:val="none"/>
                <w:lang w:val="zh-CN" w:eastAsia="zh-CN"/>
              </w:rPr>
              <w:t>风机的排风量为</w:t>
            </w:r>
            <w:r>
              <w:rPr>
                <w:rFonts w:hint="eastAsia" w:ascii="Times New Roman" w:hAnsi="Times New Roman"/>
                <w:color w:val="auto"/>
                <w:highlight w:val="none"/>
                <w:lang w:val="en-US" w:eastAsia="zh-CN"/>
              </w:rPr>
              <w:t>30</w:t>
            </w:r>
            <w:r>
              <w:rPr>
                <w:rFonts w:hint="default" w:ascii="Times New Roman" w:hAnsi="Times New Roman"/>
                <w:color w:val="auto"/>
                <w:highlight w:val="none"/>
                <w:lang w:val="zh-CN" w:eastAsia="zh-CN"/>
              </w:rPr>
              <w:t>00</w:t>
            </w:r>
            <w:r>
              <w:rPr>
                <w:rFonts w:hint="default" w:ascii="Times New Roman" w:hAnsi="Times New Roman"/>
                <w:color w:val="auto"/>
                <w:highlight w:val="none"/>
                <w:lang w:val="en-GB" w:eastAsia="zh-CN"/>
              </w:rPr>
              <w:t>m</w:t>
            </w:r>
            <w:r>
              <w:rPr>
                <w:rFonts w:hint="default" w:ascii="Times New Roman" w:hAnsi="Times New Roman"/>
                <w:color w:val="auto"/>
                <w:highlight w:val="none"/>
                <w:vertAlign w:val="superscript"/>
                <w:lang w:val="en-GB" w:eastAsia="zh-CN"/>
              </w:rPr>
              <w:t>3</w:t>
            </w:r>
            <w:r>
              <w:rPr>
                <w:rFonts w:hint="default" w:ascii="Times New Roman" w:hAnsi="Times New Roman"/>
                <w:color w:val="auto"/>
                <w:highlight w:val="none"/>
                <w:lang w:val="zh-CN" w:eastAsia="zh-CN"/>
              </w:rPr>
              <w:t>/h，则油烟的产生浓度约为</w:t>
            </w:r>
            <w:r>
              <w:rPr>
                <w:rFonts w:hint="eastAsia" w:ascii="Times New Roman" w:hAnsi="Times New Roman"/>
                <w:color w:val="auto"/>
                <w:highlight w:val="none"/>
                <w:lang w:val="en-US" w:eastAsia="zh-CN"/>
              </w:rPr>
              <w:t>18.75</w:t>
            </w:r>
            <w:r>
              <w:rPr>
                <w:rFonts w:hint="default" w:ascii="Times New Roman" w:hAnsi="Times New Roman"/>
                <w:color w:val="auto"/>
                <w:highlight w:val="none"/>
                <w:lang w:val="zh-CN" w:eastAsia="zh-CN"/>
              </w:rPr>
              <w:t>mg/</w:t>
            </w:r>
            <w:r>
              <w:rPr>
                <w:rFonts w:hint="default" w:ascii="Times New Roman" w:hAnsi="Times New Roman"/>
                <w:color w:val="auto"/>
                <w:highlight w:val="none"/>
                <w:lang w:val="en-GB" w:eastAsia="zh-CN"/>
              </w:rPr>
              <w:t>m</w:t>
            </w:r>
            <w:r>
              <w:rPr>
                <w:rFonts w:hint="default" w:ascii="Times New Roman" w:hAnsi="Times New Roman"/>
                <w:color w:val="auto"/>
                <w:highlight w:val="none"/>
                <w:vertAlign w:val="superscript"/>
                <w:lang w:val="en-GB" w:eastAsia="zh-CN"/>
              </w:rPr>
              <w:t>3</w:t>
            </w:r>
            <w:r>
              <w:rPr>
                <w:rFonts w:hint="default" w:ascii="Times New Roman" w:hAnsi="Times New Roman"/>
                <w:color w:val="auto"/>
                <w:highlight w:val="none"/>
                <w:lang w:val="zh-CN" w:eastAsia="zh-CN"/>
              </w:rPr>
              <w:t>，食堂</w:t>
            </w:r>
            <w:r>
              <w:rPr>
                <w:rFonts w:hint="eastAsia" w:ascii="Times New Roman" w:hAnsi="Times New Roman"/>
                <w:color w:val="auto"/>
                <w:highlight w:val="none"/>
                <w:lang w:val="en-US" w:eastAsia="zh-CN"/>
              </w:rPr>
              <w:t>应</w:t>
            </w:r>
            <w:r>
              <w:rPr>
                <w:rFonts w:hint="default" w:ascii="Times New Roman" w:hAnsi="Times New Roman"/>
                <w:color w:val="auto"/>
                <w:highlight w:val="none"/>
                <w:lang w:val="zh-CN" w:eastAsia="zh-CN"/>
              </w:rPr>
              <w:t>安装去除效率不小于</w:t>
            </w:r>
            <w:r>
              <w:rPr>
                <w:rFonts w:hint="eastAsia" w:ascii="Times New Roman" w:hAnsi="Times New Roman"/>
                <w:color w:val="auto"/>
                <w:highlight w:val="none"/>
                <w:lang w:val="en-US" w:eastAsia="zh-CN"/>
              </w:rPr>
              <w:t>90</w:t>
            </w:r>
            <w:r>
              <w:rPr>
                <w:rFonts w:hint="default" w:ascii="Times New Roman" w:hAnsi="Times New Roman"/>
                <w:color w:val="auto"/>
                <w:highlight w:val="none"/>
                <w:lang w:val="zh-CN" w:eastAsia="zh-CN"/>
              </w:rPr>
              <w:t>%的油烟净化装置，油烟经</w:t>
            </w:r>
            <w:r>
              <w:rPr>
                <w:rFonts w:hint="eastAsia" w:ascii="Times New Roman" w:hAnsi="Times New Roman"/>
                <w:color w:val="auto"/>
                <w:highlight w:val="none"/>
                <w:lang w:val="en-US" w:eastAsia="zh-CN"/>
              </w:rPr>
              <w:t>净化装置</w:t>
            </w:r>
            <w:r>
              <w:rPr>
                <w:rFonts w:hint="default" w:ascii="Times New Roman" w:hAnsi="Times New Roman"/>
                <w:color w:val="auto"/>
                <w:highlight w:val="none"/>
                <w:lang w:val="zh-CN" w:eastAsia="zh-CN"/>
              </w:rPr>
              <w:t>处理后，排放浓度为</w:t>
            </w:r>
            <w:r>
              <w:rPr>
                <w:rFonts w:hint="eastAsia" w:ascii="Times New Roman" w:hAnsi="Times New Roman"/>
                <w:color w:val="auto"/>
                <w:highlight w:val="none"/>
                <w:lang w:val="en-US" w:eastAsia="zh-CN"/>
              </w:rPr>
              <w:t>1.87</w:t>
            </w:r>
            <w:r>
              <w:rPr>
                <w:rFonts w:hint="default" w:ascii="Times New Roman" w:hAnsi="Times New Roman"/>
                <w:color w:val="auto"/>
                <w:highlight w:val="none"/>
                <w:lang w:val="zh-CN" w:eastAsia="zh-CN"/>
              </w:rPr>
              <w:t>mg/</w:t>
            </w:r>
            <w:r>
              <w:rPr>
                <w:rFonts w:hint="default" w:ascii="Times New Roman" w:hAnsi="Times New Roman"/>
                <w:color w:val="auto"/>
                <w:highlight w:val="none"/>
                <w:lang w:val="en-GB" w:eastAsia="zh-CN"/>
              </w:rPr>
              <w:t>m</w:t>
            </w:r>
            <w:r>
              <w:rPr>
                <w:rFonts w:hint="default" w:ascii="Times New Roman" w:hAnsi="Times New Roman"/>
                <w:color w:val="auto"/>
                <w:highlight w:val="none"/>
                <w:vertAlign w:val="superscript"/>
                <w:lang w:val="en-GB" w:eastAsia="zh-CN"/>
              </w:rPr>
              <w:t>3</w:t>
            </w:r>
            <w:r>
              <w:rPr>
                <w:rFonts w:hint="default" w:ascii="Times New Roman" w:hAnsi="Times New Roman"/>
                <w:color w:val="auto"/>
                <w:highlight w:val="none"/>
                <w:lang w:val="zh-CN" w:eastAsia="zh-CN"/>
              </w:rPr>
              <w:t>，排放量为</w:t>
            </w:r>
            <w:r>
              <w:rPr>
                <w:rFonts w:hint="eastAsia" w:ascii="Times New Roman" w:hAnsi="Times New Roman"/>
                <w:color w:val="auto"/>
                <w:highlight w:val="none"/>
                <w:lang w:val="en-US" w:eastAsia="zh-CN"/>
              </w:rPr>
              <w:t>0.006kg/h</w:t>
            </w:r>
            <w:r>
              <w:rPr>
                <w:rFonts w:hint="default" w:ascii="Times New Roman" w:hAnsi="Times New Roman"/>
                <w:color w:val="auto"/>
                <w:highlight w:val="none"/>
                <w:lang w:val="zh-CN" w:eastAsia="zh-CN"/>
              </w:rPr>
              <w:t>，经专用烟道高于屋顶排放</w:t>
            </w:r>
            <w:r>
              <w:rPr>
                <w:rFonts w:hint="eastAsia" w:ascii="Times New Roman" w:hAnsi="Times New Roman"/>
                <w:color w:val="auto"/>
                <w:highlight w:val="none"/>
                <w:lang w:val="zh-CN" w:eastAsia="zh-CN"/>
              </w:rPr>
              <w:t>。</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（2）污水处理设施和生活垃圾恶臭</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地埋式一体化污水处理设施均设置于地下，为密闭设施，地面上方采取植被恢复，定期由吸污车进行清运；游客及职工生活垃圾做到日产日清。本项目污水处理设施和生活垃圾恶臭产生量极小，恶臭对周边环境影响忽略不计。</w:t>
            </w:r>
          </w:p>
          <w:p>
            <w:pPr>
              <w:bidi w:val="0"/>
              <w:ind w:left="0" w:leftChars="0" w:firstLine="0" w:firstLineChars="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 声环境影响分析</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营运期主要噪声源为</w:t>
            </w:r>
            <w:r>
              <w:rPr>
                <w:rFonts w:hint="eastAsia"/>
                <w:color w:val="auto"/>
                <w:lang w:eastAsia="zh-CN"/>
              </w:rPr>
              <w:t>索道驱动站、迂回站的设备噪声、空调外机组噪声以及</w:t>
            </w:r>
            <w:r>
              <w:rPr>
                <w:rFonts w:hint="eastAsia"/>
                <w:color w:val="auto"/>
                <w:lang w:val="en-US" w:eastAsia="zh-CN"/>
              </w:rPr>
              <w:t>游客产生的</w:t>
            </w:r>
            <w:r>
              <w:rPr>
                <w:rFonts w:hint="eastAsia"/>
                <w:color w:val="auto"/>
                <w:lang w:eastAsia="zh-CN"/>
              </w:rPr>
              <w:t>社会活动噪声等。项目索道驱动机噪声值约为75~85dB（A），空调外机噪声值约为40~50dB（A），社会噪声一般在60~70dB（A），其中空调外机对周</w:t>
            </w:r>
            <w:r>
              <w:rPr>
                <w:rFonts w:hint="eastAsia" w:ascii="Times New Roman" w:hAnsi="Times New Roman" w:eastAsia="宋体" w:cs="Times New Roman"/>
                <w:color w:val="auto"/>
                <w:lang w:val="en-US" w:eastAsia="zh-CN"/>
              </w:rPr>
              <w:t>围声环境影响不大，但对项目区内部将产生一定的影响。对外环境产生影响的主要是驱动机等设备噪声和社会噪声。</w:t>
            </w:r>
          </w:p>
          <w:p>
            <w:pPr>
              <w:bidi w:val="0"/>
              <w:ind w:left="0" w:leftChars="0" w:firstLine="0" w:firstLineChars="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6.1噪声预测模式</w:t>
            </w:r>
          </w:p>
          <w:p>
            <w:pPr>
              <w:bidi w:val="0"/>
              <w:rPr>
                <w:rFonts w:hint="eastAsia"/>
                <w:color w:val="auto"/>
                <w:lang w:eastAsia="zh-CN"/>
              </w:rPr>
            </w:pPr>
            <w:r>
              <w:rPr>
                <w:rFonts w:hint="eastAsia" w:ascii="Times New Roman" w:hAnsi="Times New Roman" w:eastAsia="宋体" w:cs="Times New Roman"/>
                <w:color w:val="auto"/>
                <w:lang w:val="en-US" w:eastAsia="zh-CN"/>
              </w:rPr>
              <w:t>按《环境影响评价</w:t>
            </w:r>
            <w:r>
              <w:rPr>
                <w:rFonts w:hint="eastAsia"/>
                <w:color w:val="auto"/>
                <w:lang w:eastAsia="zh-CN"/>
              </w:rPr>
              <w:t>技术导则</w:t>
            </w:r>
            <w:r>
              <w:rPr>
                <w:rFonts w:hint="eastAsia"/>
                <w:color w:val="auto"/>
                <w:lang w:val="en-US" w:eastAsia="zh-CN"/>
              </w:rPr>
              <w:t xml:space="preserve"> </w:t>
            </w:r>
            <w:r>
              <w:rPr>
                <w:rFonts w:hint="eastAsia"/>
                <w:color w:val="auto"/>
                <w:lang w:eastAsia="zh-CN"/>
              </w:rPr>
              <w:t>声环境》（HJ2.4-20</w:t>
            </w:r>
            <w:r>
              <w:rPr>
                <w:rFonts w:hint="eastAsia"/>
                <w:color w:val="auto"/>
                <w:lang w:val="en-US" w:eastAsia="zh-CN"/>
              </w:rPr>
              <w:t>21</w:t>
            </w:r>
            <w:r>
              <w:rPr>
                <w:rFonts w:hint="eastAsia"/>
                <w:color w:val="auto"/>
                <w:lang w:eastAsia="zh-CN"/>
              </w:rPr>
              <w:t>），可选择点声源预测模式来模拟项目主要设备产生噪声随距离的衰减变化规律。</w:t>
            </w:r>
          </w:p>
          <w:p>
            <w:pPr>
              <w:bidi w:val="0"/>
              <w:rPr>
                <w:rFonts w:hint="eastAsia"/>
                <w:color w:val="auto"/>
                <w:lang w:eastAsia="zh-CN"/>
              </w:rPr>
            </w:pPr>
            <w:r>
              <w:rPr>
                <w:rFonts w:hint="eastAsia"/>
                <w:color w:val="auto"/>
                <w:lang w:eastAsia="zh-CN"/>
              </w:rPr>
              <w:t>a）对室外噪声源主要考虑噪声的几何发散衰减及环境因素衰减：</w:t>
            </w:r>
          </w:p>
          <w:p>
            <w:pPr>
              <w:bidi w:val="0"/>
              <w:ind w:left="0" w:leftChars="0" w:firstLine="0" w:firstLineChars="0"/>
              <w:jc w:val="center"/>
              <w:rPr>
                <w:rFonts w:hint="eastAsia"/>
                <w:b w:val="0"/>
                <w:bCs w:val="0"/>
                <w:color w:val="auto"/>
                <w:lang w:eastAsia="zh-CN"/>
              </w:rPr>
            </w:pPr>
            <w:r>
              <w:rPr>
                <w:rFonts w:hint="eastAsia"/>
                <w:b w:val="0"/>
                <w:bCs w:val="0"/>
                <w:color w:val="auto"/>
                <w:lang w:eastAsia="zh-CN"/>
              </w:rPr>
              <w:t>L2=L1-20</w:t>
            </w:r>
            <w:r>
              <w:rPr>
                <w:rFonts w:hint="default" w:ascii="Times New Roman" w:hAnsi="Times New Roman" w:cs="Times New Roman"/>
                <w:b w:val="0"/>
                <w:bCs w:val="0"/>
                <w:color w:val="auto"/>
                <w:lang w:eastAsia="zh-CN"/>
              </w:rPr>
              <w:t>㏒</w:t>
            </w:r>
            <w:r>
              <w:rPr>
                <w:rFonts w:hint="eastAsia"/>
                <w:b w:val="0"/>
                <w:bCs w:val="0"/>
                <w:color w:val="auto"/>
                <w:lang w:eastAsia="zh-CN"/>
              </w:rPr>
              <w:t>（r2/r1）-OL；</w:t>
            </w:r>
          </w:p>
          <w:p>
            <w:pPr>
              <w:bidi w:val="0"/>
              <w:rPr>
                <w:rFonts w:hint="eastAsia"/>
                <w:color w:val="auto"/>
                <w:lang w:eastAsia="zh-CN"/>
              </w:rPr>
            </w:pPr>
            <w:r>
              <w:rPr>
                <w:rFonts w:hint="eastAsia"/>
                <w:color w:val="auto"/>
                <w:lang w:eastAsia="zh-CN"/>
              </w:rPr>
              <w:t>式中：L2——点声源在预测点产生的声压级，dB；</w:t>
            </w:r>
          </w:p>
          <w:p>
            <w:pPr>
              <w:bidi w:val="0"/>
              <w:ind w:firstLine="1200" w:firstLineChars="500"/>
              <w:rPr>
                <w:rFonts w:hint="eastAsia"/>
                <w:color w:val="auto"/>
                <w:lang w:eastAsia="zh-CN"/>
              </w:rPr>
            </w:pPr>
            <w:r>
              <w:rPr>
                <w:rFonts w:hint="eastAsia"/>
                <w:color w:val="auto"/>
                <w:lang w:eastAsia="zh-CN"/>
              </w:rPr>
              <w:t>L1——点声源在参考点产生的声压级，dB；</w:t>
            </w:r>
          </w:p>
          <w:p>
            <w:pPr>
              <w:bidi w:val="0"/>
              <w:ind w:firstLine="1200" w:firstLineChars="500"/>
              <w:rPr>
                <w:rFonts w:hint="eastAsia"/>
                <w:color w:val="auto"/>
                <w:lang w:eastAsia="zh-CN"/>
              </w:rPr>
            </w:pPr>
            <w:r>
              <w:rPr>
                <w:rFonts w:hint="eastAsia"/>
                <w:color w:val="auto"/>
                <w:lang w:eastAsia="zh-CN"/>
              </w:rPr>
              <w:t>r2——预测点距离声源距离，m；</w:t>
            </w:r>
          </w:p>
          <w:p>
            <w:pPr>
              <w:bidi w:val="0"/>
              <w:ind w:firstLine="1200" w:firstLineChars="500"/>
              <w:rPr>
                <w:rFonts w:hint="eastAsia"/>
                <w:color w:val="auto"/>
                <w:lang w:eastAsia="zh-CN"/>
              </w:rPr>
            </w:pPr>
            <w:r>
              <w:rPr>
                <w:rFonts w:hint="eastAsia"/>
                <w:color w:val="auto"/>
                <w:lang w:eastAsia="zh-CN"/>
              </w:rPr>
              <w:t>r1——参考点距离声源距离，m；</w:t>
            </w:r>
          </w:p>
          <w:p>
            <w:pPr>
              <w:bidi w:val="0"/>
              <w:ind w:firstLine="1200" w:firstLineChars="500"/>
              <w:rPr>
                <w:rFonts w:hint="eastAsia"/>
                <w:color w:val="auto"/>
                <w:lang w:eastAsia="zh-CN"/>
              </w:rPr>
            </w:pPr>
            <w:r>
              <w:rPr>
                <w:rFonts w:hint="eastAsia"/>
                <w:color w:val="auto"/>
                <w:lang w:eastAsia="zh-CN"/>
              </w:rPr>
              <w:t>OL——各种因素引起的衰减量，dB；</w:t>
            </w:r>
          </w:p>
          <w:p>
            <w:pPr>
              <w:bidi w:val="0"/>
              <w:rPr>
                <w:rFonts w:hint="eastAsia"/>
                <w:color w:val="auto"/>
                <w:lang w:eastAsia="zh-CN"/>
              </w:rPr>
            </w:pPr>
            <w:r>
              <w:rPr>
                <w:rFonts w:hint="eastAsia"/>
                <w:color w:val="auto"/>
                <w:lang w:eastAsia="zh-CN"/>
              </w:rPr>
              <w:t>对室内噪声源采用室内噪声源噪声模式并换算成等效的室外声源：</w:t>
            </w:r>
          </w:p>
          <w:p>
            <w:pPr>
              <w:bidi w:val="0"/>
              <w:ind w:left="0" w:leftChars="0" w:firstLine="0" w:firstLineChars="0"/>
              <w:jc w:val="center"/>
              <w:rPr>
                <w:rFonts w:hint="eastAsia"/>
                <w:b w:val="0"/>
                <w:bCs w:val="0"/>
                <w:color w:val="auto"/>
                <w:lang w:eastAsia="zh-CN"/>
              </w:rPr>
            </w:pPr>
            <w:r>
              <w:rPr>
                <w:rFonts w:hint="eastAsia"/>
                <w:b w:val="0"/>
                <w:bCs w:val="0"/>
                <w:color w:val="auto"/>
                <w:lang w:eastAsia="zh-CN"/>
              </w:rPr>
              <w:t>Ln=Le+10log（Q/4πr+4/R）</w:t>
            </w:r>
          </w:p>
          <w:p>
            <w:pPr>
              <w:bidi w:val="0"/>
              <w:ind w:left="0" w:leftChars="0" w:firstLine="0" w:firstLineChars="0"/>
              <w:jc w:val="center"/>
              <w:rPr>
                <w:rFonts w:hint="eastAsia"/>
                <w:b w:val="0"/>
                <w:bCs w:val="0"/>
                <w:color w:val="auto"/>
                <w:lang w:eastAsia="zh-CN"/>
              </w:rPr>
            </w:pPr>
            <w:r>
              <w:rPr>
                <w:rFonts w:hint="eastAsia"/>
                <w:b w:val="0"/>
                <w:bCs w:val="0"/>
                <w:color w:val="auto"/>
                <w:lang w:eastAsia="zh-CN"/>
              </w:rPr>
              <w:t>Lw=Ln-（TL+6）+10logS</w:t>
            </w:r>
          </w:p>
          <w:p>
            <w:pPr>
              <w:bidi w:val="0"/>
              <w:rPr>
                <w:rFonts w:hint="eastAsia"/>
                <w:color w:val="auto"/>
                <w:lang w:eastAsia="zh-CN"/>
              </w:rPr>
            </w:pPr>
            <w:r>
              <w:rPr>
                <w:rFonts w:hint="eastAsia"/>
                <w:color w:val="auto"/>
                <w:lang w:eastAsia="zh-CN"/>
              </w:rPr>
              <w:t>式中：Ln——室内靠近维护结构处产生的声压级，dB；</w:t>
            </w:r>
          </w:p>
          <w:p>
            <w:pPr>
              <w:bidi w:val="0"/>
              <w:ind w:firstLine="1200" w:firstLineChars="500"/>
              <w:rPr>
                <w:rFonts w:hint="eastAsia"/>
                <w:color w:val="auto"/>
                <w:lang w:eastAsia="zh-CN"/>
              </w:rPr>
            </w:pPr>
            <w:r>
              <w:rPr>
                <w:rFonts w:hint="eastAsia"/>
                <w:color w:val="auto"/>
                <w:lang w:eastAsia="zh-CN"/>
              </w:rPr>
              <w:t>Lw——室外靠近维护结构处产生的声压级，dB；</w:t>
            </w:r>
          </w:p>
          <w:p>
            <w:pPr>
              <w:bidi w:val="0"/>
              <w:ind w:firstLine="1200" w:firstLineChars="500"/>
              <w:rPr>
                <w:rFonts w:hint="eastAsia"/>
                <w:color w:val="auto"/>
                <w:lang w:eastAsia="zh-CN"/>
              </w:rPr>
            </w:pPr>
            <w:r>
              <w:rPr>
                <w:rFonts w:hint="eastAsia"/>
                <w:color w:val="auto"/>
                <w:lang w:eastAsia="zh-CN"/>
              </w:rPr>
              <w:t>Le——声源的声压级，dB；</w:t>
            </w:r>
          </w:p>
          <w:p>
            <w:pPr>
              <w:bidi w:val="0"/>
              <w:ind w:firstLine="1200" w:firstLineChars="500"/>
              <w:rPr>
                <w:rFonts w:hint="eastAsia"/>
                <w:color w:val="auto"/>
                <w:lang w:eastAsia="zh-CN"/>
              </w:rPr>
            </w:pPr>
            <w:r>
              <w:rPr>
                <w:rFonts w:hint="eastAsia"/>
                <w:color w:val="auto"/>
                <w:lang w:eastAsia="zh-CN"/>
              </w:rPr>
              <w:t>r——声源与室内靠近维护结构处的距离，m；</w:t>
            </w:r>
          </w:p>
          <w:p>
            <w:pPr>
              <w:bidi w:val="0"/>
              <w:ind w:firstLine="1200" w:firstLineChars="500"/>
              <w:rPr>
                <w:rFonts w:hint="eastAsia"/>
                <w:color w:val="auto"/>
                <w:lang w:eastAsia="zh-CN"/>
              </w:rPr>
            </w:pPr>
            <w:r>
              <w:rPr>
                <w:rFonts w:hint="eastAsia"/>
                <w:color w:val="auto"/>
                <w:lang w:eastAsia="zh-CN"/>
              </w:rPr>
              <w:t>R——房间常数；</w:t>
            </w:r>
          </w:p>
          <w:p>
            <w:pPr>
              <w:bidi w:val="0"/>
              <w:ind w:firstLine="1200" w:firstLineChars="500"/>
              <w:rPr>
                <w:rFonts w:hint="eastAsia"/>
                <w:color w:val="auto"/>
                <w:lang w:eastAsia="zh-CN"/>
              </w:rPr>
            </w:pPr>
            <w:r>
              <w:rPr>
                <w:rFonts w:hint="eastAsia"/>
                <w:color w:val="auto"/>
                <w:lang w:eastAsia="zh-CN"/>
              </w:rPr>
              <w:t>Q——方向性因子；</w:t>
            </w:r>
          </w:p>
          <w:p>
            <w:pPr>
              <w:bidi w:val="0"/>
              <w:ind w:firstLine="1200" w:firstLineChars="500"/>
              <w:rPr>
                <w:rFonts w:hint="eastAsia"/>
                <w:color w:val="auto"/>
                <w:lang w:eastAsia="zh-CN"/>
              </w:rPr>
            </w:pPr>
            <w:r>
              <w:rPr>
                <w:rFonts w:hint="eastAsia"/>
                <w:color w:val="auto"/>
                <w:lang w:eastAsia="zh-CN"/>
              </w:rPr>
              <w:t>TL——维护结构的传输损失，dB；</w:t>
            </w:r>
          </w:p>
          <w:p>
            <w:pPr>
              <w:bidi w:val="0"/>
              <w:ind w:firstLine="1200" w:firstLineChars="500"/>
              <w:rPr>
                <w:rFonts w:hint="eastAsia"/>
                <w:color w:val="auto"/>
                <w:lang w:eastAsia="zh-CN"/>
              </w:rPr>
            </w:pPr>
            <w:r>
              <w:rPr>
                <w:rFonts w:hint="eastAsia"/>
                <w:color w:val="auto"/>
                <w:lang w:eastAsia="zh-CN"/>
              </w:rPr>
              <w:t>S——透声面积（m</w:t>
            </w:r>
            <w:r>
              <w:rPr>
                <w:rFonts w:hint="eastAsia"/>
                <w:color w:val="auto"/>
                <w:vertAlign w:val="superscript"/>
                <w:lang w:eastAsia="zh-CN"/>
              </w:rPr>
              <w:t>2</w:t>
            </w:r>
            <w:r>
              <w:rPr>
                <w:rFonts w:hint="eastAsia"/>
                <w:color w:val="auto"/>
                <w:lang w:eastAsia="zh-CN"/>
              </w:rPr>
              <w:t>）。</w:t>
            </w:r>
          </w:p>
          <w:p>
            <w:pPr>
              <w:bidi w:val="0"/>
              <w:rPr>
                <w:rFonts w:hint="eastAsia"/>
                <w:color w:val="auto"/>
                <w:lang w:eastAsia="zh-CN"/>
              </w:rPr>
            </w:pPr>
            <w:r>
              <w:rPr>
                <w:rFonts w:hint="eastAsia"/>
                <w:color w:val="auto"/>
                <w:lang w:eastAsia="zh-CN"/>
              </w:rPr>
              <w:t>c）在同一受声点接受来自多个点声源的声能，可通过叠加得出该受声点的声压级。噪声叠加公式如下：</w:t>
            </w:r>
          </w:p>
          <w:p>
            <w:pPr>
              <w:bidi w:val="0"/>
              <w:ind w:left="0" w:leftChars="0" w:firstLine="0" w:firstLineChars="0"/>
              <w:jc w:val="center"/>
              <w:rPr>
                <w:rFonts w:hint="eastAsia"/>
                <w:color w:val="auto"/>
                <w:lang w:eastAsia="zh-CN"/>
              </w:rPr>
            </w:pPr>
            <w:r>
              <w:rPr>
                <w:rFonts w:hint="eastAsia"/>
                <w:color w:val="auto"/>
                <w:lang w:eastAsia="zh-CN"/>
              </w:rPr>
              <w:drawing>
                <wp:inline distT="0" distB="0" distL="0" distR="0">
                  <wp:extent cx="1524000" cy="767715"/>
                  <wp:effectExtent l="0" t="0" r="0" b="13335"/>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0"/>
                          <a:stretch>
                            <a:fillRect/>
                          </a:stretch>
                        </pic:blipFill>
                        <pic:spPr>
                          <a:xfrm>
                            <a:off x="0" y="0"/>
                            <a:ext cx="1524000" cy="768096"/>
                          </a:xfrm>
                          <a:prstGeom prst="rect">
                            <a:avLst/>
                          </a:prstGeom>
                        </pic:spPr>
                      </pic:pic>
                    </a:graphicData>
                  </a:graphic>
                </wp:inline>
              </w:drawing>
            </w:r>
          </w:p>
          <w:p>
            <w:pPr>
              <w:bidi w:val="0"/>
              <w:rPr>
                <w:rFonts w:hint="eastAsia"/>
                <w:color w:val="auto"/>
                <w:lang w:eastAsia="zh-CN"/>
              </w:rPr>
            </w:pPr>
            <w:r>
              <w:rPr>
                <w:rFonts w:hint="eastAsia"/>
                <w:color w:val="auto"/>
                <w:lang w:eastAsia="zh-CN"/>
              </w:rPr>
              <w:t>式中：L——总声压级，dB（A）；</w:t>
            </w:r>
          </w:p>
          <w:p>
            <w:pPr>
              <w:bidi w:val="0"/>
              <w:ind w:firstLine="1200" w:firstLineChars="500"/>
              <w:rPr>
                <w:rFonts w:hint="eastAsia"/>
                <w:color w:val="auto"/>
                <w:lang w:eastAsia="zh-CN"/>
              </w:rPr>
            </w:pPr>
            <w:r>
              <w:rPr>
                <w:rFonts w:hint="eastAsia"/>
                <w:color w:val="auto"/>
                <w:lang w:eastAsia="zh-CN"/>
              </w:rPr>
              <w:t>Li——第i个噪声源至预测点处的声压级，dB（A）；</w:t>
            </w:r>
          </w:p>
          <w:p>
            <w:pPr>
              <w:bidi w:val="0"/>
              <w:ind w:firstLine="1200" w:firstLineChars="500"/>
              <w:rPr>
                <w:rFonts w:hint="eastAsia"/>
                <w:color w:val="auto"/>
                <w:lang w:eastAsia="zh-CN"/>
              </w:rPr>
            </w:pPr>
            <w:r>
              <w:rPr>
                <w:rFonts w:hint="eastAsia"/>
                <w:color w:val="auto"/>
                <w:lang w:eastAsia="zh-CN"/>
              </w:rPr>
              <w:t>n——声源数。</w:t>
            </w:r>
          </w:p>
          <w:p>
            <w:pPr>
              <w:pStyle w:val="4"/>
              <w:bidi w:val="0"/>
              <w:rPr>
                <w:rFonts w:hint="eastAsia"/>
                <w:color w:val="auto"/>
                <w:lang w:eastAsia="zh-CN"/>
              </w:rPr>
            </w:pPr>
            <w:r>
              <w:rPr>
                <w:rFonts w:hint="eastAsia"/>
                <w:color w:val="auto"/>
                <w:lang w:val="en-US" w:eastAsia="zh-CN"/>
              </w:rPr>
              <w:t>6</w:t>
            </w:r>
            <w:r>
              <w:rPr>
                <w:rFonts w:hint="eastAsia"/>
                <w:color w:val="auto"/>
                <w:lang w:eastAsia="zh-CN"/>
              </w:rPr>
              <w:t>.2预测结果及评价</w:t>
            </w:r>
          </w:p>
          <w:p>
            <w:pPr>
              <w:bidi w:val="0"/>
              <w:jc w:val="center"/>
              <w:rPr>
                <w:rFonts w:hint="eastAsia"/>
                <w:color w:val="auto"/>
                <w:lang w:eastAsia="zh-CN"/>
              </w:rPr>
            </w:pPr>
            <w:r>
              <w:rPr>
                <w:rFonts w:hint="eastAsia"/>
                <w:color w:val="auto"/>
                <w:lang w:eastAsia="zh-CN"/>
              </w:rPr>
              <w:t>索道仅在昼间运行，夜间不运行，设备噪声昼间预测值详见表</w:t>
            </w:r>
            <w:r>
              <w:rPr>
                <w:rFonts w:hint="eastAsia"/>
                <w:color w:val="auto"/>
                <w:lang w:val="en-US" w:eastAsia="zh-CN"/>
              </w:rPr>
              <w:t>6-1</w:t>
            </w:r>
            <w:r>
              <w:rPr>
                <w:rFonts w:hint="eastAsia"/>
                <w:color w:val="auto"/>
                <w:lang w:eastAsia="zh-CN"/>
              </w:rPr>
              <w:t>。</w:t>
            </w:r>
          </w:p>
          <w:p>
            <w:pPr>
              <w:bidi w:val="0"/>
              <w:spacing w:line="240" w:lineRule="auto"/>
              <w:jc w:val="center"/>
              <w:rPr>
                <w:rFonts w:hint="eastAsia"/>
                <w:color w:val="auto"/>
                <w:lang w:eastAsia="zh-CN"/>
              </w:rPr>
            </w:pPr>
            <w:r>
              <w:rPr>
                <w:rFonts w:hint="eastAsia" w:ascii="Times New Roman" w:hAnsi="Times New Roman" w:eastAsia="黑体" w:cs="Times New Roman"/>
                <w:b w:val="0"/>
                <w:bCs w:val="0"/>
                <w:color w:val="auto"/>
                <w:kern w:val="44"/>
                <w:sz w:val="24"/>
                <w:szCs w:val="24"/>
                <w:lang w:val="en-US" w:eastAsia="zh-CN" w:bidi="ar-SA"/>
              </w:rPr>
              <w:t>表6-1  场界噪声预测值单位:dB（A）</w:t>
            </w:r>
          </w:p>
          <w:tbl>
            <w:tblPr>
              <w:tblStyle w:val="19"/>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48"/>
              <w:gridCol w:w="1444"/>
              <w:gridCol w:w="758"/>
              <w:gridCol w:w="1430"/>
              <w:gridCol w:w="1646"/>
              <w:gridCol w:w="761"/>
              <w:gridCol w:w="88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545" w:type="pct"/>
                  <w:tcBorders>
                    <w:tl2br w:val="nil"/>
                    <w:tr2bl w:val="nil"/>
                  </w:tcBorders>
                  <w:vAlign w:val="center"/>
                </w:tcPr>
                <w:p>
                  <w:pPr>
                    <w:pStyle w:val="17"/>
                    <w:bidi w:val="0"/>
                    <w:jc w:val="center"/>
                    <w:rPr>
                      <w:rFonts w:hint="eastAsia"/>
                      <w:color w:val="auto"/>
                      <w:lang w:eastAsia="zh-CN"/>
                    </w:rPr>
                  </w:pPr>
                  <w:r>
                    <w:rPr>
                      <w:rFonts w:hint="eastAsia"/>
                      <w:color w:val="auto"/>
                      <w:lang w:eastAsia="zh-CN"/>
                    </w:rPr>
                    <w:t>噪声源位置</w:t>
                  </w:r>
                </w:p>
              </w:tc>
              <w:tc>
                <w:tcPr>
                  <w:tcW w:w="928" w:type="pct"/>
                  <w:tcBorders>
                    <w:tl2br w:val="nil"/>
                    <w:tr2bl w:val="nil"/>
                  </w:tcBorders>
                  <w:vAlign w:val="center"/>
                </w:tcPr>
                <w:p>
                  <w:pPr>
                    <w:pStyle w:val="17"/>
                    <w:bidi w:val="0"/>
                    <w:jc w:val="center"/>
                    <w:rPr>
                      <w:rFonts w:hint="eastAsia"/>
                      <w:color w:val="auto"/>
                      <w:lang w:eastAsia="zh-CN"/>
                    </w:rPr>
                  </w:pPr>
                  <w:r>
                    <w:rPr>
                      <w:rFonts w:hint="eastAsia"/>
                      <w:color w:val="auto"/>
                      <w:lang w:eastAsia="zh-CN"/>
                    </w:rPr>
                    <w:t>噪声源种类</w:t>
                  </w:r>
                </w:p>
              </w:tc>
              <w:tc>
                <w:tcPr>
                  <w:tcW w:w="487" w:type="pct"/>
                  <w:tcBorders>
                    <w:tl2br w:val="nil"/>
                    <w:tr2bl w:val="nil"/>
                  </w:tcBorders>
                  <w:vAlign w:val="center"/>
                </w:tcPr>
                <w:p>
                  <w:pPr>
                    <w:pStyle w:val="17"/>
                    <w:bidi w:val="0"/>
                    <w:jc w:val="center"/>
                    <w:rPr>
                      <w:rFonts w:hint="eastAsia"/>
                      <w:color w:val="auto"/>
                      <w:lang w:eastAsia="zh-CN"/>
                    </w:rPr>
                  </w:pPr>
                  <w:r>
                    <w:rPr>
                      <w:rFonts w:hint="eastAsia"/>
                      <w:color w:val="auto"/>
                      <w:lang w:eastAsia="zh-CN"/>
                    </w:rPr>
                    <w:t>数量</w:t>
                  </w:r>
                </w:p>
              </w:tc>
              <w:tc>
                <w:tcPr>
                  <w:tcW w:w="919" w:type="pct"/>
                  <w:tcBorders>
                    <w:tl2br w:val="nil"/>
                    <w:tr2bl w:val="nil"/>
                  </w:tcBorders>
                  <w:vAlign w:val="center"/>
                </w:tcPr>
                <w:p>
                  <w:pPr>
                    <w:pStyle w:val="17"/>
                    <w:bidi w:val="0"/>
                    <w:jc w:val="center"/>
                    <w:rPr>
                      <w:rFonts w:hint="eastAsia"/>
                      <w:color w:val="auto"/>
                      <w:lang w:eastAsia="zh-CN"/>
                    </w:rPr>
                  </w:pPr>
                  <w:r>
                    <w:rPr>
                      <w:rFonts w:hint="eastAsia"/>
                      <w:color w:val="auto"/>
                      <w:lang w:eastAsia="zh-CN"/>
                    </w:rPr>
                    <w:t>产生量</w:t>
                  </w:r>
                </w:p>
              </w:tc>
              <w:tc>
                <w:tcPr>
                  <w:tcW w:w="1058" w:type="pct"/>
                  <w:tcBorders>
                    <w:tl2br w:val="nil"/>
                    <w:tr2bl w:val="nil"/>
                  </w:tcBorders>
                  <w:vAlign w:val="center"/>
                </w:tcPr>
                <w:p>
                  <w:pPr>
                    <w:pStyle w:val="17"/>
                    <w:bidi w:val="0"/>
                    <w:jc w:val="center"/>
                    <w:rPr>
                      <w:rFonts w:hint="eastAsia"/>
                      <w:color w:val="auto"/>
                      <w:lang w:eastAsia="zh-CN"/>
                    </w:rPr>
                  </w:pPr>
                  <w:r>
                    <w:rPr>
                      <w:rFonts w:hint="eastAsia"/>
                      <w:color w:val="auto"/>
                      <w:lang w:eastAsia="zh-CN"/>
                    </w:rPr>
                    <w:t>防治措施</w:t>
                  </w:r>
                </w:p>
              </w:tc>
              <w:tc>
                <w:tcPr>
                  <w:tcW w:w="489" w:type="pct"/>
                  <w:tcBorders>
                    <w:tl2br w:val="nil"/>
                    <w:tr2bl w:val="nil"/>
                  </w:tcBorders>
                  <w:vAlign w:val="center"/>
                </w:tcPr>
                <w:p>
                  <w:pPr>
                    <w:pStyle w:val="17"/>
                    <w:bidi w:val="0"/>
                    <w:jc w:val="center"/>
                    <w:rPr>
                      <w:rFonts w:hint="eastAsia"/>
                      <w:color w:val="auto"/>
                      <w:lang w:eastAsia="zh-CN"/>
                    </w:rPr>
                  </w:pPr>
                  <w:r>
                    <w:rPr>
                      <w:rFonts w:hint="eastAsia"/>
                      <w:color w:val="auto"/>
                      <w:lang w:eastAsia="zh-CN"/>
                    </w:rPr>
                    <w:t>噪声消减量</w:t>
                  </w:r>
                </w:p>
              </w:tc>
              <w:tc>
                <w:tcPr>
                  <w:tcW w:w="570" w:type="pct"/>
                  <w:tcBorders>
                    <w:tl2br w:val="nil"/>
                    <w:tr2bl w:val="nil"/>
                  </w:tcBorders>
                  <w:vAlign w:val="center"/>
                </w:tcPr>
                <w:p>
                  <w:pPr>
                    <w:pStyle w:val="17"/>
                    <w:bidi w:val="0"/>
                    <w:jc w:val="center"/>
                    <w:rPr>
                      <w:rFonts w:hint="eastAsia"/>
                      <w:color w:val="auto"/>
                      <w:lang w:eastAsia="zh-CN"/>
                    </w:rPr>
                  </w:pPr>
                  <w:r>
                    <w:rPr>
                      <w:rFonts w:hint="eastAsia"/>
                      <w:color w:val="auto"/>
                      <w:lang w:eastAsia="zh-CN"/>
                    </w:rPr>
                    <w:t>削减后声压级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545" w:type="pct"/>
                  <w:vMerge w:val="restart"/>
                  <w:tcBorders>
                    <w:tl2br w:val="nil"/>
                    <w:tr2bl w:val="nil"/>
                  </w:tcBorders>
                  <w:vAlign w:val="center"/>
                </w:tcPr>
                <w:p>
                  <w:pPr>
                    <w:pStyle w:val="17"/>
                    <w:bidi w:val="0"/>
                    <w:jc w:val="center"/>
                    <w:rPr>
                      <w:rFonts w:hint="eastAsia"/>
                      <w:color w:val="auto"/>
                      <w:lang w:eastAsia="zh-CN"/>
                    </w:rPr>
                  </w:pPr>
                  <w:r>
                    <w:rPr>
                      <w:rFonts w:hint="eastAsia"/>
                      <w:color w:val="auto"/>
                      <w:lang w:eastAsia="zh-CN"/>
                    </w:rPr>
                    <w:t>上站</w:t>
                  </w:r>
                </w:p>
              </w:tc>
              <w:tc>
                <w:tcPr>
                  <w:tcW w:w="928" w:type="pct"/>
                  <w:tcBorders>
                    <w:tl2br w:val="nil"/>
                    <w:tr2bl w:val="nil"/>
                  </w:tcBorders>
                  <w:vAlign w:val="center"/>
                </w:tcPr>
                <w:p>
                  <w:pPr>
                    <w:pStyle w:val="17"/>
                    <w:bidi w:val="0"/>
                    <w:jc w:val="center"/>
                    <w:rPr>
                      <w:rFonts w:hint="eastAsia"/>
                      <w:color w:val="auto"/>
                      <w:lang w:eastAsia="zh-CN"/>
                    </w:rPr>
                  </w:pPr>
                  <w:r>
                    <w:rPr>
                      <w:rFonts w:hint="eastAsia"/>
                      <w:color w:val="auto"/>
                      <w:lang w:eastAsia="zh-CN"/>
                    </w:rPr>
                    <w:t>索道迂回站的设备</w:t>
                  </w:r>
                </w:p>
              </w:tc>
              <w:tc>
                <w:tcPr>
                  <w:tcW w:w="487" w:type="pct"/>
                  <w:tcBorders>
                    <w:tl2br w:val="nil"/>
                    <w:tr2bl w:val="nil"/>
                  </w:tcBorders>
                  <w:vAlign w:val="center"/>
                </w:tcPr>
                <w:p>
                  <w:pPr>
                    <w:pStyle w:val="17"/>
                    <w:bidi w:val="0"/>
                    <w:jc w:val="center"/>
                    <w:rPr>
                      <w:rFonts w:hint="eastAsia"/>
                      <w:color w:val="auto"/>
                      <w:lang w:eastAsia="zh-CN"/>
                    </w:rPr>
                  </w:pPr>
                  <w:r>
                    <w:rPr>
                      <w:rFonts w:hint="eastAsia"/>
                      <w:color w:val="auto"/>
                      <w:lang w:eastAsia="zh-CN"/>
                    </w:rPr>
                    <w:t>1套</w:t>
                  </w:r>
                </w:p>
              </w:tc>
              <w:tc>
                <w:tcPr>
                  <w:tcW w:w="919" w:type="pct"/>
                  <w:tcBorders>
                    <w:tl2br w:val="nil"/>
                    <w:tr2bl w:val="nil"/>
                  </w:tcBorders>
                  <w:vAlign w:val="center"/>
                </w:tcPr>
                <w:p>
                  <w:pPr>
                    <w:pStyle w:val="17"/>
                    <w:bidi w:val="0"/>
                    <w:jc w:val="center"/>
                    <w:rPr>
                      <w:rFonts w:hint="eastAsia"/>
                      <w:color w:val="auto"/>
                      <w:lang w:eastAsia="zh-CN"/>
                    </w:rPr>
                  </w:pPr>
                  <w:r>
                    <w:rPr>
                      <w:rFonts w:hint="eastAsia"/>
                      <w:color w:val="auto"/>
                      <w:lang w:eastAsia="zh-CN"/>
                    </w:rPr>
                    <w:t>80dB（A）</w:t>
                  </w:r>
                </w:p>
              </w:tc>
              <w:tc>
                <w:tcPr>
                  <w:tcW w:w="1058" w:type="pct"/>
                  <w:tcBorders>
                    <w:tl2br w:val="nil"/>
                    <w:tr2bl w:val="nil"/>
                  </w:tcBorders>
                  <w:vAlign w:val="center"/>
                </w:tcPr>
                <w:p>
                  <w:pPr>
                    <w:pStyle w:val="17"/>
                    <w:bidi w:val="0"/>
                    <w:jc w:val="center"/>
                    <w:rPr>
                      <w:rFonts w:hint="eastAsia"/>
                      <w:color w:val="auto"/>
                      <w:lang w:eastAsia="zh-CN"/>
                    </w:rPr>
                  </w:pPr>
                  <w:r>
                    <w:rPr>
                      <w:rFonts w:hint="eastAsia"/>
                      <w:color w:val="auto"/>
                      <w:lang w:eastAsia="zh-CN"/>
                    </w:rPr>
                    <w:t>隔声、减振</w:t>
                  </w:r>
                </w:p>
              </w:tc>
              <w:tc>
                <w:tcPr>
                  <w:tcW w:w="489" w:type="pct"/>
                  <w:tcBorders>
                    <w:tl2br w:val="nil"/>
                    <w:tr2bl w:val="nil"/>
                  </w:tcBorders>
                  <w:vAlign w:val="center"/>
                </w:tcPr>
                <w:p>
                  <w:pPr>
                    <w:pStyle w:val="17"/>
                    <w:bidi w:val="0"/>
                    <w:jc w:val="center"/>
                    <w:rPr>
                      <w:rFonts w:hint="eastAsia"/>
                      <w:color w:val="auto"/>
                      <w:lang w:eastAsia="zh-CN"/>
                    </w:rPr>
                  </w:pPr>
                  <w:r>
                    <w:rPr>
                      <w:rFonts w:hint="eastAsia"/>
                      <w:color w:val="auto"/>
                      <w:lang w:eastAsia="zh-CN"/>
                    </w:rPr>
                    <w:t>20</w:t>
                  </w:r>
                </w:p>
              </w:tc>
              <w:tc>
                <w:tcPr>
                  <w:tcW w:w="570" w:type="pct"/>
                  <w:tcBorders>
                    <w:tl2br w:val="nil"/>
                    <w:tr2bl w:val="nil"/>
                  </w:tcBorders>
                  <w:vAlign w:val="center"/>
                </w:tcPr>
                <w:p>
                  <w:pPr>
                    <w:pStyle w:val="17"/>
                    <w:bidi w:val="0"/>
                    <w:jc w:val="center"/>
                    <w:rPr>
                      <w:rFonts w:hint="eastAsia"/>
                      <w:color w:val="auto"/>
                      <w:lang w:eastAsia="zh-CN"/>
                    </w:rPr>
                  </w:pPr>
                  <w:r>
                    <w:rPr>
                      <w:rFonts w:hint="eastAsia"/>
                      <w:color w:val="auto"/>
                      <w:lang w:eastAsia="zh-CN"/>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545" w:type="pct"/>
                  <w:vMerge w:val="continue"/>
                  <w:tcBorders>
                    <w:tl2br w:val="nil"/>
                    <w:tr2bl w:val="nil"/>
                  </w:tcBorders>
                  <w:vAlign w:val="center"/>
                </w:tcPr>
                <w:p>
                  <w:pPr>
                    <w:pStyle w:val="17"/>
                    <w:bidi w:val="0"/>
                    <w:jc w:val="center"/>
                    <w:rPr>
                      <w:rFonts w:hint="eastAsia"/>
                      <w:color w:val="auto"/>
                      <w:lang w:eastAsia="zh-CN"/>
                    </w:rPr>
                  </w:pPr>
                </w:p>
              </w:tc>
              <w:tc>
                <w:tcPr>
                  <w:tcW w:w="928" w:type="pct"/>
                  <w:tcBorders>
                    <w:tl2br w:val="nil"/>
                    <w:tr2bl w:val="nil"/>
                  </w:tcBorders>
                  <w:vAlign w:val="center"/>
                </w:tcPr>
                <w:p>
                  <w:pPr>
                    <w:pStyle w:val="17"/>
                    <w:bidi w:val="0"/>
                    <w:jc w:val="center"/>
                    <w:rPr>
                      <w:color w:val="auto"/>
                    </w:rPr>
                  </w:pPr>
                  <w:r>
                    <w:rPr>
                      <w:color w:val="auto"/>
                    </w:rPr>
                    <w:t>空调外机</w:t>
                  </w:r>
                </w:p>
                <w:p>
                  <w:pPr>
                    <w:pStyle w:val="17"/>
                    <w:bidi w:val="0"/>
                    <w:jc w:val="center"/>
                    <w:rPr>
                      <w:rFonts w:hint="eastAsia"/>
                      <w:color w:val="auto"/>
                      <w:lang w:eastAsia="zh-CN"/>
                    </w:rPr>
                  </w:pPr>
                  <w:r>
                    <w:rPr>
                      <w:color w:val="auto"/>
                    </w:rPr>
                    <w:t>（单体空调）</w:t>
                  </w:r>
                </w:p>
              </w:tc>
              <w:tc>
                <w:tcPr>
                  <w:tcW w:w="487" w:type="pct"/>
                  <w:tcBorders>
                    <w:tl2br w:val="nil"/>
                    <w:tr2bl w:val="nil"/>
                  </w:tcBorders>
                  <w:vAlign w:val="center"/>
                </w:tcPr>
                <w:p>
                  <w:pPr>
                    <w:pStyle w:val="17"/>
                    <w:bidi w:val="0"/>
                    <w:jc w:val="center"/>
                    <w:rPr>
                      <w:rFonts w:hint="eastAsia"/>
                      <w:color w:val="auto"/>
                      <w:lang w:eastAsia="zh-CN"/>
                    </w:rPr>
                  </w:pPr>
                  <w:r>
                    <w:rPr>
                      <w:color w:val="auto"/>
                    </w:rPr>
                    <w:t>4套</w:t>
                  </w:r>
                </w:p>
              </w:tc>
              <w:tc>
                <w:tcPr>
                  <w:tcW w:w="919" w:type="pct"/>
                  <w:tcBorders>
                    <w:tl2br w:val="nil"/>
                    <w:tr2bl w:val="nil"/>
                  </w:tcBorders>
                  <w:vAlign w:val="center"/>
                </w:tcPr>
                <w:p>
                  <w:pPr>
                    <w:pStyle w:val="17"/>
                    <w:bidi w:val="0"/>
                    <w:jc w:val="center"/>
                    <w:rPr>
                      <w:rFonts w:hint="eastAsia" w:eastAsia="宋体"/>
                      <w:color w:val="auto"/>
                      <w:lang w:eastAsia="zh-CN"/>
                    </w:rPr>
                  </w:pPr>
                  <w:r>
                    <w:rPr>
                      <w:color w:val="auto"/>
                    </w:rPr>
                    <w:t>66dB</w:t>
                  </w:r>
                  <w:r>
                    <w:rPr>
                      <w:rFonts w:hint="eastAsia"/>
                      <w:color w:val="auto"/>
                      <w:lang w:eastAsia="zh-CN"/>
                    </w:rPr>
                    <w:t>（</w:t>
                  </w:r>
                  <w:r>
                    <w:rPr>
                      <w:color w:val="auto"/>
                    </w:rPr>
                    <w:t>A</w:t>
                  </w:r>
                  <w:r>
                    <w:rPr>
                      <w:rFonts w:hint="eastAsia"/>
                      <w:color w:val="auto"/>
                      <w:lang w:eastAsia="zh-CN"/>
                    </w:rPr>
                    <w:t>）</w:t>
                  </w:r>
                </w:p>
              </w:tc>
              <w:tc>
                <w:tcPr>
                  <w:tcW w:w="1058" w:type="pct"/>
                  <w:tcBorders>
                    <w:tl2br w:val="nil"/>
                    <w:tr2bl w:val="nil"/>
                  </w:tcBorders>
                  <w:vAlign w:val="center"/>
                </w:tcPr>
                <w:p>
                  <w:pPr>
                    <w:pStyle w:val="17"/>
                    <w:bidi w:val="0"/>
                    <w:jc w:val="center"/>
                    <w:rPr>
                      <w:rFonts w:hint="eastAsia"/>
                      <w:color w:val="auto"/>
                      <w:lang w:eastAsia="zh-CN"/>
                    </w:rPr>
                  </w:pPr>
                  <w:r>
                    <w:rPr>
                      <w:color w:val="auto"/>
                    </w:rPr>
                    <w:t>隔声、减振</w:t>
                  </w:r>
                </w:p>
              </w:tc>
              <w:tc>
                <w:tcPr>
                  <w:tcW w:w="489" w:type="pct"/>
                  <w:tcBorders>
                    <w:tl2br w:val="nil"/>
                    <w:tr2bl w:val="nil"/>
                  </w:tcBorders>
                  <w:vAlign w:val="center"/>
                </w:tcPr>
                <w:p>
                  <w:pPr>
                    <w:pStyle w:val="17"/>
                    <w:bidi w:val="0"/>
                    <w:jc w:val="center"/>
                    <w:rPr>
                      <w:rFonts w:hint="eastAsia"/>
                      <w:color w:val="auto"/>
                      <w:lang w:eastAsia="zh-CN"/>
                    </w:rPr>
                  </w:pPr>
                  <w:r>
                    <w:rPr>
                      <w:color w:val="auto"/>
                    </w:rPr>
                    <w:t>10</w:t>
                  </w:r>
                </w:p>
              </w:tc>
              <w:tc>
                <w:tcPr>
                  <w:tcW w:w="570" w:type="pct"/>
                  <w:tcBorders>
                    <w:tl2br w:val="nil"/>
                    <w:tr2bl w:val="nil"/>
                  </w:tcBorders>
                  <w:vAlign w:val="center"/>
                </w:tcPr>
                <w:p>
                  <w:pPr>
                    <w:pStyle w:val="17"/>
                    <w:bidi w:val="0"/>
                    <w:jc w:val="center"/>
                    <w:rPr>
                      <w:rFonts w:hint="eastAsia"/>
                      <w:color w:val="auto"/>
                      <w:lang w:eastAsia="zh-CN"/>
                    </w:rPr>
                  </w:pPr>
                  <w:r>
                    <w:rPr>
                      <w:color w:val="auto"/>
                    </w:rPr>
                    <w:t>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42" w:hRule="atLeast"/>
              </w:trPr>
              <w:tc>
                <w:tcPr>
                  <w:tcW w:w="545" w:type="pct"/>
                  <w:vMerge w:val="continue"/>
                  <w:tcBorders>
                    <w:tl2br w:val="nil"/>
                    <w:tr2bl w:val="nil"/>
                  </w:tcBorders>
                  <w:vAlign w:val="center"/>
                </w:tcPr>
                <w:p>
                  <w:pPr>
                    <w:pStyle w:val="17"/>
                    <w:bidi w:val="0"/>
                    <w:jc w:val="center"/>
                    <w:rPr>
                      <w:rFonts w:hint="eastAsia"/>
                      <w:color w:val="auto"/>
                      <w:lang w:eastAsia="zh-CN"/>
                    </w:rPr>
                  </w:pPr>
                </w:p>
              </w:tc>
              <w:tc>
                <w:tcPr>
                  <w:tcW w:w="928" w:type="pct"/>
                  <w:tcBorders>
                    <w:tl2br w:val="nil"/>
                    <w:tr2bl w:val="nil"/>
                  </w:tcBorders>
                  <w:vAlign w:val="center"/>
                </w:tcPr>
                <w:p>
                  <w:pPr>
                    <w:pStyle w:val="17"/>
                    <w:bidi w:val="0"/>
                    <w:jc w:val="center"/>
                    <w:rPr>
                      <w:rFonts w:hint="eastAsia"/>
                      <w:color w:val="auto"/>
                      <w:lang w:eastAsia="zh-CN"/>
                    </w:rPr>
                  </w:pPr>
                  <w:r>
                    <w:rPr>
                      <w:color w:val="auto"/>
                    </w:rPr>
                    <w:t>社会生活噪声</w:t>
                  </w:r>
                </w:p>
              </w:tc>
              <w:tc>
                <w:tcPr>
                  <w:tcW w:w="487" w:type="pct"/>
                  <w:tcBorders>
                    <w:tl2br w:val="nil"/>
                    <w:tr2bl w:val="nil"/>
                  </w:tcBorders>
                  <w:vAlign w:val="center"/>
                </w:tcPr>
                <w:p>
                  <w:pPr>
                    <w:pStyle w:val="17"/>
                    <w:bidi w:val="0"/>
                    <w:jc w:val="center"/>
                    <w:rPr>
                      <w:rFonts w:hint="eastAsia"/>
                      <w:color w:val="auto"/>
                      <w:lang w:eastAsia="zh-CN"/>
                    </w:rPr>
                  </w:pPr>
                  <w:r>
                    <w:rPr>
                      <w:color w:val="auto"/>
                    </w:rPr>
                    <w:t>/</w:t>
                  </w:r>
                </w:p>
              </w:tc>
              <w:tc>
                <w:tcPr>
                  <w:tcW w:w="919" w:type="pct"/>
                  <w:tcBorders>
                    <w:tl2br w:val="nil"/>
                    <w:tr2bl w:val="nil"/>
                  </w:tcBorders>
                  <w:vAlign w:val="center"/>
                </w:tcPr>
                <w:p>
                  <w:pPr>
                    <w:pStyle w:val="17"/>
                    <w:bidi w:val="0"/>
                    <w:jc w:val="center"/>
                    <w:rPr>
                      <w:rFonts w:hint="eastAsia" w:eastAsia="宋体"/>
                      <w:color w:val="auto"/>
                      <w:lang w:eastAsia="zh-CN"/>
                    </w:rPr>
                  </w:pPr>
                  <w:r>
                    <w:rPr>
                      <w:color w:val="auto"/>
                    </w:rPr>
                    <w:t>65dB</w:t>
                  </w:r>
                  <w:r>
                    <w:rPr>
                      <w:rFonts w:hint="eastAsia"/>
                      <w:color w:val="auto"/>
                      <w:lang w:eastAsia="zh-CN"/>
                    </w:rPr>
                    <w:t>（</w:t>
                  </w:r>
                  <w:r>
                    <w:rPr>
                      <w:color w:val="auto"/>
                    </w:rPr>
                    <w:t>A</w:t>
                  </w:r>
                  <w:r>
                    <w:rPr>
                      <w:rFonts w:hint="eastAsia"/>
                      <w:color w:val="auto"/>
                      <w:lang w:eastAsia="zh-CN"/>
                    </w:rPr>
                    <w:t>）</w:t>
                  </w:r>
                </w:p>
              </w:tc>
              <w:tc>
                <w:tcPr>
                  <w:tcW w:w="1058" w:type="pct"/>
                  <w:tcBorders>
                    <w:tl2br w:val="nil"/>
                    <w:tr2bl w:val="nil"/>
                  </w:tcBorders>
                  <w:vAlign w:val="center"/>
                </w:tcPr>
                <w:p>
                  <w:pPr>
                    <w:pStyle w:val="17"/>
                    <w:bidi w:val="0"/>
                    <w:jc w:val="center"/>
                    <w:rPr>
                      <w:rFonts w:hint="eastAsia"/>
                      <w:color w:val="auto"/>
                      <w:lang w:eastAsia="zh-CN"/>
                    </w:rPr>
                  </w:pPr>
                  <w:r>
                    <w:rPr>
                      <w:color w:val="auto"/>
                    </w:rPr>
                    <w:t>管理、引导</w:t>
                  </w:r>
                </w:p>
              </w:tc>
              <w:tc>
                <w:tcPr>
                  <w:tcW w:w="489" w:type="pct"/>
                  <w:tcBorders>
                    <w:tl2br w:val="nil"/>
                    <w:tr2bl w:val="nil"/>
                  </w:tcBorders>
                  <w:vAlign w:val="center"/>
                </w:tcPr>
                <w:p>
                  <w:pPr>
                    <w:pStyle w:val="17"/>
                    <w:bidi w:val="0"/>
                    <w:jc w:val="center"/>
                    <w:rPr>
                      <w:rFonts w:hint="eastAsia"/>
                      <w:color w:val="auto"/>
                      <w:lang w:eastAsia="zh-CN"/>
                    </w:rPr>
                  </w:pPr>
                  <w:r>
                    <w:rPr>
                      <w:color w:val="auto"/>
                    </w:rPr>
                    <w:t>15</w:t>
                  </w:r>
                </w:p>
              </w:tc>
              <w:tc>
                <w:tcPr>
                  <w:tcW w:w="570" w:type="pct"/>
                  <w:tcBorders>
                    <w:tl2br w:val="nil"/>
                    <w:tr2bl w:val="nil"/>
                  </w:tcBorders>
                  <w:vAlign w:val="center"/>
                </w:tcPr>
                <w:p>
                  <w:pPr>
                    <w:pStyle w:val="17"/>
                    <w:bidi w:val="0"/>
                    <w:jc w:val="center"/>
                    <w:rPr>
                      <w:rFonts w:hint="eastAsia"/>
                      <w:color w:val="auto"/>
                      <w:lang w:eastAsia="zh-CN"/>
                    </w:rPr>
                  </w:pPr>
                  <w:r>
                    <w:rPr>
                      <w:color w:val="auto"/>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545" w:type="pct"/>
                  <w:vMerge w:val="restart"/>
                  <w:tcBorders>
                    <w:tl2br w:val="nil"/>
                    <w:tr2bl w:val="nil"/>
                  </w:tcBorders>
                  <w:vAlign w:val="center"/>
                </w:tcPr>
                <w:p>
                  <w:pPr>
                    <w:pStyle w:val="17"/>
                    <w:bidi w:val="0"/>
                    <w:jc w:val="center"/>
                    <w:rPr>
                      <w:rFonts w:hint="eastAsia"/>
                      <w:color w:val="auto"/>
                      <w:lang w:eastAsia="zh-CN"/>
                    </w:rPr>
                  </w:pPr>
                  <w:r>
                    <w:rPr>
                      <w:rFonts w:hint="eastAsia"/>
                      <w:color w:val="auto"/>
                      <w:lang w:eastAsia="zh-CN"/>
                    </w:rPr>
                    <w:t>下站</w:t>
                  </w:r>
                </w:p>
              </w:tc>
              <w:tc>
                <w:tcPr>
                  <w:tcW w:w="928" w:type="pct"/>
                  <w:tcBorders>
                    <w:tl2br w:val="nil"/>
                    <w:tr2bl w:val="nil"/>
                  </w:tcBorders>
                  <w:vAlign w:val="center"/>
                </w:tcPr>
                <w:p>
                  <w:pPr>
                    <w:pStyle w:val="17"/>
                    <w:bidi w:val="0"/>
                    <w:jc w:val="center"/>
                    <w:rPr>
                      <w:rFonts w:hint="eastAsia"/>
                      <w:color w:val="auto"/>
                      <w:lang w:eastAsia="zh-CN"/>
                    </w:rPr>
                  </w:pPr>
                  <w:r>
                    <w:rPr>
                      <w:color w:val="auto"/>
                    </w:rPr>
                    <w:t>索道驱动站的设备</w:t>
                  </w:r>
                </w:p>
              </w:tc>
              <w:tc>
                <w:tcPr>
                  <w:tcW w:w="487" w:type="pct"/>
                  <w:tcBorders>
                    <w:tl2br w:val="nil"/>
                    <w:tr2bl w:val="nil"/>
                  </w:tcBorders>
                  <w:vAlign w:val="center"/>
                </w:tcPr>
                <w:p>
                  <w:pPr>
                    <w:pStyle w:val="17"/>
                    <w:bidi w:val="0"/>
                    <w:jc w:val="center"/>
                    <w:rPr>
                      <w:rFonts w:hint="eastAsia"/>
                      <w:color w:val="auto"/>
                      <w:lang w:eastAsia="zh-CN"/>
                    </w:rPr>
                  </w:pPr>
                  <w:r>
                    <w:rPr>
                      <w:color w:val="auto"/>
                    </w:rPr>
                    <w:t>1套</w:t>
                  </w:r>
                </w:p>
              </w:tc>
              <w:tc>
                <w:tcPr>
                  <w:tcW w:w="919" w:type="pct"/>
                  <w:tcBorders>
                    <w:tl2br w:val="nil"/>
                    <w:tr2bl w:val="nil"/>
                  </w:tcBorders>
                  <w:vAlign w:val="center"/>
                </w:tcPr>
                <w:p>
                  <w:pPr>
                    <w:pStyle w:val="17"/>
                    <w:bidi w:val="0"/>
                    <w:jc w:val="center"/>
                    <w:rPr>
                      <w:rFonts w:hint="eastAsia" w:eastAsia="宋体"/>
                      <w:color w:val="auto"/>
                      <w:lang w:eastAsia="zh-CN"/>
                    </w:rPr>
                  </w:pPr>
                  <w:r>
                    <w:rPr>
                      <w:color w:val="auto"/>
                    </w:rPr>
                    <w:t>70～85dB</w:t>
                  </w:r>
                  <w:r>
                    <w:rPr>
                      <w:rFonts w:hint="eastAsia"/>
                      <w:color w:val="auto"/>
                      <w:lang w:eastAsia="zh-CN"/>
                    </w:rPr>
                    <w:t>（</w:t>
                  </w:r>
                  <w:r>
                    <w:rPr>
                      <w:color w:val="auto"/>
                    </w:rPr>
                    <w:t>A</w:t>
                  </w:r>
                  <w:r>
                    <w:rPr>
                      <w:rFonts w:hint="eastAsia"/>
                      <w:color w:val="auto"/>
                      <w:lang w:eastAsia="zh-CN"/>
                    </w:rPr>
                    <w:t>）</w:t>
                  </w:r>
                </w:p>
              </w:tc>
              <w:tc>
                <w:tcPr>
                  <w:tcW w:w="1058" w:type="pct"/>
                  <w:tcBorders>
                    <w:tl2br w:val="nil"/>
                    <w:tr2bl w:val="nil"/>
                  </w:tcBorders>
                  <w:vAlign w:val="center"/>
                </w:tcPr>
                <w:p>
                  <w:pPr>
                    <w:pStyle w:val="17"/>
                    <w:bidi w:val="0"/>
                    <w:jc w:val="center"/>
                    <w:rPr>
                      <w:rFonts w:hint="eastAsia"/>
                      <w:color w:val="auto"/>
                      <w:lang w:eastAsia="zh-CN"/>
                    </w:rPr>
                  </w:pPr>
                  <w:r>
                    <w:rPr>
                      <w:color w:val="auto"/>
                    </w:rPr>
                    <w:t>隔声、减振</w:t>
                  </w:r>
                </w:p>
              </w:tc>
              <w:tc>
                <w:tcPr>
                  <w:tcW w:w="489" w:type="pct"/>
                  <w:tcBorders>
                    <w:tl2br w:val="nil"/>
                    <w:tr2bl w:val="nil"/>
                  </w:tcBorders>
                  <w:vAlign w:val="center"/>
                </w:tcPr>
                <w:p>
                  <w:pPr>
                    <w:pStyle w:val="17"/>
                    <w:bidi w:val="0"/>
                    <w:jc w:val="center"/>
                    <w:rPr>
                      <w:rFonts w:hint="eastAsia"/>
                      <w:color w:val="auto"/>
                      <w:lang w:eastAsia="zh-CN"/>
                    </w:rPr>
                  </w:pPr>
                  <w:r>
                    <w:rPr>
                      <w:color w:val="auto"/>
                    </w:rPr>
                    <w:t>20</w:t>
                  </w:r>
                </w:p>
              </w:tc>
              <w:tc>
                <w:tcPr>
                  <w:tcW w:w="570" w:type="pct"/>
                  <w:tcBorders>
                    <w:tl2br w:val="nil"/>
                    <w:tr2bl w:val="nil"/>
                  </w:tcBorders>
                  <w:vAlign w:val="center"/>
                </w:tcPr>
                <w:p>
                  <w:pPr>
                    <w:pStyle w:val="17"/>
                    <w:bidi w:val="0"/>
                    <w:jc w:val="center"/>
                    <w:rPr>
                      <w:rFonts w:hint="eastAsia"/>
                      <w:color w:val="auto"/>
                      <w:lang w:eastAsia="zh-CN"/>
                    </w:rPr>
                  </w:pPr>
                  <w:r>
                    <w:rPr>
                      <w:color w:val="auto"/>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42" w:hRule="atLeast"/>
              </w:trPr>
              <w:tc>
                <w:tcPr>
                  <w:tcW w:w="545" w:type="pct"/>
                  <w:vMerge w:val="continue"/>
                  <w:tcBorders>
                    <w:tl2br w:val="nil"/>
                    <w:tr2bl w:val="nil"/>
                  </w:tcBorders>
                  <w:vAlign w:val="center"/>
                </w:tcPr>
                <w:p>
                  <w:pPr>
                    <w:pStyle w:val="17"/>
                    <w:bidi w:val="0"/>
                    <w:jc w:val="center"/>
                    <w:rPr>
                      <w:rFonts w:hint="eastAsia"/>
                      <w:color w:val="auto"/>
                      <w:lang w:eastAsia="zh-CN"/>
                    </w:rPr>
                  </w:pPr>
                </w:p>
              </w:tc>
              <w:tc>
                <w:tcPr>
                  <w:tcW w:w="928" w:type="pct"/>
                  <w:tcBorders>
                    <w:tl2br w:val="nil"/>
                    <w:tr2bl w:val="nil"/>
                  </w:tcBorders>
                  <w:vAlign w:val="center"/>
                </w:tcPr>
                <w:p>
                  <w:pPr>
                    <w:pStyle w:val="17"/>
                    <w:bidi w:val="0"/>
                    <w:jc w:val="center"/>
                    <w:rPr>
                      <w:color w:val="auto"/>
                    </w:rPr>
                  </w:pPr>
                  <w:r>
                    <w:rPr>
                      <w:color w:val="auto"/>
                    </w:rPr>
                    <w:t>空调外机</w:t>
                  </w:r>
                </w:p>
                <w:p>
                  <w:pPr>
                    <w:pStyle w:val="17"/>
                    <w:bidi w:val="0"/>
                    <w:jc w:val="center"/>
                    <w:rPr>
                      <w:rFonts w:hint="eastAsia"/>
                      <w:color w:val="auto"/>
                      <w:lang w:eastAsia="zh-CN"/>
                    </w:rPr>
                  </w:pPr>
                  <w:r>
                    <w:rPr>
                      <w:color w:val="auto"/>
                    </w:rPr>
                    <w:t>（单体空调）</w:t>
                  </w:r>
                </w:p>
              </w:tc>
              <w:tc>
                <w:tcPr>
                  <w:tcW w:w="487" w:type="pct"/>
                  <w:tcBorders>
                    <w:tl2br w:val="nil"/>
                    <w:tr2bl w:val="nil"/>
                  </w:tcBorders>
                  <w:vAlign w:val="center"/>
                </w:tcPr>
                <w:p>
                  <w:pPr>
                    <w:pStyle w:val="17"/>
                    <w:bidi w:val="0"/>
                    <w:jc w:val="center"/>
                    <w:rPr>
                      <w:rFonts w:hint="eastAsia"/>
                      <w:color w:val="auto"/>
                      <w:lang w:eastAsia="zh-CN"/>
                    </w:rPr>
                  </w:pPr>
                  <w:r>
                    <w:rPr>
                      <w:color w:val="auto"/>
                    </w:rPr>
                    <w:t>4套</w:t>
                  </w:r>
                </w:p>
              </w:tc>
              <w:tc>
                <w:tcPr>
                  <w:tcW w:w="919" w:type="pct"/>
                  <w:tcBorders>
                    <w:tl2br w:val="nil"/>
                    <w:tr2bl w:val="nil"/>
                  </w:tcBorders>
                  <w:vAlign w:val="center"/>
                </w:tcPr>
                <w:p>
                  <w:pPr>
                    <w:pStyle w:val="17"/>
                    <w:bidi w:val="0"/>
                    <w:jc w:val="center"/>
                    <w:rPr>
                      <w:rFonts w:hint="eastAsia" w:eastAsia="宋体"/>
                      <w:color w:val="auto"/>
                      <w:lang w:eastAsia="zh-CN"/>
                    </w:rPr>
                  </w:pPr>
                  <w:r>
                    <w:rPr>
                      <w:color w:val="auto"/>
                    </w:rPr>
                    <w:t>65～70dB</w:t>
                  </w:r>
                  <w:r>
                    <w:rPr>
                      <w:rFonts w:hint="eastAsia"/>
                      <w:color w:val="auto"/>
                      <w:lang w:eastAsia="zh-CN"/>
                    </w:rPr>
                    <w:t>（</w:t>
                  </w:r>
                  <w:r>
                    <w:rPr>
                      <w:color w:val="auto"/>
                    </w:rPr>
                    <w:t>A</w:t>
                  </w:r>
                  <w:r>
                    <w:rPr>
                      <w:rFonts w:hint="eastAsia"/>
                      <w:color w:val="auto"/>
                      <w:lang w:eastAsia="zh-CN"/>
                    </w:rPr>
                    <w:t>）</w:t>
                  </w:r>
                </w:p>
              </w:tc>
              <w:tc>
                <w:tcPr>
                  <w:tcW w:w="1058" w:type="pct"/>
                  <w:tcBorders>
                    <w:tl2br w:val="nil"/>
                    <w:tr2bl w:val="nil"/>
                  </w:tcBorders>
                  <w:vAlign w:val="center"/>
                </w:tcPr>
                <w:p>
                  <w:pPr>
                    <w:pStyle w:val="17"/>
                    <w:bidi w:val="0"/>
                    <w:jc w:val="center"/>
                    <w:rPr>
                      <w:rFonts w:hint="eastAsia"/>
                      <w:color w:val="auto"/>
                      <w:lang w:eastAsia="zh-CN"/>
                    </w:rPr>
                  </w:pPr>
                  <w:r>
                    <w:rPr>
                      <w:color w:val="auto"/>
                    </w:rPr>
                    <w:t>隔声、减振</w:t>
                  </w:r>
                </w:p>
              </w:tc>
              <w:tc>
                <w:tcPr>
                  <w:tcW w:w="489" w:type="pct"/>
                  <w:tcBorders>
                    <w:tl2br w:val="nil"/>
                    <w:tr2bl w:val="nil"/>
                  </w:tcBorders>
                  <w:vAlign w:val="center"/>
                </w:tcPr>
                <w:p>
                  <w:pPr>
                    <w:pStyle w:val="17"/>
                    <w:bidi w:val="0"/>
                    <w:jc w:val="center"/>
                    <w:rPr>
                      <w:rFonts w:hint="eastAsia"/>
                      <w:color w:val="auto"/>
                      <w:lang w:eastAsia="zh-CN"/>
                    </w:rPr>
                  </w:pPr>
                  <w:r>
                    <w:rPr>
                      <w:color w:val="auto"/>
                    </w:rPr>
                    <w:t>10</w:t>
                  </w:r>
                </w:p>
              </w:tc>
              <w:tc>
                <w:tcPr>
                  <w:tcW w:w="570" w:type="pct"/>
                  <w:tcBorders>
                    <w:tl2br w:val="nil"/>
                    <w:tr2bl w:val="nil"/>
                  </w:tcBorders>
                  <w:vAlign w:val="center"/>
                </w:tcPr>
                <w:p>
                  <w:pPr>
                    <w:pStyle w:val="17"/>
                    <w:bidi w:val="0"/>
                    <w:jc w:val="center"/>
                    <w:rPr>
                      <w:rFonts w:hint="eastAsia"/>
                      <w:color w:val="auto"/>
                      <w:lang w:eastAsia="zh-CN"/>
                    </w:rPr>
                  </w:pPr>
                  <w:r>
                    <w:rPr>
                      <w:color w:val="auto"/>
                    </w:rPr>
                    <w:t>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545" w:type="pct"/>
                  <w:vMerge w:val="continue"/>
                  <w:tcBorders>
                    <w:tl2br w:val="nil"/>
                    <w:tr2bl w:val="nil"/>
                  </w:tcBorders>
                  <w:vAlign w:val="center"/>
                </w:tcPr>
                <w:p>
                  <w:pPr>
                    <w:pStyle w:val="17"/>
                    <w:bidi w:val="0"/>
                    <w:jc w:val="center"/>
                    <w:rPr>
                      <w:rFonts w:hint="eastAsia"/>
                      <w:color w:val="auto"/>
                      <w:lang w:eastAsia="zh-CN"/>
                    </w:rPr>
                  </w:pPr>
                </w:p>
              </w:tc>
              <w:tc>
                <w:tcPr>
                  <w:tcW w:w="928" w:type="pct"/>
                  <w:tcBorders>
                    <w:tl2br w:val="nil"/>
                    <w:tr2bl w:val="nil"/>
                  </w:tcBorders>
                  <w:vAlign w:val="center"/>
                </w:tcPr>
                <w:p>
                  <w:pPr>
                    <w:pStyle w:val="17"/>
                    <w:bidi w:val="0"/>
                    <w:jc w:val="center"/>
                    <w:rPr>
                      <w:rFonts w:hint="eastAsia"/>
                      <w:color w:val="auto"/>
                      <w:lang w:eastAsia="zh-CN"/>
                    </w:rPr>
                  </w:pPr>
                  <w:r>
                    <w:rPr>
                      <w:color w:val="auto"/>
                    </w:rPr>
                    <w:t>社会生活噪声</w:t>
                  </w:r>
                </w:p>
              </w:tc>
              <w:tc>
                <w:tcPr>
                  <w:tcW w:w="487" w:type="pct"/>
                  <w:tcBorders>
                    <w:tl2br w:val="nil"/>
                    <w:tr2bl w:val="nil"/>
                  </w:tcBorders>
                  <w:vAlign w:val="center"/>
                </w:tcPr>
                <w:p>
                  <w:pPr>
                    <w:pStyle w:val="17"/>
                    <w:bidi w:val="0"/>
                    <w:jc w:val="center"/>
                    <w:rPr>
                      <w:rFonts w:hint="eastAsia"/>
                      <w:color w:val="auto"/>
                      <w:lang w:eastAsia="zh-CN"/>
                    </w:rPr>
                  </w:pPr>
                  <w:r>
                    <w:rPr>
                      <w:color w:val="auto"/>
                    </w:rPr>
                    <w:t>/</w:t>
                  </w:r>
                </w:p>
              </w:tc>
              <w:tc>
                <w:tcPr>
                  <w:tcW w:w="919" w:type="pct"/>
                  <w:tcBorders>
                    <w:tl2br w:val="nil"/>
                    <w:tr2bl w:val="nil"/>
                  </w:tcBorders>
                  <w:vAlign w:val="center"/>
                </w:tcPr>
                <w:p>
                  <w:pPr>
                    <w:pStyle w:val="17"/>
                    <w:bidi w:val="0"/>
                    <w:jc w:val="center"/>
                    <w:rPr>
                      <w:rFonts w:hint="eastAsia" w:eastAsia="宋体"/>
                      <w:color w:val="auto"/>
                      <w:lang w:eastAsia="zh-CN"/>
                    </w:rPr>
                  </w:pPr>
                  <w:r>
                    <w:rPr>
                      <w:color w:val="auto"/>
                    </w:rPr>
                    <w:t>70～80dB</w:t>
                  </w:r>
                  <w:r>
                    <w:rPr>
                      <w:rFonts w:hint="eastAsia"/>
                      <w:color w:val="auto"/>
                      <w:lang w:eastAsia="zh-CN"/>
                    </w:rPr>
                    <w:t>（</w:t>
                  </w:r>
                  <w:r>
                    <w:rPr>
                      <w:color w:val="auto"/>
                    </w:rPr>
                    <w:t>A</w:t>
                  </w:r>
                  <w:r>
                    <w:rPr>
                      <w:rFonts w:hint="eastAsia"/>
                      <w:color w:val="auto"/>
                      <w:lang w:eastAsia="zh-CN"/>
                    </w:rPr>
                    <w:t>）</w:t>
                  </w:r>
                </w:p>
              </w:tc>
              <w:tc>
                <w:tcPr>
                  <w:tcW w:w="1058" w:type="pct"/>
                  <w:tcBorders>
                    <w:tl2br w:val="nil"/>
                    <w:tr2bl w:val="nil"/>
                  </w:tcBorders>
                  <w:vAlign w:val="center"/>
                </w:tcPr>
                <w:p>
                  <w:pPr>
                    <w:pStyle w:val="17"/>
                    <w:bidi w:val="0"/>
                    <w:jc w:val="center"/>
                    <w:rPr>
                      <w:rFonts w:hint="eastAsia"/>
                      <w:color w:val="auto"/>
                      <w:lang w:eastAsia="zh-CN"/>
                    </w:rPr>
                  </w:pPr>
                  <w:r>
                    <w:rPr>
                      <w:color w:val="auto"/>
                    </w:rPr>
                    <w:t>管理、引导</w:t>
                  </w:r>
                </w:p>
              </w:tc>
              <w:tc>
                <w:tcPr>
                  <w:tcW w:w="489" w:type="pct"/>
                  <w:tcBorders>
                    <w:tl2br w:val="nil"/>
                    <w:tr2bl w:val="nil"/>
                  </w:tcBorders>
                  <w:vAlign w:val="center"/>
                </w:tcPr>
                <w:p>
                  <w:pPr>
                    <w:pStyle w:val="17"/>
                    <w:bidi w:val="0"/>
                    <w:jc w:val="center"/>
                    <w:rPr>
                      <w:rFonts w:hint="eastAsia"/>
                      <w:color w:val="auto"/>
                      <w:lang w:eastAsia="zh-CN"/>
                    </w:rPr>
                  </w:pPr>
                  <w:r>
                    <w:rPr>
                      <w:color w:val="auto"/>
                    </w:rPr>
                    <w:t>15</w:t>
                  </w:r>
                </w:p>
              </w:tc>
              <w:tc>
                <w:tcPr>
                  <w:tcW w:w="570" w:type="pct"/>
                  <w:tcBorders>
                    <w:tl2br w:val="nil"/>
                    <w:tr2bl w:val="nil"/>
                  </w:tcBorders>
                  <w:vAlign w:val="center"/>
                </w:tcPr>
                <w:p>
                  <w:pPr>
                    <w:pStyle w:val="17"/>
                    <w:bidi w:val="0"/>
                    <w:jc w:val="center"/>
                    <w:rPr>
                      <w:rFonts w:hint="eastAsia"/>
                      <w:color w:val="auto"/>
                      <w:lang w:eastAsia="zh-CN"/>
                    </w:rPr>
                  </w:pPr>
                  <w:r>
                    <w:rPr>
                      <w:color w:val="auto"/>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42" w:hRule="atLeast"/>
              </w:trPr>
              <w:tc>
                <w:tcPr>
                  <w:tcW w:w="545" w:type="pct"/>
                  <w:vMerge w:val="continue"/>
                  <w:tcBorders>
                    <w:tl2br w:val="nil"/>
                    <w:tr2bl w:val="nil"/>
                  </w:tcBorders>
                  <w:vAlign w:val="center"/>
                </w:tcPr>
                <w:p>
                  <w:pPr>
                    <w:pStyle w:val="17"/>
                    <w:bidi w:val="0"/>
                    <w:jc w:val="center"/>
                    <w:rPr>
                      <w:rFonts w:hint="eastAsia"/>
                      <w:color w:val="auto"/>
                      <w:lang w:eastAsia="zh-CN"/>
                    </w:rPr>
                  </w:pPr>
                </w:p>
              </w:tc>
              <w:tc>
                <w:tcPr>
                  <w:tcW w:w="928" w:type="pct"/>
                  <w:tcBorders>
                    <w:tl2br w:val="nil"/>
                    <w:tr2bl w:val="nil"/>
                  </w:tcBorders>
                  <w:vAlign w:val="center"/>
                </w:tcPr>
                <w:p>
                  <w:pPr>
                    <w:pStyle w:val="17"/>
                    <w:bidi w:val="0"/>
                    <w:jc w:val="center"/>
                    <w:rPr>
                      <w:rFonts w:hint="eastAsia"/>
                      <w:color w:val="auto"/>
                      <w:lang w:eastAsia="zh-CN"/>
                    </w:rPr>
                  </w:pPr>
                  <w:r>
                    <w:rPr>
                      <w:color w:val="auto"/>
                    </w:rPr>
                    <w:t>水泵</w:t>
                  </w:r>
                </w:p>
              </w:tc>
              <w:tc>
                <w:tcPr>
                  <w:tcW w:w="487" w:type="pct"/>
                  <w:tcBorders>
                    <w:tl2br w:val="nil"/>
                    <w:tr2bl w:val="nil"/>
                  </w:tcBorders>
                  <w:vAlign w:val="center"/>
                </w:tcPr>
                <w:p>
                  <w:pPr>
                    <w:pStyle w:val="17"/>
                    <w:bidi w:val="0"/>
                    <w:jc w:val="center"/>
                    <w:rPr>
                      <w:rFonts w:hint="eastAsia"/>
                      <w:color w:val="auto"/>
                      <w:lang w:eastAsia="zh-CN"/>
                    </w:rPr>
                  </w:pPr>
                  <w:r>
                    <w:rPr>
                      <w:color w:val="auto"/>
                    </w:rPr>
                    <w:t>1备1用</w:t>
                  </w:r>
                </w:p>
              </w:tc>
              <w:tc>
                <w:tcPr>
                  <w:tcW w:w="919" w:type="pct"/>
                  <w:tcBorders>
                    <w:tl2br w:val="nil"/>
                    <w:tr2bl w:val="nil"/>
                  </w:tcBorders>
                  <w:vAlign w:val="center"/>
                </w:tcPr>
                <w:p>
                  <w:pPr>
                    <w:pStyle w:val="17"/>
                    <w:bidi w:val="0"/>
                    <w:jc w:val="center"/>
                    <w:rPr>
                      <w:rFonts w:hint="eastAsia"/>
                      <w:color w:val="auto"/>
                      <w:lang w:eastAsia="zh-CN"/>
                    </w:rPr>
                  </w:pPr>
                  <w:r>
                    <w:rPr>
                      <w:color w:val="auto"/>
                    </w:rPr>
                    <w:t>65～70dB</w:t>
                  </w:r>
                  <w:r>
                    <w:rPr>
                      <w:rFonts w:hint="eastAsia"/>
                      <w:color w:val="auto"/>
                      <w:lang w:eastAsia="zh-CN"/>
                    </w:rPr>
                    <w:t>（</w:t>
                  </w:r>
                  <w:r>
                    <w:rPr>
                      <w:color w:val="auto"/>
                    </w:rPr>
                    <w:t>A</w:t>
                  </w:r>
                </w:p>
              </w:tc>
              <w:tc>
                <w:tcPr>
                  <w:tcW w:w="1058" w:type="pct"/>
                  <w:tcBorders>
                    <w:tl2br w:val="nil"/>
                    <w:tr2bl w:val="nil"/>
                  </w:tcBorders>
                  <w:vAlign w:val="center"/>
                </w:tcPr>
                <w:p>
                  <w:pPr>
                    <w:pStyle w:val="17"/>
                    <w:bidi w:val="0"/>
                    <w:jc w:val="center"/>
                    <w:rPr>
                      <w:rFonts w:hint="eastAsia"/>
                      <w:color w:val="auto"/>
                      <w:lang w:eastAsia="zh-CN"/>
                    </w:rPr>
                  </w:pPr>
                  <w:r>
                    <w:rPr>
                      <w:color w:val="auto"/>
                    </w:rPr>
                    <w:t>减振、隔声</w:t>
                  </w:r>
                </w:p>
              </w:tc>
              <w:tc>
                <w:tcPr>
                  <w:tcW w:w="489" w:type="pct"/>
                  <w:tcBorders>
                    <w:tl2br w:val="nil"/>
                    <w:tr2bl w:val="nil"/>
                  </w:tcBorders>
                  <w:vAlign w:val="center"/>
                </w:tcPr>
                <w:p>
                  <w:pPr>
                    <w:pStyle w:val="17"/>
                    <w:bidi w:val="0"/>
                    <w:jc w:val="center"/>
                    <w:rPr>
                      <w:rFonts w:hint="eastAsia"/>
                      <w:color w:val="auto"/>
                      <w:lang w:eastAsia="zh-CN"/>
                    </w:rPr>
                  </w:pPr>
                  <w:r>
                    <w:rPr>
                      <w:color w:val="auto"/>
                    </w:rPr>
                    <w:t>20</w:t>
                  </w:r>
                </w:p>
              </w:tc>
              <w:tc>
                <w:tcPr>
                  <w:tcW w:w="570" w:type="pct"/>
                  <w:tcBorders>
                    <w:tl2br w:val="nil"/>
                    <w:tr2bl w:val="nil"/>
                  </w:tcBorders>
                  <w:vAlign w:val="center"/>
                </w:tcPr>
                <w:p>
                  <w:pPr>
                    <w:pStyle w:val="17"/>
                    <w:bidi w:val="0"/>
                    <w:jc w:val="center"/>
                    <w:rPr>
                      <w:rFonts w:hint="eastAsia"/>
                      <w:color w:val="auto"/>
                      <w:lang w:eastAsia="zh-CN"/>
                    </w:rPr>
                  </w:pPr>
                  <w:r>
                    <w:rPr>
                      <w:color w:val="auto"/>
                    </w:rPr>
                    <w:t>55</w:t>
                  </w:r>
                </w:p>
              </w:tc>
            </w:tr>
          </w:tbl>
          <w:p>
            <w:pPr>
              <w:bidi w:val="0"/>
              <w:spacing w:line="240" w:lineRule="auto"/>
              <w:jc w:val="center"/>
              <w:rPr>
                <w:rFonts w:hint="eastAsia" w:ascii="Times New Roman" w:hAnsi="Times New Roman" w:eastAsia="黑体" w:cs="Times New Roman"/>
                <w:b w:val="0"/>
                <w:bCs w:val="0"/>
                <w:color w:val="auto"/>
                <w:kern w:val="44"/>
                <w:sz w:val="24"/>
                <w:szCs w:val="24"/>
                <w:lang w:val="en-US" w:eastAsia="zh-CN" w:bidi="ar-SA"/>
              </w:rPr>
            </w:pPr>
            <w:r>
              <w:rPr>
                <w:rFonts w:hint="eastAsia" w:ascii="Times New Roman" w:hAnsi="Times New Roman" w:eastAsia="黑体" w:cs="Times New Roman"/>
                <w:b w:val="0"/>
                <w:bCs w:val="0"/>
                <w:color w:val="auto"/>
                <w:kern w:val="44"/>
                <w:sz w:val="24"/>
                <w:szCs w:val="24"/>
                <w:lang w:val="en-US" w:eastAsia="zh-CN" w:bidi="ar-SA"/>
              </w:rPr>
              <w:t>表6-2  项目运营期间场界噪声贡献值结果单位：dB（A）</w:t>
            </w:r>
          </w:p>
          <w:tbl>
            <w:tblPr>
              <w:tblStyle w:val="19"/>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71"/>
              <w:gridCol w:w="779"/>
              <w:gridCol w:w="998"/>
              <w:gridCol w:w="998"/>
              <w:gridCol w:w="956"/>
              <w:gridCol w:w="875"/>
              <w:gridCol w:w="1100"/>
              <w:gridCol w:w="1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998" w:type="pct"/>
                  <w:gridSpan w:val="2"/>
                  <w:vMerge w:val="restart"/>
                  <w:tcBorders>
                    <w:top w:val="single" w:color="000000" w:sz="10" w:space="0"/>
                    <w:left w:val="nil"/>
                    <w:bottom w:val="nil"/>
                  </w:tcBorders>
                  <w:vAlign w:val="center"/>
                </w:tcPr>
                <w:p>
                  <w:pPr>
                    <w:pStyle w:val="17"/>
                    <w:bidi w:val="0"/>
                    <w:jc w:val="center"/>
                    <w:rPr>
                      <w:rFonts w:hint="eastAsia"/>
                      <w:color w:val="auto"/>
                      <w:lang w:eastAsia="zh-CN"/>
                    </w:rPr>
                  </w:pPr>
                  <w:r>
                    <w:rPr>
                      <w:rFonts w:hint="eastAsia"/>
                      <w:color w:val="auto"/>
                      <w:lang w:eastAsia="zh-CN"/>
                    </w:rPr>
                    <w:t>预测点位置</w:t>
                  </w:r>
                </w:p>
              </w:tc>
              <w:tc>
                <w:tcPr>
                  <w:tcW w:w="2462" w:type="pct"/>
                  <w:gridSpan w:val="4"/>
                  <w:tcBorders>
                    <w:top w:val="single" w:color="000000" w:sz="10" w:space="0"/>
                  </w:tcBorders>
                  <w:vAlign w:val="center"/>
                </w:tcPr>
                <w:p>
                  <w:pPr>
                    <w:pStyle w:val="17"/>
                    <w:bidi w:val="0"/>
                    <w:jc w:val="center"/>
                    <w:rPr>
                      <w:rFonts w:hint="eastAsia"/>
                      <w:color w:val="auto"/>
                      <w:lang w:eastAsia="zh-CN"/>
                    </w:rPr>
                  </w:pPr>
                  <w:r>
                    <w:rPr>
                      <w:rFonts w:hint="eastAsia"/>
                      <w:color w:val="auto"/>
                      <w:lang w:eastAsia="zh-CN"/>
                    </w:rPr>
                    <w:t>噪声源</w:t>
                  </w:r>
                </w:p>
              </w:tc>
              <w:tc>
                <w:tcPr>
                  <w:tcW w:w="1539" w:type="pct"/>
                  <w:gridSpan w:val="2"/>
                  <w:tcBorders>
                    <w:top w:val="single" w:color="000000" w:sz="10" w:space="0"/>
                    <w:right w:val="nil"/>
                  </w:tcBorders>
                  <w:vAlign w:val="center"/>
                </w:tcPr>
                <w:p>
                  <w:pPr>
                    <w:pStyle w:val="17"/>
                    <w:bidi w:val="0"/>
                    <w:jc w:val="center"/>
                    <w:rPr>
                      <w:rFonts w:hint="eastAsia"/>
                      <w:color w:val="auto"/>
                      <w:lang w:eastAsia="zh-CN"/>
                    </w:rPr>
                  </w:pPr>
                  <w:r>
                    <w:rPr>
                      <w:rFonts w:hint="eastAsia"/>
                      <w:color w:val="auto"/>
                      <w:lang w:eastAsia="zh-CN"/>
                    </w:rPr>
                    <w:t>厂界噪声贡献值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998" w:type="pct"/>
                  <w:gridSpan w:val="2"/>
                  <w:vMerge w:val="continue"/>
                  <w:tcBorders>
                    <w:top w:val="nil"/>
                    <w:left w:val="nil"/>
                  </w:tcBorders>
                  <w:vAlign w:val="center"/>
                </w:tcPr>
                <w:p>
                  <w:pPr>
                    <w:pStyle w:val="17"/>
                    <w:bidi w:val="0"/>
                    <w:jc w:val="center"/>
                    <w:rPr>
                      <w:rFonts w:hint="eastAsia"/>
                      <w:color w:val="auto"/>
                      <w:lang w:eastAsia="zh-CN"/>
                    </w:rPr>
                  </w:pPr>
                </w:p>
              </w:tc>
              <w:tc>
                <w:tcPr>
                  <w:tcW w:w="642" w:type="pct"/>
                  <w:vAlign w:val="center"/>
                </w:tcPr>
                <w:p>
                  <w:pPr>
                    <w:pStyle w:val="17"/>
                    <w:bidi w:val="0"/>
                    <w:jc w:val="center"/>
                    <w:rPr>
                      <w:rFonts w:hint="eastAsia"/>
                      <w:color w:val="auto"/>
                      <w:lang w:eastAsia="zh-CN"/>
                    </w:rPr>
                  </w:pPr>
                  <w:r>
                    <w:rPr>
                      <w:rFonts w:hint="eastAsia"/>
                      <w:color w:val="auto"/>
                      <w:lang w:eastAsia="zh-CN"/>
                    </w:rPr>
                    <w:t>驱动站</w:t>
                  </w:r>
                </w:p>
              </w:tc>
              <w:tc>
                <w:tcPr>
                  <w:tcW w:w="642" w:type="pct"/>
                  <w:vAlign w:val="center"/>
                </w:tcPr>
                <w:p>
                  <w:pPr>
                    <w:pStyle w:val="17"/>
                    <w:bidi w:val="0"/>
                    <w:jc w:val="center"/>
                    <w:rPr>
                      <w:rFonts w:hint="eastAsia"/>
                      <w:color w:val="auto"/>
                      <w:lang w:eastAsia="zh-CN"/>
                    </w:rPr>
                  </w:pPr>
                  <w:r>
                    <w:rPr>
                      <w:rFonts w:hint="eastAsia"/>
                      <w:color w:val="auto"/>
                      <w:lang w:eastAsia="zh-CN"/>
                    </w:rPr>
                    <w:t>空调</w:t>
                  </w:r>
                </w:p>
              </w:tc>
              <w:tc>
                <w:tcPr>
                  <w:tcW w:w="615" w:type="pct"/>
                  <w:vAlign w:val="center"/>
                </w:tcPr>
                <w:p>
                  <w:pPr>
                    <w:pStyle w:val="17"/>
                    <w:bidi w:val="0"/>
                    <w:jc w:val="center"/>
                    <w:rPr>
                      <w:rFonts w:hint="eastAsia"/>
                      <w:color w:val="auto"/>
                      <w:lang w:eastAsia="zh-CN"/>
                    </w:rPr>
                  </w:pPr>
                  <w:r>
                    <w:rPr>
                      <w:rFonts w:hint="eastAsia"/>
                      <w:color w:val="auto"/>
                      <w:lang w:eastAsia="zh-CN"/>
                    </w:rPr>
                    <w:t>社会生活</w:t>
                  </w:r>
                </w:p>
              </w:tc>
              <w:tc>
                <w:tcPr>
                  <w:tcW w:w="562" w:type="pct"/>
                  <w:vAlign w:val="center"/>
                </w:tcPr>
                <w:p>
                  <w:pPr>
                    <w:pStyle w:val="17"/>
                    <w:bidi w:val="0"/>
                    <w:jc w:val="center"/>
                    <w:rPr>
                      <w:rFonts w:hint="eastAsia"/>
                      <w:color w:val="auto"/>
                      <w:lang w:eastAsia="zh-CN"/>
                    </w:rPr>
                  </w:pPr>
                  <w:r>
                    <w:rPr>
                      <w:rFonts w:hint="eastAsia"/>
                      <w:color w:val="auto"/>
                      <w:lang w:eastAsia="zh-CN"/>
                    </w:rPr>
                    <w:t>水泵</w:t>
                  </w:r>
                </w:p>
              </w:tc>
              <w:tc>
                <w:tcPr>
                  <w:tcW w:w="708" w:type="pct"/>
                  <w:vAlign w:val="center"/>
                </w:tcPr>
                <w:p>
                  <w:pPr>
                    <w:pStyle w:val="17"/>
                    <w:bidi w:val="0"/>
                    <w:jc w:val="center"/>
                    <w:rPr>
                      <w:rFonts w:hint="eastAsia"/>
                      <w:color w:val="auto"/>
                      <w:lang w:eastAsia="zh-CN"/>
                    </w:rPr>
                  </w:pPr>
                  <w:r>
                    <w:rPr>
                      <w:rFonts w:hint="eastAsia"/>
                      <w:color w:val="auto"/>
                      <w:lang w:eastAsia="zh-CN"/>
                    </w:rPr>
                    <w:t>昼间</w:t>
                  </w:r>
                </w:p>
              </w:tc>
              <w:tc>
                <w:tcPr>
                  <w:tcW w:w="831" w:type="pct"/>
                  <w:tcBorders>
                    <w:right w:val="nil"/>
                  </w:tcBorders>
                  <w:vAlign w:val="center"/>
                </w:tcPr>
                <w:p>
                  <w:pPr>
                    <w:pStyle w:val="17"/>
                    <w:bidi w:val="0"/>
                    <w:jc w:val="center"/>
                    <w:rPr>
                      <w:rFonts w:hint="eastAsia"/>
                      <w:color w:val="auto"/>
                      <w:lang w:eastAsia="zh-CN"/>
                    </w:rPr>
                  </w:pPr>
                  <w:r>
                    <w:rPr>
                      <w:rFonts w:hint="eastAsia"/>
                      <w:color w:val="auto"/>
                      <w:lang w:eastAsia="zh-CN"/>
                    </w:rPr>
                    <w:t>夜间不运营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497" w:type="pct"/>
                  <w:vMerge w:val="restart"/>
                  <w:tcBorders>
                    <w:left w:val="nil"/>
                    <w:bottom w:val="nil"/>
                  </w:tcBorders>
                  <w:vAlign w:val="center"/>
                </w:tcPr>
                <w:p>
                  <w:pPr>
                    <w:pStyle w:val="17"/>
                    <w:bidi w:val="0"/>
                    <w:jc w:val="center"/>
                    <w:rPr>
                      <w:rFonts w:hint="eastAsia"/>
                      <w:color w:val="auto"/>
                      <w:lang w:eastAsia="zh-CN"/>
                    </w:rPr>
                  </w:pPr>
                  <w:r>
                    <w:rPr>
                      <w:rFonts w:hint="eastAsia"/>
                      <w:color w:val="auto"/>
                      <w:lang w:eastAsia="zh-CN"/>
                    </w:rPr>
                    <w:t>上站</w:t>
                  </w:r>
                </w:p>
              </w:tc>
              <w:tc>
                <w:tcPr>
                  <w:tcW w:w="500" w:type="pct"/>
                  <w:vAlign w:val="center"/>
                </w:tcPr>
                <w:p>
                  <w:pPr>
                    <w:pStyle w:val="17"/>
                    <w:bidi w:val="0"/>
                    <w:jc w:val="center"/>
                    <w:rPr>
                      <w:rFonts w:hint="eastAsia"/>
                      <w:color w:val="auto"/>
                      <w:lang w:eastAsia="zh-CN"/>
                    </w:rPr>
                  </w:pPr>
                  <w:r>
                    <w:rPr>
                      <w:rFonts w:hint="eastAsia"/>
                      <w:color w:val="auto"/>
                      <w:lang w:eastAsia="zh-CN"/>
                    </w:rPr>
                    <w:t>东场界</w:t>
                  </w:r>
                </w:p>
              </w:tc>
              <w:tc>
                <w:tcPr>
                  <w:tcW w:w="642" w:type="pct"/>
                  <w:vAlign w:val="center"/>
                </w:tcPr>
                <w:p>
                  <w:pPr>
                    <w:pStyle w:val="17"/>
                    <w:bidi w:val="0"/>
                    <w:jc w:val="center"/>
                    <w:rPr>
                      <w:rFonts w:hint="eastAsia"/>
                      <w:color w:val="auto"/>
                      <w:lang w:eastAsia="zh-CN"/>
                    </w:rPr>
                  </w:pPr>
                  <w:r>
                    <w:rPr>
                      <w:rFonts w:hint="eastAsia"/>
                      <w:color w:val="auto"/>
                      <w:lang w:eastAsia="zh-CN"/>
                    </w:rPr>
                    <w:t>30</w:t>
                  </w:r>
                </w:p>
              </w:tc>
              <w:tc>
                <w:tcPr>
                  <w:tcW w:w="642" w:type="pct"/>
                  <w:vAlign w:val="center"/>
                </w:tcPr>
                <w:p>
                  <w:pPr>
                    <w:pStyle w:val="17"/>
                    <w:bidi w:val="0"/>
                    <w:jc w:val="center"/>
                    <w:rPr>
                      <w:rFonts w:hint="eastAsia"/>
                      <w:color w:val="auto"/>
                      <w:lang w:eastAsia="zh-CN"/>
                    </w:rPr>
                  </w:pPr>
                  <w:r>
                    <w:rPr>
                      <w:rFonts w:hint="eastAsia"/>
                      <w:color w:val="auto"/>
                      <w:lang w:eastAsia="zh-CN"/>
                    </w:rPr>
                    <w:t>33</w:t>
                  </w:r>
                </w:p>
              </w:tc>
              <w:tc>
                <w:tcPr>
                  <w:tcW w:w="615" w:type="pct"/>
                  <w:vAlign w:val="center"/>
                </w:tcPr>
                <w:p>
                  <w:pPr>
                    <w:pStyle w:val="17"/>
                    <w:bidi w:val="0"/>
                    <w:jc w:val="center"/>
                    <w:rPr>
                      <w:rFonts w:hint="eastAsia"/>
                      <w:color w:val="auto"/>
                      <w:lang w:eastAsia="zh-CN"/>
                    </w:rPr>
                  </w:pPr>
                  <w:r>
                    <w:rPr>
                      <w:rFonts w:hint="eastAsia"/>
                      <w:color w:val="auto"/>
                      <w:lang w:eastAsia="zh-CN"/>
                    </w:rPr>
                    <w:t>23</w:t>
                  </w:r>
                </w:p>
              </w:tc>
              <w:tc>
                <w:tcPr>
                  <w:tcW w:w="562" w:type="pct"/>
                  <w:vAlign w:val="center"/>
                </w:tcPr>
                <w:p>
                  <w:pPr>
                    <w:pStyle w:val="17"/>
                    <w:bidi w:val="0"/>
                    <w:jc w:val="center"/>
                    <w:rPr>
                      <w:rFonts w:hint="eastAsia"/>
                      <w:color w:val="auto"/>
                      <w:lang w:eastAsia="zh-CN"/>
                    </w:rPr>
                  </w:pPr>
                  <w:r>
                    <w:rPr>
                      <w:rFonts w:hint="eastAsia"/>
                      <w:color w:val="auto"/>
                      <w:lang w:eastAsia="zh-CN"/>
                    </w:rPr>
                    <w:t>/</w:t>
                  </w:r>
                </w:p>
              </w:tc>
              <w:tc>
                <w:tcPr>
                  <w:tcW w:w="708" w:type="pct"/>
                  <w:vAlign w:val="center"/>
                </w:tcPr>
                <w:p>
                  <w:pPr>
                    <w:pStyle w:val="17"/>
                    <w:bidi w:val="0"/>
                    <w:jc w:val="center"/>
                    <w:rPr>
                      <w:rFonts w:hint="eastAsia"/>
                      <w:color w:val="auto"/>
                      <w:lang w:eastAsia="zh-CN"/>
                    </w:rPr>
                  </w:pPr>
                  <w:r>
                    <w:rPr>
                      <w:rFonts w:hint="eastAsia"/>
                      <w:color w:val="auto"/>
                      <w:lang w:eastAsia="zh-CN"/>
                    </w:rPr>
                    <w:t>37.15</w:t>
                  </w:r>
                </w:p>
              </w:tc>
              <w:tc>
                <w:tcPr>
                  <w:tcW w:w="831" w:type="pct"/>
                  <w:tcBorders>
                    <w:right w:val="nil"/>
                  </w:tcBorders>
                  <w:vAlign w:val="center"/>
                </w:tcPr>
                <w:p>
                  <w:pPr>
                    <w:pStyle w:val="17"/>
                    <w:bidi w:val="0"/>
                    <w:jc w:val="center"/>
                    <w:rPr>
                      <w:rFonts w:hint="eastAsia"/>
                      <w:color w:val="auto"/>
                      <w:lang w:eastAsia="zh-CN"/>
                    </w:rPr>
                  </w:pPr>
                  <w:r>
                    <w:rPr>
                      <w:rFonts w:hint="eastAsia"/>
                      <w:color w:val="auto"/>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497" w:type="pct"/>
                  <w:vMerge w:val="continue"/>
                  <w:tcBorders>
                    <w:top w:val="nil"/>
                    <w:left w:val="nil"/>
                    <w:bottom w:val="nil"/>
                  </w:tcBorders>
                  <w:vAlign w:val="center"/>
                </w:tcPr>
                <w:p>
                  <w:pPr>
                    <w:pStyle w:val="17"/>
                    <w:bidi w:val="0"/>
                    <w:jc w:val="center"/>
                    <w:rPr>
                      <w:rFonts w:hint="eastAsia"/>
                      <w:color w:val="auto"/>
                      <w:lang w:eastAsia="zh-CN"/>
                    </w:rPr>
                  </w:pPr>
                </w:p>
              </w:tc>
              <w:tc>
                <w:tcPr>
                  <w:tcW w:w="500" w:type="pct"/>
                  <w:vAlign w:val="center"/>
                </w:tcPr>
                <w:p>
                  <w:pPr>
                    <w:pStyle w:val="17"/>
                    <w:bidi w:val="0"/>
                    <w:jc w:val="center"/>
                    <w:rPr>
                      <w:rFonts w:hint="eastAsia"/>
                      <w:color w:val="auto"/>
                      <w:lang w:eastAsia="zh-CN"/>
                    </w:rPr>
                  </w:pPr>
                  <w:r>
                    <w:rPr>
                      <w:rFonts w:hint="eastAsia"/>
                      <w:color w:val="auto"/>
                      <w:lang w:eastAsia="zh-CN"/>
                    </w:rPr>
                    <w:t>南场界</w:t>
                  </w:r>
                </w:p>
              </w:tc>
              <w:tc>
                <w:tcPr>
                  <w:tcW w:w="642" w:type="pct"/>
                  <w:vAlign w:val="center"/>
                </w:tcPr>
                <w:p>
                  <w:pPr>
                    <w:pStyle w:val="17"/>
                    <w:bidi w:val="0"/>
                    <w:jc w:val="center"/>
                    <w:rPr>
                      <w:rFonts w:hint="eastAsia"/>
                      <w:color w:val="auto"/>
                      <w:lang w:eastAsia="zh-CN"/>
                    </w:rPr>
                  </w:pPr>
                  <w:r>
                    <w:rPr>
                      <w:rFonts w:hint="eastAsia"/>
                      <w:color w:val="auto"/>
                      <w:lang w:eastAsia="zh-CN"/>
                    </w:rPr>
                    <w:t>44</w:t>
                  </w:r>
                </w:p>
              </w:tc>
              <w:tc>
                <w:tcPr>
                  <w:tcW w:w="642" w:type="pct"/>
                  <w:vAlign w:val="center"/>
                </w:tcPr>
                <w:p>
                  <w:pPr>
                    <w:pStyle w:val="17"/>
                    <w:bidi w:val="0"/>
                    <w:jc w:val="center"/>
                    <w:rPr>
                      <w:rFonts w:hint="eastAsia"/>
                      <w:color w:val="auto"/>
                      <w:lang w:eastAsia="zh-CN"/>
                    </w:rPr>
                  </w:pPr>
                  <w:r>
                    <w:rPr>
                      <w:rFonts w:hint="eastAsia"/>
                      <w:color w:val="auto"/>
                      <w:lang w:eastAsia="zh-CN"/>
                    </w:rPr>
                    <w:t>25</w:t>
                  </w:r>
                </w:p>
              </w:tc>
              <w:tc>
                <w:tcPr>
                  <w:tcW w:w="615" w:type="pct"/>
                  <w:vAlign w:val="center"/>
                </w:tcPr>
                <w:p>
                  <w:pPr>
                    <w:pStyle w:val="17"/>
                    <w:bidi w:val="0"/>
                    <w:jc w:val="center"/>
                    <w:rPr>
                      <w:rFonts w:hint="eastAsia"/>
                      <w:color w:val="auto"/>
                      <w:lang w:eastAsia="zh-CN"/>
                    </w:rPr>
                  </w:pPr>
                  <w:r>
                    <w:rPr>
                      <w:rFonts w:hint="eastAsia"/>
                      <w:color w:val="auto"/>
                      <w:lang w:eastAsia="zh-CN"/>
                    </w:rPr>
                    <w:t>30</w:t>
                  </w:r>
                </w:p>
              </w:tc>
              <w:tc>
                <w:tcPr>
                  <w:tcW w:w="562" w:type="pct"/>
                  <w:vAlign w:val="center"/>
                </w:tcPr>
                <w:p>
                  <w:pPr>
                    <w:pStyle w:val="17"/>
                    <w:bidi w:val="0"/>
                    <w:jc w:val="center"/>
                    <w:rPr>
                      <w:rFonts w:hint="eastAsia"/>
                      <w:color w:val="auto"/>
                      <w:lang w:eastAsia="zh-CN"/>
                    </w:rPr>
                  </w:pPr>
                  <w:r>
                    <w:rPr>
                      <w:rFonts w:hint="eastAsia"/>
                      <w:color w:val="auto"/>
                      <w:lang w:eastAsia="zh-CN"/>
                    </w:rPr>
                    <w:t>/</w:t>
                  </w:r>
                </w:p>
              </w:tc>
              <w:tc>
                <w:tcPr>
                  <w:tcW w:w="708" w:type="pct"/>
                  <w:vAlign w:val="center"/>
                </w:tcPr>
                <w:p>
                  <w:pPr>
                    <w:pStyle w:val="17"/>
                    <w:bidi w:val="0"/>
                    <w:jc w:val="center"/>
                    <w:rPr>
                      <w:rFonts w:hint="eastAsia"/>
                      <w:color w:val="auto"/>
                      <w:lang w:eastAsia="zh-CN"/>
                    </w:rPr>
                  </w:pPr>
                  <w:r>
                    <w:rPr>
                      <w:rFonts w:hint="eastAsia"/>
                      <w:color w:val="auto"/>
                      <w:lang w:eastAsia="zh-CN"/>
                    </w:rPr>
                    <w:t>45.91</w:t>
                  </w:r>
                </w:p>
              </w:tc>
              <w:tc>
                <w:tcPr>
                  <w:tcW w:w="831" w:type="pct"/>
                  <w:tcBorders>
                    <w:right w:val="nil"/>
                  </w:tcBorders>
                  <w:vAlign w:val="center"/>
                </w:tcPr>
                <w:p>
                  <w:pPr>
                    <w:pStyle w:val="17"/>
                    <w:bidi w:val="0"/>
                    <w:jc w:val="center"/>
                    <w:rPr>
                      <w:rFonts w:hint="eastAsia"/>
                      <w:color w:val="auto"/>
                      <w:lang w:eastAsia="zh-CN"/>
                    </w:rPr>
                  </w:pPr>
                  <w:r>
                    <w:rPr>
                      <w:rFonts w:hint="eastAsia"/>
                      <w:color w:val="auto"/>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497" w:type="pct"/>
                  <w:vMerge w:val="continue"/>
                  <w:tcBorders>
                    <w:top w:val="nil"/>
                    <w:left w:val="nil"/>
                    <w:bottom w:val="nil"/>
                  </w:tcBorders>
                  <w:vAlign w:val="center"/>
                </w:tcPr>
                <w:p>
                  <w:pPr>
                    <w:pStyle w:val="17"/>
                    <w:bidi w:val="0"/>
                    <w:jc w:val="center"/>
                    <w:rPr>
                      <w:rFonts w:hint="eastAsia"/>
                      <w:color w:val="auto"/>
                      <w:lang w:eastAsia="zh-CN"/>
                    </w:rPr>
                  </w:pPr>
                </w:p>
              </w:tc>
              <w:tc>
                <w:tcPr>
                  <w:tcW w:w="500" w:type="pct"/>
                  <w:vAlign w:val="center"/>
                </w:tcPr>
                <w:p>
                  <w:pPr>
                    <w:pStyle w:val="17"/>
                    <w:bidi w:val="0"/>
                    <w:jc w:val="center"/>
                    <w:rPr>
                      <w:rFonts w:hint="eastAsia"/>
                      <w:color w:val="auto"/>
                      <w:lang w:eastAsia="zh-CN"/>
                    </w:rPr>
                  </w:pPr>
                  <w:r>
                    <w:rPr>
                      <w:rFonts w:hint="eastAsia"/>
                      <w:color w:val="auto"/>
                      <w:lang w:eastAsia="zh-CN"/>
                    </w:rPr>
                    <w:t>西场界</w:t>
                  </w:r>
                </w:p>
              </w:tc>
              <w:tc>
                <w:tcPr>
                  <w:tcW w:w="642" w:type="pct"/>
                  <w:vAlign w:val="center"/>
                </w:tcPr>
                <w:p>
                  <w:pPr>
                    <w:pStyle w:val="17"/>
                    <w:bidi w:val="0"/>
                    <w:jc w:val="center"/>
                    <w:rPr>
                      <w:rFonts w:hint="eastAsia"/>
                      <w:color w:val="auto"/>
                      <w:lang w:eastAsia="zh-CN"/>
                    </w:rPr>
                  </w:pPr>
                  <w:r>
                    <w:rPr>
                      <w:rFonts w:hint="eastAsia"/>
                      <w:color w:val="auto"/>
                      <w:lang w:eastAsia="zh-CN"/>
                    </w:rPr>
                    <w:t>35</w:t>
                  </w:r>
                </w:p>
              </w:tc>
              <w:tc>
                <w:tcPr>
                  <w:tcW w:w="642" w:type="pct"/>
                  <w:vAlign w:val="center"/>
                </w:tcPr>
                <w:p>
                  <w:pPr>
                    <w:pStyle w:val="17"/>
                    <w:bidi w:val="0"/>
                    <w:jc w:val="center"/>
                    <w:rPr>
                      <w:rFonts w:hint="eastAsia"/>
                      <w:color w:val="auto"/>
                      <w:lang w:eastAsia="zh-CN"/>
                    </w:rPr>
                  </w:pPr>
                  <w:r>
                    <w:rPr>
                      <w:rFonts w:hint="eastAsia"/>
                      <w:color w:val="auto"/>
                      <w:lang w:eastAsia="zh-CN"/>
                    </w:rPr>
                    <w:t>24</w:t>
                  </w:r>
                </w:p>
              </w:tc>
              <w:tc>
                <w:tcPr>
                  <w:tcW w:w="615" w:type="pct"/>
                  <w:vAlign w:val="center"/>
                </w:tcPr>
                <w:p>
                  <w:pPr>
                    <w:pStyle w:val="17"/>
                    <w:bidi w:val="0"/>
                    <w:jc w:val="center"/>
                    <w:rPr>
                      <w:rFonts w:hint="eastAsia"/>
                      <w:color w:val="auto"/>
                      <w:lang w:eastAsia="zh-CN"/>
                    </w:rPr>
                  </w:pPr>
                  <w:r>
                    <w:rPr>
                      <w:rFonts w:hint="eastAsia"/>
                      <w:color w:val="auto"/>
                      <w:lang w:eastAsia="zh-CN"/>
                    </w:rPr>
                    <w:t>34</w:t>
                  </w:r>
                </w:p>
              </w:tc>
              <w:tc>
                <w:tcPr>
                  <w:tcW w:w="562" w:type="pct"/>
                  <w:vAlign w:val="center"/>
                </w:tcPr>
                <w:p>
                  <w:pPr>
                    <w:pStyle w:val="17"/>
                    <w:bidi w:val="0"/>
                    <w:jc w:val="center"/>
                    <w:rPr>
                      <w:rFonts w:hint="eastAsia"/>
                      <w:color w:val="auto"/>
                      <w:lang w:eastAsia="zh-CN"/>
                    </w:rPr>
                  </w:pPr>
                  <w:r>
                    <w:rPr>
                      <w:rFonts w:hint="eastAsia"/>
                      <w:color w:val="auto"/>
                      <w:lang w:eastAsia="zh-CN"/>
                    </w:rPr>
                    <w:t>/</w:t>
                  </w:r>
                </w:p>
              </w:tc>
              <w:tc>
                <w:tcPr>
                  <w:tcW w:w="708" w:type="pct"/>
                  <w:vAlign w:val="center"/>
                </w:tcPr>
                <w:p>
                  <w:pPr>
                    <w:pStyle w:val="17"/>
                    <w:bidi w:val="0"/>
                    <w:jc w:val="center"/>
                    <w:rPr>
                      <w:rFonts w:hint="eastAsia"/>
                      <w:color w:val="auto"/>
                      <w:lang w:eastAsia="zh-CN"/>
                    </w:rPr>
                  </w:pPr>
                  <w:r>
                    <w:rPr>
                      <w:rFonts w:hint="eastAsia"/>
                      <w:color w:val="auto"/>
                      <w:lang w:eastAsia="zh-CN"/>
                    </w:rPr>
                    <w:t>39.26</w:t>
                  </w:r>
                </w:p>
              </w:tc>
              <w:tc>
                <w:tcPr>
                  <w:tcW w:w="831" w:type="pct"/>
                  <w:tcBorders>
                    <w:right w:val="nil"/>
                  </w:tcBorders>
                  <w:vAlign w:val="center"/>
                </w:tcPr>
                <w:p>
                  <w:pPr>
                    <w:pStyle w:val="17"/>
                    <w:bidi w:val="0"/>
                    <w:jc w:val="center"/>
                    <w:rPr>
                      <w:rFonts w:hint="eastAsia"/>
                      <w:color w:val="auto"/>
                      <w:lang w:eastAsia="zh-CN"/>
                    </w:rPr>
                  </w:pPr>
                  <w:r>
                    <w:rPr>
                      <w:rFonts w:hint="eastAsia"/>
                      <w:color w:val="auto"/>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497" w:type="pct"/>
                  <w:vMerge w:val="continue"/>
                  <w:tcBorders>
                    <w:top w:val="nil"/>
                    <w:left w:val="nil"/>
                  </w:tcBorders>
                  <w:vAlign w:val="center"/>
                </w:tcPr>
                <w:p>
                  <w:pPr>
                    <w:pStyle w:val="17"/>
                    <w:bidi w:val="0"/>
                    <w:jc w:val="center"/>
                    <w:rPr>
                      <w:rFonts w:hint="eastAsia"/>
                      <w:color w:val="auto"/>
                      <w:lang w:eastAsia="zh-CN"/>
                    </w:rPr>
                  </w:pPr>
                </w:p>
              </w:tc>
              <w:tc>
                <w:tcPr>
                  <w:tcW w:w="500" w:type="pct"/>
                  <w:vAlign w:val="center"/>
                </w:tcPr>
                <w:p>
                  <w:pPr>
                    <w:pStyle w:val="17"/>
                    <w:bidi w:val="0"/>
                    <w:jc w:val="center"/>
                    <w:rPr>
                      <w:rFonts w:hint="eastAsia"/>
                      <w:color w:val="auto"/>
                      <w:lang w:eastAsia="zh-CN"/>
                    </w:rPr>
                  </w:pPr>
                  <w:r>
                    <w:rPr>
                      <w:rFonts w:hint="eastAsia"/>
                      <w:color w:val="auto"/>
                      <w:lang w:eastAsia="zh-CN"/>
                    </w:rPr>
                    <w:t>北场界</w:t>
                  </w:r>
                </w:p>
              </w:tc>
              <w:tc>
                <w:tcPr>
                  <w:tcW w:w="642" w:type="pct"/>
                  <w:vAlign w:val="center"/>
                </w:tcPr>
                <w:p>
                  <w:pPr>
                    <w:pStyle w:val="17"/>
                    <w:bidi w:val="0"/>
                    <w:jc w:val="center"/>
                    <w:rPr>
                      <w:rFonts w:hint="eastAsia"/>
                      <w:color w:val="auto"/>
                      <w:lang w:eastAsia="zh-CN"/>
                    </w:rPr>
                  </w:pPr>
                  <w:r>
                    <w:rPr>
                      <w:rFonts w:hint="eastAsia"/>
                      <w:color w:val="auto"/>
                      <w:lang w:eastAsia="zh-CN"/>
                    </w:rPr>
                    <w:t>40</w:t>
                  </w:r>
                </w:p>
              </w:tc>
              <w:tc>
                <w:tcPr>
                  <w:tcW w:w="642" w:type="pct"/>
                  <w:vAlign w:val="center"/>
                </w:tcPr>
                <w:p>
                  <w:pPr>
                    <w:pStyle w:val="17"/>
                    <w:bidi w:val="0"/>
                    <w:jc w:val="center"/>
                    <w:rPr>
                      <w:rFonts w:hint="eastAsia"/>
                      <w:color w:val="auto"/>
                      <w:lang w:eastAsia="zh-CN"/>
                    </w:rPr>
                  </w:pPr>
                  <w:r>
                    <w:rPr>
                      <w:rFonts w:hint="eastAsia"/>
                      <w:color w:val="auto"/>
                      <w:lang w:eastAsia="zh-CN"/>
                    </w:rPr>
                    <w:t>36.</w:t>
                  </w:r>
                </w:p>
              </w:tc>
              <w:tc>
                <w:tcPr>
                  <w:tcW w:w="615" w:type="pct"/>
                  <w:vAlign w:val="center"/>
                </w:tcPr>
                <w:p>
                  <w:pPr>
                    <w:pStyle w:val="17"/>
                    <w:bidi w:val="0"/>
                    <w:jc w:val="center"/>
                    <w:rPr>
                      <w:rFonts w:hint="eastAsia"/>
                      <w:color w:val="auto"/>
                      <w:lang w:eastAsia="zh-CN"/>
                    </w:rPr>
                  </w:pPr>
                  <w:r>
                    <w:rPr>
                      <w:rFonts w:hint="eastAsia"/>
                      <w:color w:val="auto"/>
                      <w:lang w:eastAsia="zh-CN"/>
                    </w:rPr>
                    <w:t>35</w:t>
                  </w:r>
                </w:p>
              </w:tc>
              <w:tc>
                <w:tcPr>
                  <w:tcW w:w="562" w:type="pct"/>
                  <w:vAlign w:val="center"/>
                </w:tcPr>
                <w:p>
                  <w:pPr>
                    <w:pStyle w:val="17"/>
                    <w:bidi w:val="0"/>
                    <w:jc w:val="center"/>
                    <w:rPr>
                      <w:rFonts w:hint="eastAsia"/>
                      <w:color w:val="auto"/>
                      <w:lang w:eastAsia="zh-CN"/>
                    </w:rPr>
                  </w:pPr>
                  <w:r>
                    <w:rPr>
                      <w:rFonts w:hint="eastAsia"/>
                      <w:color w:val="auto"/>
                      <w:lang w:eastAsia="zh-CN"/>
                    </w:rPr>
                    <w:t>/</w:t>
                  </w:r>
                </w:p>
              </w:tc>
              <w:tc>
                <w:tcPr>
                  <w:tcW w:w="708" w:type="pct"/>
                  <w:vAlign w:val="center"/>
                </w:tcPr>
                <w:p>
                  <w:pPr>
                    <w:pStyle w:val="17"/>
                    <w:bidi w:val="0"/>
                    <w:jc w:val="center"/>
                    <w:rPr>
                      <w:rFonts w:hint="eastAsia"/>
                      <w:color w:val="auto"/>
                      <w:lang w:eastAsia="zh-CN"/>
                    </w:rPr>
                  </w:pPr>
                  <w:r>
                    <w:rPr>
                      <w:rFonts w:hint="eastAsia"/>
                      <w:color w:val="auto"/>
                      <w:lang w:eastAsia="zh-CN"/>
                    </w:rPr>
                    <w:t>45.69</w:t>
                  </w:r>
                </w:p>
              </w:tc>
              <w:tc>
                <w:tcPr>
                  <w:tcW w:w="831" w:type="pct"/>
                  <w:tcBorders>
                    <w:right w:val="nil"/>
                  </w:tcBorders>
                  <w:vAlign w:val="center"/>
                </w:tcPr>
                <w:p>
                  <w:pPr>
                    <w:pStyle w:val="17"/>
                    <w:bidi w:val="0"/>
                    <w:jc w:val="center"/>
                    <w:rPr>
                      <w:rFonts w:hint="eastAsia"/>
                      <w:color w:val="auto"/>
                      <w:lang w:eastAsia="zh-CN"/>
                    </w:rPr>
                  </w:pPr>
                  <w:r>
                    <w:rPr>
                      <w:rFonts w:hint="eastAsia"/>
                      <w:color w:val="auto"/>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497" w:type="pct"/>
                  <w:vMerge w:val="restart"/>
                  <w:tcBorders>
                    <w:left w:val="nil"/>
                    <w:bottom w:val="nil"/>
                  </w:tcBorders>
                  <w:vAlign w:val="center"/>
                </w:tcPr>
                <w:p>
                  <w:pPr>
                    <w:pStyle w:val="17"/>
                    <w:bidi w:val="0"/>
                    <w:jc w:val="center"/>
                    <w:rPr>
                      <w:rFonts w:hint="eastAsia"/>
                      <w:color w:val="auto"/>
                      <w:lang w:eastAsia="zh-CN"/>
                    </w:rPr>
                  </w:pPr>
                  <w:r>
                    <w:rPr>
                      <w:rFonts w:hint="eastAsia"/>
                      <w:color w:val="auto"/>
                      <w:lang w:eastAsia="zh-CN"/>
                    </w:rPr>
                    <w:t>下站</w:t>
                  </w:r>
                </w:p>
              </w:tc>
              <w:tc>
                <w:tcPr>
                  <w:tcW w:w="500" w:type="pct"/>
                  <w:vAlign w:val="center"/>
                </w:tcPr>
                <w:p>
                  <w:pPr>
                    <w:pStyle w:val="17"/>
                    <w:bidi w:val="0"/>
                    <w:jc w:val="center"/>
                    <w:rPr>
                      <w:rFonts w:hint="eastAsia"/>
                      <w:color w:val="auto"/>
                      <w:lang w:eastAsia="zh-CN"/>
                    </w:rPr>
                  </w:pPr>
                  <w:r>
                    <w:rPr>
                      <w:rFonts w:hint="eastAsia"/>
                      <w:color w:val="auto"/>
                      <w:lang w:eastAsia="zh-CN"/>
                    </w:rPr>
                    <w:t>东场界</w:t>
                  </w:r>
                </w:p>
              </w:tc>
              <w:tc>
                <w:tcPr>
                  <w:tcW w:w="642" w:type="pct"/>
                  <w:vAlign w:val="center"/>
                </w:tcPr>
                <w:p>
                  <w:pPr>
                    <w:pStyle w:val="17"/>
                    <w:bidi w:val="0"/>
                    <w:jc w:val="center"/>
                    <w:rPr>
                      <w:rFonts w:hint="eastAsia"/>
                      <w:color w:val="auto"/>
                      <w:lang w:eastAsia="zh-CN"/>
                    </w:rPr>
                  </w:pPr>
                  <w:r>
                    <w:rPr>
                      <w:rFonts w:hint="eastAsia"/>
                      <w:color w:val="auto"/>
                      <w:lang w:eastAsia="zh-CN"/>
                    </w:rPr>
                    <w:t>31</w:t>
                  </w:r>
                </w:p>
              </w:tc>
              <w:tc>
                <w:tcPr>
                  <w:tcW w:w="642" w:type="pct"/>
                  <w:vAlign w:val="center"/>
                </w:tcPr>
                <w:p>
                  <w:pPr>
                    <w:pStyle w:val="17"/>
                    <w:bidi w:val="0"/>
                    <w:jc w:val="center"/>
                    <w:rPr>
                      <w:rFonts w:hint="eastAsia"/>
                      <w:color w:val="auto"/>
                      <w:lang w:eastAsia="zh-CN"/>
                    </w:rPr>
                  </w:pPr>
                  <w:r>
                    <w:rPr>
                      <w:rFonts w:hint="eastAsia"/>
                      <w:color w:val="auto"/>
                      <w:lang w:eastAsia="zh-CN"/>
                    </w:rPr>
                    <w:t>32</w:t>
                  </w:r>
                </w:p>
              </w:tc>
              <w:tc>
                <w:tcPr>
                  <w:tcW w:w="615" w:type="pct"/>
                  <w:vAlign w:val="center"/>
                </w:tcPr>
                <w:p>
                  <w:pPr>
                    <w:pStyle w:val="17"/>
                    <w:bidi w:val="0"/>
                    <w:jc w:val="center"/>
                    <w:rPr>
                      <w:rFonts w:hint="eastAsia"/>
                      <w:color w:val="auto"/>
                      <w:lang w:eastAsia="zh-CN"/>
                    </w:rPr>
                  </w:pPr>
                  <w:r>
                    <w:rPr>
                      <w:rFonts w:hint="eastAsia"/>
                      <w:color w:val="auto"/>
                      <w:lang w:eastAsia="zh-CN"/>
                    </w:rPr>
                    <w:t>31</w:t>
                  </w:r>
                </w:p>
              </w:tc>
              <w:tc>
                <w:tcPr>
                  <w:tcW w:w="562" w:type="pct"/>
                  <w:vAlign w:val="center"/>
                </w:tcPr>
                <w:p>
                  <w:pPr>
                    <w:pStyle w:val="17"/>
                    <w:bidi w:val="0"/>
                    <w:jc w:val="center"/>
                    <w:rPr>
                      <w:rFonts w:hint="eastAsia"/>
                      <w:color w:val="auto"/>
                      <w:lang w:eastAsia="zh-CN"/>
                    </w:rPr>
                  </w:pPr>
                  <w:r>
                    <w:rPr>
                      <w:rFonts w:hint="eastAsia"/>
                      <w:color w:val="auto"/>
                      <w:lang w:eastAsia="zh-CN"/>
                    </w:rPr>
                    <w:t>35</w:t>
                  </w:r>
                </w:p>
              </w:tc>
              <w:tc>
                <w:tcPr>
                  <w:tcW w:w="708" w:type="pct"/>
                  <w:vAlign w:val="center"/>
                </w:tcPr>
                <w:p>
                  <w:pPr>
                    <w:pStyle w:val="17"/>
                    <w:bidi w:val="0"/>
                    <w:jc w:val="center"/>
                    <w:rPr>
                      <w:rFonts w:hint="eastAsia"/>
                      <w:color w:val="auto"/>
                      <w:lang w:eastAsia="zh-CN"/>
                    </w:rPr>
                  </w:pPr>
                  <w:r>
                    <w:rPr>
                      <w:rFonts w:hint="eastAsia"/>
                      <w:color w:val="auto"/>
                      <w:lang w:eastAsia="zh-CN"/>
                    </w:rPr>
                    <w:t>38.61</w:t>
                  </w:r>
                </w:p>
              </w:tc>
              <w:tc>
                <w:tcPr>
                  <w:tcW w:w="831" w:type="pct"/>
                  <w:tcBorders>
                    <w:right w:val="nil"/>
                  </w:tcBorders>
                  <w:vAlign w:val="center"/>
                </w:tcPr>
                <w:p>
                  <w:pPr>
                    <w:pStyle w:val="17"/>
                    <w:bidi w:val="0"/>
                    <w:jc w:val="center"/>
                    <w:rPr>
                      <w:rFonts w:hint="eastAsia"/>
                      <w:color w:val="auto"/>
                      <w:lang w:eastAsia="zh-CN"/>
                    </w:rPr>
                  </w:pPr>
                  <w:r>
                    <w:rPr>
                      <w:rFonts w:hint="eastAsia"/>
                      <w:color w:val="auto"/>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497" w:type="pct"/>
                  <w:vMerge w:val="continue"/>
                  <w:tcBorders>
                    <w:top w:val="nil"/>
                    <w:left w:val="nil"/>
                    <w:bottom w:val="nil"/>
                  </w:tcBorders>
                  <w:vAlign w:val="center"/>
                </w:tcPr>
                <w:p>
                  <w:pPr>
                    <w:pStyle w:val="17"/>
                    <w:bidi w:val="0"/>
                    <w:jc w:val="center"/>
                    <w:rPr>
                      <w:rFonts w:hint="eastAsia"/>
                      <w:color w:val="auto"/>
                      <w:lang w:eastAsia="zh-CN"/>
                    </w:rPr>
                  </w:pPr>
                </w:p>
              </w:tc>
              <w:tc>
                <w:tcPr>
                  <w:tcW w:w="500" w:type="pct"/>
                  <w:vAlign w:val="center"/>
                </w:tcPr>
                <w:p>
                  <w:pPr>
                    <w:pStyle w:val="17"/>
                    <w:bidi w:val="0"/>
                    <w:jc w:val="center"/>
                    <w:rPr>
                      <w:rFonts w:hint="eastAsia"/>
                      <w:color w:val="auto"/>
                      <w:lang w:eastAsia="zh-CN"/>
                    </w:rPr>
                  </w:pPr>
                  <w:r>
                    <w:rPr>
                      <w:rFonts w:hint="eastAsia"/>
                      <w:color w:val="auto"/>
                      <w:lang w:eastAsia="zh-CN"/>
                    </w:rPr>
                    <w:t>南场界</w:t>
                  </w:r>
                </w:p>
              </w:tc>
              <w:tc>
                <w:tcPr>
                  <w:tcW w:w="642" w:type="pct"/>
                  <w:vAlign w:val="center"/>
                </w:tcPr>
                <w:p>
                  <w:pPr>
                    <w:pStyle w:val="17"/>
                    <w:bidi w:val="0"/>
                    <w:jc w:val="center"/>
                    <w:rPr>
                      <w:rFonts w:hint="eastAsia"/>
                      <w:color w:val="auto"/>
                      <w:lang w:eastAsia="zh-CN"/>
                    </w:rPr>
                  </w:pPr>
                  <w:r>
                    <w:rPr>
                      <w:rFonts w:hint="eastAsia"/>
                      <w:color w:val="auto"/>
                      <w:lang w:eastAsia="zh-CN"/>
                    </w:rPr>
                    <w:t>28</w:t>
                  </w:r>
                </w:p>
              </w:tc>
              <w:tc>
                <w:tcPr>
                  <w:tcW w:w="642" w:type="pct"/>
                  <w:vAlign w:val="center"/>
                </w:tcPr>
                <w:p>
                  <w:pPr>
                    <w:pStyle w:val="17"/>
                    <w:bidi w:val="0"/>
                    <w:jc w:val="center"/>
                    <w:rPr>
                      <w:rFonts w:hint="eastAsia"/>
                      <w:color w:val="auto"/>
                      <w:lang w:eastAsia="zh-CN"/>
                    </w:rPr>
                  </w:pPr>
                  <w:r>
                    <w:rPr>
                      <w:rFonts w:hint="eastAsia"/>
                      <w:color w:val="auto"/>
                      <w:lang w:eastAsia="zh-CN"/>
                    </w:rPr>
                    <w:t>30</w:t>
                  </w:r>
                </w:p>
              </w:tc>
              <w:tc>
                <w:tcPr>
                  <w:tcW w:w="615" w:type="pct"/>
                  <w:vAlign w:val="center"/>
                </w:tcPr>
                <w:p>
                  <w:pPr>
                    <w:pStyle w:val="17"/>
                    <w:bidi w:val="0"/>
                    <w:jc w:val="center"/>
                    <w:rPr>
                      <w:rFonts w:hint="eastAsia"/>
                      <w:color w:val="auto"/>
                      <w:lang w:eastAsia="zh-CN"/>
                    </w:rPr>
                  </w:pPr>
                  <w:r>
                    <w:rPr>
                      <w:rFonts w:hint="eastAsia"/>
                      <w:color w:val="auto"/>
                      <w:lang w:eastAsia="zh-CN"/>
                    </w:rPr>
                    <w:t>34</w:t>
                  </w:r>
                </w:p>
              </w:tc>
              <w:tc>
                <w:tcPr>
                  <w:tcW w:w="562" w:type="pct"/>
                  <w:vAlign w:val="center"/>
                </w:tcPr>
                <w:p>
                  <w:pPr>
                    <w:pStyle w:val="17"/>
                    <w:bidi w:val="0"/>
                    <w:jc w:val="center"/>
                    <w:rPr>
                      <w:rFonts w:hint="eastAsia"/>
                      <w:color w:val="auto"/>
                      <w:lang w:eastAsia="zh-CN"/>
                    </w:rPr>
                  </w:pPr>
                  <w:r>
                    <w:rPr>
                      <w:rFonts w:hint="eastAsia"/>
                      <w:color w:val="auto"/>
                      <w:lang w:eastAsia="zh-CN"/>
                    </w:rPr>
                    <w:t>34</w:t>
                  </w:r>
                </w:p>
              </w:tc>
              <w:tc>
                <w:tcPr>
                  <w:tcW w:w="708" w:type="pct"/>
                  <w:vAlign w:val="center"/>
                </w:tcPr>
                <w:p>
                  <w:pPr>
                    <w:pStyle w:val="17"/>
                    <w:bidi w:val="0"/>
                    <w:jc w:val="center"/>
                    <w:rPr>
                      <w:rFonts w:hint="eastAsia"/>
                      <w:color w:val="auto"/>
                      <w:lang w:eastAsia="zh-CN"/>
                    </w:rPr>
                  </w:pPr>
                  <w:r>
                    <w:rPr>
                      <w:rFonts w:hint="eastAsia"/>
                      <w:color w:val="auto"/>
                      <w:lang w:eastAsia="zh-CN"/>
                    </w:rPr>
                    <w:t>39.91</w:t>
                  </w:r>
                </w:p>
              </w:tc>
              <w:tc>
                <w:tcPr>
                  <w:tcW w:w="831" w:type="pct"/>
                  <w:tcBorders>
                    <w:right w:val="nil"/>
                  </w:tcBorders>
                  <w:vAlign w:val="center"/>
                </w:tcPr>
                <w:p>
                  <w:pPr>
                    <w:pStyle w:val="17"/>
                    <w:bidi w:val="0"/>
                    <w:jc w:val="center"/>
                    <w:rPr>
                      <w:rFonts w:hint="eastAsia"/>
                      <w:color w:val="auto"/>
                      <w:lang w:eastAsia="zh-CN"/>
                    </w:rPr>
                  </w:pPr>
                  <w:r>
                    <w:rPr>
                      <w:rFonts w:hint="eastAsia"/>
                      <w:color w:val="auto"/>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497" w:type="pct"/>
                  <w:vMerge w:val="continue"/>
                  <w:tcBorders>
                    <w:top w:val="nil"/>
                    <w:left w:val="nil"/>
                    <w:bottom w:val="nil"/>
                  </w:tcBorders>
                  <w:vAlign w:val="center"/>
                </w:tcPr>
                <w:p>
                  <w:pPr>
                    <w:pStyle w:val="17"/>
                    <w:bidi w:val="0"/>
                    <w:jc w:val="center"/>
                    <w:rPr>
                      <w:rFonts w:hint="eastAsia"/>
                      <w:color w:val="auto"/>
                      <w:lang w:eastAsia="zh-CN"/>
                    </w:rPr>
                  </w:pPr>
                </w:p>
              </w:tc>
              <w:tc>
                <w:tcPr>
                  <w:tcW w:w="500" w:type="pct"/>
                  <w:vAlign w:val="center"/>
                </w:tcPr>
                <w:p>
                  <w:pPr>
                    <w:pStyle w:val="17"/>
                    <w:bidi w:val="0"/>
                    <w:jc w:val="center"/>
                    <w:rPr>
                      <w:rFonts w:hint="eastAsia"/>
                      <w:color w:val="auto"/>
                      <w:lang w:eastAsia="zh-CN"/>
                    </w:rPr>
                  </w:pPr>
                  <w:r>
                    <w:rPr>
                      <w:rFonts w:hint="eastAsia"/>
                      <w:color w:val="auto"/>
                      <w:lang w:eastAsia="zh-CN"/>
                    </w:rPr>
                    <w:t>西场界</w:t>
                  </w:r>
                </w:p>
              </w:tc>
              <w:tc>
                <w:tcPr>
                  <w:tcW w:w="642" w:type="pct"/>
                  <w:vAlign w:val="center"/>
                </w:tcPr>
                <w:p>
                  <w:pPr>
                    <w:pStyle w:val="17"/>
                    <w:bidi w:val="0"/>
                    <w:jc w:val="center"/>
                    <w:rPr>
                      <w:rFonts w:hint="eastAsia"/>
                      <w:color w:val="auto"/>
                      <w:lang w:eastAsia="zh-CN"/>
                    </w:rPr>
                  </w:pPr>
                  <w:r>
                    <w:rPr>
                      <w:rFonts w:hint="eastAsia"/>
                      <w:color w:val="auto"/>
                      <w:lang w:eastAsia="zh-CN"/>
                    </w:rPr>
                    <w:t>32</w:t>
                  </w:r>
                </w:p>
              </w:tc>
              <w:tc>
                <w:tcPr>
                  <w:tcW w:w="642" w:type="pct"/>
                  <w:vAlign w:val="center"/>
                </w:tcPr>
                <w:p>
                  <w:pPr>
                    <w:pStyle w:val="17"/>
                    <w:bidi w:val="0"/>
                    <w:jc w:val="center"/>
                    <w:rPr>
                      <w:rFonts w:hint="eastAsia"/>
                      <w:color w:val="auto"/>
                      <w:lang w:eastAsia="zh-CN"/>
                    </w:rPr>
                  </w:pPr>
                  <w:r>
                    <w:rPr>
                      <w:rFonts w:hint="eastAsia"/>
                      <w:color w:val="auto"/>
                      <w:lang w:eastAsia="zh-CN"/>
                    </w:rPr>
                    <w:t>35</w:t>
                  </w:r>
                </w:p>
              </w:tc>
              <w:tc>
                <w:tcPr>
                  <w:tcW w:w="615" w:type="pct"/>
                  <w:vAlign w:val="center"/>
                </w:tcPr>
                <w:p>
                  <w:pPr>
                    <w:pStyle w:val="17"/>
                    <w:bidi w:val="0"/>
                    <w:jc w:val="center"/>
                    <w:rPr>
                      <w:rFonts w:hint="eastAsia"/>
                      <w:color w:val="auto"/>
                      <w:lang w:eastAsia="zh-CN"/>
                    </w:rPr>
                  </w:pPr>
                  <w:r>
                    <w:rPr>
                      <w:rFonts w:hint="eastAsia"/>
                      <w:color w:val="auto"/>
                      <w:lang w:eastAsia="zh-CN"/>
                    </w:rPr>
                    <w:t>32</w:t>
                  </w:r>
                </w:p>
              </w:tc>
              <w:tc>
                <w:tcPr>
                  <w:tcW w:w="562" w:type="pct"/>
                  <w:vAlign w:val="center"/>
                </w:tcPr>
                <w:p>
                  <w:pPr>
                    <w:pStyle w:val="17"/>
                    <w:bidi w:val="0"/>
                    <w:jc w:val="center"/>
                    <w:rPr>
                      <w:rFonts w:hint="eastAsia"/>
                      <w:color w:val="auto"/>
                      <w:lang w:eastAsia="zh-CN"/>
                    </w:rPr>
                  </w:pPr>
                  <w:r>
                    <w:rPr>
                      <w:rFonts w:hint="eastAsia"/>
                      <w:color w:val="auto"/>
                      <w:lang w:eastAsia="zh-CN"/>
                    </w:rPr>
                    <w:t>32</w:t>
                  </w:r>
                </w:p>
              </w:tc>
              <w:tc>
                <w:tcPr>
                  <w:tcW w:w="708" w:type="pct"/>
                  <w:vAlign w:val="center"/>
                </w:tcPr>
                <w:p>
                  <w:pPr>
                    <w:pStyle w:val="17"/>
                    <w:bidi w:val="0"/>
                    <w:jc w:val="center"/>
                    <w:rPr>
                      <w:rFonts w:hint="eastAsia"/>
                      <w:color w:val="auto"/>
                      <w:lang w:eastAsia="zh-CN"/>
                    </w:rPr>
                  </w:pPr>
                  <w:r>
                    <w:rPr>
                      <w:rFonts w:hint="eastAsia"/>
                      <w:color w:val="auto"/>
                      <w:lang w:eastAsia="zh-CN"/>
                    </w:rPr>
                    <w:t>38.99</w:t>
                  </w:r>
                </w:p>
              </w:tc>
              <w:tc>
                <w:tcPr>
                  <w:tcW w:w="831" w:type="pct"/>
                  <w:tcBorders>
                    <w:right w:val="nil"/>
                  </w:tcBorders>
                  <w:vAlign w:val="center"/>
                </w:tcPr>
                <w:p>
                  <w:pPr>
                    <w:pStyle w:val="17"/>
                    <w:bidi w:val="0"/>
                    <w:jc w:val="center"/>
                    <w:rPr>
                      <w:rFonts w:hint="eastAsia"/>
                      <w:color w:val="auto"/>
                      <w:lang w:eastAsia="zh-CN"/>
                    </w:rPr>
                  </w:pPr>
                  <w:r>
                    <w:rPr>
                      <w:rFonts w:hint="eastAsia"/>
                      <w:color w:val="auto"/>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497" w:type="pct"/>
                  <w:vMerge w:val="continue"/>
                  <w:tcBorders>
                    <w:top w:val="nil"/>
                    <w:left w:val="nil"/>
                  </w:tcBorders>
                  <w:vAlign w:val="center"/>
                </w:tcPr>
                <w:p>
                  <w:pPr>
                    <w:pStyle w:val="17"/>
                    <w:bidi w:val="0"/>
                    <w:jc w:val="center"/>
                    <w:rPr>
                      <w:rFonts w:hint="eastAsia"/>
                      <w:color w:val="auto"/>
                      <w:lang w:eastAsia="zh-CN"/>
                    </w:rPr>
                  </w:pPr>
                </w:p>
              </w:tc>
              <w:tc>
                <w:tcPr>
                  <w:tcW w:w="500" w:type="pct"/>
                  <w:vAlign w:val="center"/>
                </w:tcPr>
                <w:p>
                  <w:pPr>
                    <w:pStyle w:val="17"/>
                    <w:bidi w:val="0"/>
                    <w:jc w:val="center"/>
                    <w:rPr>
                      <w:rFonts w:hint="eastAsia"/>
                      <w:color w:val="auto"/>
                      <w:lang w:eastAsia="zh-CN"/>
                    </w:rPr>
                  </w:pPr>
                  <w:r>
                    <w:rPr>
                      <w:rFonts w:hint="eastAsia"/>
                      <w:color w:val="auto"/>
                      <w:lang w:eastAsia="zh-CN"/>
                    </w:rPr>
                    <w:t>北场界</w:t>
                  </w:r>
                </w:p>
              </w:tc>
              <w:tc>
                <w:tcPr>
                  <w:tcW w:w="642" w:type="pct"/>
                  <w:vAlign w:val="center"/>
                </w:tcPr>
                <w:p>
                  <w:pPr>
                    <w:pStyle w:val="17"/>
                    <w:bidi w:val="0"/>
                    <w:jc w:val="center"/>
                    <w:rPr>
                      <w:rFonts w:hint="eastAsia"/>
                      <w:color w:val="auto"/>
                      <w:lang w:eastAsia="zh-CN"/>
                    </w:rPr>
                  </w:pPr>
                  <w:r>
                    <w:rPr>
                      <w:rFonts w:hint="eastAsia"/>
                      <w:color w:val="auto"/>
                      <w:lang w:eastAsia="zh-CN"/>
                    </w:rPr>
                    <w:t>35</w:t>
                  </w:r>
                </w:p>
              </w:tc>
              <w:tc>
                <w:tcPr>
                  <w:tcW w:w="642" w:type="pct"/>
                  <w:vAlign w:val="center"/>
                </w:tcPr>
                <w:p>
                  <w:pPr>
                    <w:pStyle w:val="17"/>
                    <w:bidi w:val="0"/>
                    <w:jc w:val="center"/>
                    <w:rPr>
                      <w:rFonts w:hint="eastAsia"/>
                      <w:color w:val="auto"/>
                      <w:lang w:eastAsia="zh-CN"/>
                    </w:rPr>
                  </w:pPr>
                  <w:r>
                    <w:rPr>
                      <w:rFonts w:hint="eastAsia"/>
                      <w:color w:val="auto"/>
                      <w:lang w:eastAsia="zh-CN"/>
                    </w:rPr>
                    <w:t>38</w:t>
                  </w:r>
                </w:p>
              </w:tc>
              <w:tc>
                <w:tcPr>
                  <w:tcW w:w="615" w:type="pct"/>
                  <w:vAlign w:val="center"/>
                </w:tcPr>
                <w:p>
                  <w:pPr>
                    <w:pStyle w:val="17"/>
                    <w:bidi w:val="0"/>
                    <w:jc w:val="center"/>
                    <w:rPr>
                      <w:rFonts w:hint="eastAsia"/>
                      <w:color w:val="auto"/>
                      <w:lang w:eastAsia="zh-CN"/>
                    </w:rPr>
                  </w:pPr>
                  <w:r>
                    <w:rPr>
                      <w:rFonts w:hint="eastAsia"/>
                      <w:color w:val="auto"/>
                      <w:lang w:eastAsia="zh-CN"/>
                    </w:rPr>
                    <w:t>39</w:t>
                  </w:r>
                </w:p>
              </w:tc>
              <w:tc>
                <w:tcPr>
                  <w:tcW w:w="562" w:type="pct"/>
                  <w:vAlign w:val="center"/>
                </w:tcPr>
                <w:p>
                  <w:pPr>
                    <w:pStyle w:val="17"/>
                    <w:bidi w:val="0"/>
                    <w:jc w:val="center"/>
                    <w:rPr>
                      <w:rFonts w:hint="eastAsia"/>
                      <w:color w:val="auto"/>
                      <w:lang w:eastAsia="zh-CN"/>
                    </w:rPr>
                  </w:pPr>
                  <w:r>
                    <w:rPr>
                      <w:rFonts w:hint="eastAsia"/>
                      <w:color w:val="auto"/>
                      <w:lang w:eastAsia="zh-CN"/>
                    </w:rPr>
                    <w:t>41</w:t>
                  </w:r>
                </w:p>
              </w:tc>
              <w:tc>
                <w:tcPr>
                  <w:tcW w:w="708" w:type="pct"/>
                  <w:vAlign w:val="center"/>
                </w:tcPr>
                <w:p>
                  <w:pPr>
                    <w:pStyle w:val="17"/>
                    <w:bidi w:val="0"/>
                    <w:jc w:val="center"/>
                    <w:rPr>
                      <w:rFonts w:hint="eastAsia"/>
                      <w:color w:val="auto"/>
                      <w:lang w:eastAsia="zh-CN"/>
                    </w:rPr>
                  </w:pPr>
                  <w:r>
                    <w:rPr>
                      <w:rFonts w:hint="eastAsia"/>
                      <w:color w:val="auto"/>
                      <w:lang w:eastAsia="zh-CN"/>
                    </w:rPr>
                    <w:t>44.77</w:t>
                  </w:r>
                </w:p>
              </w:tc>
              <w:tc>
                <w:tcPr>
                  <w:tcW w:w="831" w:type="pct"/>
                  <w:tcBorders>
                    <w:right w:val="nil"/>
                  </w:tcBorders>
                  <w:vAlign w:val="center"/>
                </w:tcPr>
                <w:p>
                  <w:pPr>
                    <w:pStyle w:val="17"/>
                    <w:bidi w:val="0"/>
                    <w:jc w:val="center"/>
                    <w:rPr>
                      <w:rFonts w:hint="eastAsia"/>
                      <w:color w:val="auto"/>
                      <w:lang w:eastAsia="zh-CN"/>
                    </w:rPr>
                  </w:pPr>
                  <w:r>
                    <w:rPr>
                      <w:rFonts w:hint="eastAsia"/>
                      <w:color w:val="auto"/>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998" w:type="pct"/>
                  <w:gridSpan w:val="2"/>
                  <w:tcBorders>
                    <w:left w:val="nil"/>
                    <w:bottom w:val="single" w:color="000000" w:sz="10" w:space="0"/>
                  </w:tcBorders>
                  <w:vAlign w:val="center"/>
                </w:tcPr>
                <w:p>
                  <w:pPr>
                    <w:pStyle w:val="17"/>
                    <w:bidi w:val="0"/>
                    <w:jc w:val="center"/>
                    <w:rPr>
                      <w:rFonts w:hint="eastAsia"/>
                      <w:color w:val="auto"/>
                      <w:lang w:eastAsia="zh-CN"/>
                    </w:rPr>
                  </w:pPr>
                  <w:r>
                    <w:rPr>
                      <w:rFonts w:hint="eastAsia"/>
                      <w:color w:val="auto"/>
                      <w:lang w:eastAsia="zh-CN"/>
                    </w:rPr>
                    <w:t>标准值</w:t>
                  </w:r>
                </w:p>
              </w:tc>
              <w:tc>
                <w:tcPr>
                  <w:tcW w:w="642" w:type="pct"/>
                  <w:tcBorders>
                    <w:bottom w:val="single" w:color="000000" w:sz="10" w:space="0"/>
                  </w:tcBorders>
                  <w:vAlign w:val="center"/>
                </w:tcPr>
                <w:p>
                  <w:pPr>
                    <w:pStyle w:val="17"/>
                    <w:bidi w:val="0"/>
                    <w:jc w:val="center"/>
                    <w:rPr>
                      <w:rFonts w:hint="eastAsia"/>
                      <w:color w:val="auto"/>
                      <w:lang w:eastAsia="zh-CN"/>
                    </w:rPr>
                  </w:pPr>
                  <w:r>
                    <w:rPr>
                      <w:rFonts w:hint="eastAsia"/>
                      <w:color w:val="auto"/>
                      <w:lang w:eastAsia="zh-CN"/>
                    </w:rPr>
                    <w:t>/</w:t>
                  </w:r>
                </w:p>
              </w:tc>
              <w:tc>
                <w:tcPr>
                  <w:tcW w:w="642" w:type="pct"/>
                  <w:tcBorders>
                    <w:bottom w:val="single" w:color="000000" w:sz="10" w:space="0"/>
                  </w:tcBorders>
                  <w:vAlign w:val="center"/>
                </w:tcPr>
                <w:p>
                  <w:pPr>
                    <w:pStyle w:val="17"/>
                    <w:bidi w:val="0"/>
                    <w:jc w:val="center"/>
                    <w:rPr>
                      <w:rFonts w:hint="eastAsia"/>
                      <w:color w:val="auto"/>
                      <w:lang w:eastAsia="zh-CN"/>
                    </w:rPr>
                  </w:pPr>
                  <w:r>
                    <w:rPr>
                      <w:rFonts w:hint="eastAsia"/>
                      <w:color w:val="auto"/>
                      <w:lang w:eastAsia="zh-CN"/>
                    </w:rPr>
                    <w:t>/</w:t>
                  </w:r>
                </w:p>
              </w:tc>
              <w:tc>
                <w:tcPr>
                  <w:tcW w:w="615" w:type="pct"/>
                  <w:tcBorders>
                    <w:bottom w:val="single" w:color="000000" w:sz="10" w:space="0"/>
                  </w:tcBorders>
                  <w:vAlign w:val="center"/>
                </w:tcPr>
                <w:p>
                  <w:pPr>
                    <w:pStyle w:val="17"/>
                    <w:bidi w:val="0"/>
                    <w:jc w:val="center"/>
                    <w:rPr>
                      <w:rFonts w:hint="eastAsia"/>
                      <w:color w:val="auto"/>
                      <w:lang w:eastAsia="zh-CN"/>
                    </w:rPr>
                  </w:pPr>
                  <w:r>
                    <w:rPr>
                      <w:rFonts w:hint="eastAsia"/>
                      <w:color w:val="auto"/>
                      <w:lang w:eastAsia="zh-CN"/>
                    </w:rPr>
                    <w:t>/</w:t>
                  </w:r>
                </w:p>
              </w:tc>
              <w:tc>
                <w:tcPr>
                  <w:tcW w:w="562" w:type="pct"/>
                  <w:tcBorders>
                    <w:bottom w:val="single" w:color="000000" w:sz="10" w:space="0"/>
                  </w:tcBorders>
                  <w:vAlign w:val="center"/>
                </w:tcPr>
                <w:p>
                  <w:pPr>
                    <w:pStyle w:val="17"/>
                    <w:bidi w:val="0"/>
                    <w:jc w:val="center"/>
                    <w:rPr>
                      <w:rFonts w:hint="eastAsia"/>
                      <w:color w:val="auto"/>
                      <w:lang w:eastAsia="zh-CN"/>
                    </w:rPr>
                  </w:pPr>
                  <w:r>
                    <w:rPr>
                      <w:rFonts w:hint="eastAsia"/>
                      <w:color w:val="auto"/>
                      <w:lang w:eastAsia="zh-CN"/>
                    </w:rPr>
                    <w:t>/</w:t>
                  </w:r>
                </w:p>
              </w:tc>
              <w:tc>
                <w:tcPr>
                  <w:tcW w:w="708" w:type="pct"/>
                  <w:tcBorders>
                    <w:bottom w:val="single" w:color="000000" w:sz="10" w:space="0"/>
                  </w:tcBorders>
                  <w:vAlign w:val="center"/>
                </w:tcPr>
                <w:p>
                  <w:pPr>
                    <w:pStyle w:val="17"/>
                    <w:bidi w:val="0"/>
                    <w:jc w:val="center"/>
                    <w:rPr>
                      <w:rFonts w:hint="eastAsia"/>
                      <w:color w:val="auto"/>
                      <w:lang w:eastAsia="zh-CN"/>
                    </w:rPr>
                  </w:pPr>
                  <w:r>
                    <w:rPr>
                      <w:rFonts w:hint="eastAsia"/>
                      <w:color w:val="auto"/>
                      <w:lang w:eastAsia="zh-CN"/>
                    </w:rPr>
                    <w:t>50</w:t>
                  </w:r>
                </w:p>
              </w:tc>
              <w:tc>
                <w:tcPr>
                  <w:tcW w:w="831" w:type="pct"/>
                  <w:tcBorders>
                    <w:bottom w:val="single" w:color="000000" w:sz="10" w:space="0"/>
                    <w:right w:val="nil"/>
                  </w:tcBorders>
                  <w:vAlign w:val="center"/>
                </w:tcPr>
                <w:p>
                  <w:pPr>
                    <w:pStyle w:val="17"/>
                    <w:bidi w:val="0"/>
                    <w:jc w:val="center"/>
                    <w:rPr>
                      <w:rFonts w:hint="eastAsia"/>
                      <w:color w:val="auto"/>
                      <w:lang w:eastAsia="zh-CN"/>
                    </w:rPr>
                  </w:pPr>
                  <w:r>
                    <w:rPr>
                      <w:rFonts w:hint="eastAsia"/>
                      <w:color w:val="auto"/>
                      <w:lang w:eastAsia="zh-CN"/>
                    </w:rPr>
                    <w:t>40</w:t>
                  </w:r>
                </w:p>
              </w:tc>
            </w:tr>
          </w:tbl>
          <w:p>
            <w:pPr>
              <w:bidi w:val="0"/>
              <w:rPr>
                <w:rFonts w:hint="eastAsia" w:eastAsia="宋体"/>
                <w:color w:val="auto"/>
                <w:lang w:eastAsia="zh-CN"/>
              </w:rPr>
            </w:pPr>
            <w:r>
              <w:rPr>
                <w:rFonts w:hint="eastAsia"/>
                <w:color w:val="auto"/>
                <w:lang w:eastAsia="zh-CN"/>
              </w:rPr>
              <w:t>根据《环境影响评价技术导则</w:t>
            </w:r>
            <w:r>
              <w:rPr>
                <w:rFonts w:hint="eastAsia"/>
                <w:color w:val="auto"/>
                <w:lang w:val="en-US" w:eastAsia="zh-CN"/>
              </w:rPr>
              <w:t xml:space="preserve"> </w:t>
            </w:r>
            <w:r>
              <w:rPr>
                <w:rFonts w:hint="eastAsia"/>
                <w:color w:val="auto"/>
                <w:lang w:eastAsia="zh-CN"/>
              </w:rPr>
              <w:t>声环境》（HJ2.4-20</w:t>
            </w:r>
            <w:r>
              <w:rPr>
                <w:rFonts w:hint="eastAsia"/>
                <w:color w:val="auto"/>
                <w:lang w:val="en-US" w:eastAsia="zh-CN"/>
              </w:rPr>
              <w:t>21</w:t>
            </w:r>
            <w:r>
              <w:rPr>
                <w:rFonts w:hint="eastAsia"/>
                <w:color w:val="auto"/>
                <w:lang w:eastAsia="zh-CN"/>
              </w:rPr>
              <w:t>）可知，进行边界噪声评价时，新建建设项目以工程噪声贡献值作为评价量。通过采取上述对高噪声设备采取隔声、减振、等处理，以及加强对游客的管理与引导，并通过合理布局、加强绿化、等防治措施后，本项目厂界昼夜间噪声可达到《社会生活环境噪声排放标准》（GB22337-2008）。</w:t>
            </w:r>
          </w:p>
          <w:p>
            <w:pPr>
              <w:pStyle w:val="4"/>
              <w:bidi w:val="0"/>
              <w:rPr>
                <w:rFonts w:hint="eastAsia"/>
                <w:color w:val="auto"/>
                <w:lang w:eastAsia="zh-CN"/>
              </w:rPr>
            </w:pPr>
            <w:r>
              <w:rPr>
                <w:rFonts w:hint="eastAsia"/>
                <w:color w:val="auto"/>
                <w:lang w:val="en-US" w:eastAsia="zh-CN"/>
              </w:rPr>
              <w:t xml:space="preserve">7 </w:t>
            </w:r>
            <w:r>
              <w:rPr>
                <w:rFonts w:hint="eastAsia"/>
                <w:color w:val="auto"/>
                <w:lang w:eastAsia="zh-CN"/>
              </w:rPr>
              <w:t>固体废物环境影响分析</w:t>
            </w:r>
          </w:p>
          <w:p>
            <w:pPr>
              <w:bidi w:val="0"/>
              <w:rPr>
                <w:rFonts w:hint="eastAsia" w:ascii="Times New Roman" w:hAnsi="Times New Roman" w:eastAsia="宋体" w:cs="Times New Roman"/>
                <w:color w:val="auto"/>
                <w:lang w:eastAsia="zh-CN"/>
              </w:rPr>
            </w:pPr>
            <w:r>
              <w:rPr>
                <w:rFonts w:hint="eastAsia"/>
                <w:color w:val="auto"/>
                <w:lang w:eastAsia="zh-CN"/>
              </w:rPr>
              <w:t>营运期固体废物污染主要来自工作人员及游客产生的生活垃圾、“地埋式一体化污水处理</w:t>
            </w:r>
            <w:r>
              <w:rPr>
                <w:rFonts w:hint="eastAsia" w:ascii="Times New Roman" w:hAnsi="Times New Roman" w:eastAsia="宋体" w:cs="Times New Roman"/>
                <w:color w:val="auto"/>
                <w:lang w:eastAsia="zh-CN"/>
              </w:rPr>
              <w:t>设施”污泥以及设备检修产生的废机油。</w:t>
            </w:r>
          </w:p>
          <w:p>
            <w:pPr>
              <w:bidi w:val="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）生活垃圾：</w:t>
            </w:r>
          </w:p>
          <w:p>
            <w:pPr>
              <w:bidi w:val="0"/>
              <w:rPr>
                <w:rFonts w:hint="eastAsia" w:ascii="Times New Roman" w:hAnsi="Times New Roman" w:eastAsia="宋体" w:cs="Times New Roman"/>
                <w:color w:val="auto"/>
                <w:lang w:eastAsia="zh-CN"/>
              </w:rPr>
            </w:pPr>
            <w:r>
              <w:rPr>
                <w:rFonts w:hint="eastAsia"/>
                <w:color w:val="auto"/>
                <w:lang w:val="en-US" w:eastAsia="zh-CN"/>
              </w:rPr>
              <w:t>本项目运营期内年接待量最高预计达150万人次，</w:t>
            </w:r>
            <w:r>
              <w:rPr>
                <w:rFonts w:hint="default"/>
                <w:color w:val="auto"/>
              </w:rPr>
              <w:t>项目职工人数为130人。</w:t>
            </w:r>
            <w:r>
              <w:rPr>
                <w:rFonts w:hint="eastAsia"/>
                <w:color w:val="auto"/>
                <w:lang w:val="en-US" w:eastAsia="zh-CN"/>
              </w:rPr>
              <w:t>运营接</w:t>
            </w:r>
            <w:r>
              <w:rPr>
                <w:rFonts w:hint="eastAsia" w:ascii="Times New Roman" w:hAnsi="Times New Roman" w:eastAsia="宋体" w:cs="Times New Roman"/>
                <w:color w:val="auto"/>
                <w:lang w:val="en-US" w:eastAsia="zh-CN"/>
              </w:rPr>
              <w:t>待时间按旅游旺季5-10月计。</w:t>
            </w:r>
            <w:r>
              <w:rPr>
                <w:rFonts w:hint="default" w:ascii="Times New Roman" w:hAnsi="Times New Roman" w:eastAsia="宋体" w:cs="Times New Roman"/>
                <w:color w:val="auto"/>
                <w:spacing w:val="0"/>
                <w:w w:val="100"/>
                <w:position w:val="0"/>
                <w:highlight w:val="none"/>
              </w:rPr>
              <w:t>按每人每天产生</w:t>
            </w:r>
            <w:r>
              <w:rPr>
                <w:rFonts w:hint="default" w:ascii="Times New Roman" w:hAnsi="Times New Roman" w:eastAsia="宋体" w:cs="Times New Roman"/>
                <w:color w:val="auto"/>
                <w:spacing w:val="0"/>
                <w:w w:val="100"/>
                <w:position w:val="0"/>
                <w:highlight w:val="none"/>
                <w:lang w:val="en-US" w:eastAsia="zh-CN"/>
              </w:rPr>
              <w:t>1</w:t>
            </w:r>
            <w:r>
              <w:rPr>
                <w:rFonts w:hint="default" w:ascii="Times New Roman" w:hAnsi="Times New Roman" w:eastAsia="宋体" w:cs="Times New Roman"/>
                <w:color w:val="auto"/>
                <w:spacing w:val="0"/>
                <w:w w:val="100"/>
                <w:position w:val="0"/>
                <w:highlight w:val="none"/>
              </w:rPr>
              <w:t>kg垃圾，</w:t>
            </w:r>
            <w:r>
              <w:rPr>
                <w:rFonts w:hint="eastAsia" w:ascii="Times New Roman" w:hAnsi="Times New Roman" w:eastAsia="宋体" w:cs="Times New Roman"/>
                <w:color w:val="auto"/>
                <w:spacing w:val="0"/>
                <w:w w:val="100"/>
                <w:position w:val="0"/>
                <w:highlight w:val="none"/>
                <w:lang w:val="en-US" w:eastAsia="zh-CN"/>
              </w:rPr>
              <w:t>则</w:t>
            </w:r>
            <w:r>
              <w:rPr>
                <w:rFonts w:hint="default" w:ascii="Times New Roman" w:hAnsi="Times New Roman" w:eastAsia="宋体" w:cs="Times New Roman"/>
                <w:color w:val="auto"/>
                <w:spacing w:val="0"/>
                <w:w w:val="100"/>
                <w:position w:val="0"/>
                <w:highlight w:val="none"/>
              </w:rPr>
              <w:t>产生垃圾约</w:t>
            </w:r>
            <w:r>
              <w:rPr>
                <w:rFonts w:hint="eastAsia" w:ascii="Times New Roman" w:hAnsi="Times New Roman" w:cs="Times New Roman"/>
                <w:color w:val="auto"/>
                <w:spacing w:val="0"/>
                <w:w w:val="100"/>
                <w:position w:val="0"/>
                <w:highlight w:val="none"/>
                <w:lang w:val="en-US" w:eastAsia="zh-CN"/>
              </w:rPr>
              <w:t>4240</w:t>
            </w:r>
            <w:r>
              <w:rPr>
                <w:rFonts w:hint="default" w:ascii="Times New Roman" w:hAnsi="Times New Roman" w:eastAsia="宋体" w:cs="Times New Roman"/>
                <w:color w:val="auto"/>
                <w:spacing w:val="0"/>
                <w:w w:val="100"/>
                <w:position w:val="0"/>
                <w:highlight w:val="none"/>
              </w:rPr>
              <w:t>kg</w:t>
            </w:r>
            <w:r>
              <w:rPr>
                <w:rFonts w:hint="eastAsia" w:ascii="Times New Roman" w:hAnsi="Times New Roman" w:eastAsia="宋体" w:cs="Times New Roman"/>
                <w:color w:val="auto"/>
                <w:spacing w:val="0"/>
                <w:w w:val="100"/>
                <w:position w:val="0"/>
                <w:highlight w:val="none"/>
                <w:lang w:val="en-US" w:eastAsia="zh-CN"/>
              </w:rPr>
              <w:t>/d（763.2</w:t>
            </w:r>
            <w:r>
              <w:rPr>
                <w:rFonts w:hint="default" w:ascii="Times New Roman" w:hAnsi="Times New Roman" w:eastAsia="宋体" w:cs="Times New Roman"/>
                <w:color w:val="auto"/>
                <w:spacing w:val="0"/>
                <w:w w:val="100"/>
                <w:position w:val="0"/>
                <w:highlight w:val="none"/>
              </w:rPr>
              <w:t>t</w:t>
            </w:r>
            <w:r>
              <w:rPr>
                <w:rFonts w:hint="eastAsia" w:ascii="Times New Roman" w:hAnsi="Times New Roman" w:eastAsia="宋体" w:cs="Times New Roman"/>
                <w:color w:val="auto"/>
                <w:spacing w:val="0"/>
                <w:w w:val="100"/>
                <w:position w:val="0"/>
                <w:highlight w:val="none"/>
                <w:lang w:val="en-US" w:eastAsia="zh-CN"/>
              </w:rPr>
              <w:t>/a）</w:t>
            </w:r>
            <w:r>
              <w:rPr>
                <w:rFonts w:hint="default" w:ascii="Times New Roman" w:hAnsi="Times New Roman" w:eastAsia="宋体" w:cs="Times New Roman"/>
                <w:color w:val="auto"/>
                <w:spacing w:val="0"/>
                <w:w w:val="100"/>
                <w:position w:val="0"/>
                <w:highlight w:val="none"/>
              </w:rPr>
              <w:t>，</w:t>
            </w:r>
            <w:r>
              <w:rPr>
                <w:rFonts w:hint="eastAsia" w:ascii="Times New Roman" w:hAnsi="Times New Roman" w:eastAsia="宋体" w:cs="Times New Roman"/>
                <w:color w:val="auto"/>
                <w:lang w:eastAsia="zh-CN"/>
              </w:rPr>
              <w:t>项目</w:t>
            </w:r>
            <w:r>
              <w:rPr>
                <w:rFonts w:hint="eastAsia" w:ascii="Times New Roman" w:hAnsi="Times New Roman" w:eastAsia="宋体" w:cs="Times New Roman"/>
                <w:color w:val="auto"/>
                <w:lang w:val="en-US" w:eastAsia="zh-CN"/>
              </w:rPr>
              <w:t>各地块</w:t>
            </w:r>
            <w:r>
              <w:rPr>
                <w:rFonts w:hint="eastAsia" w:ascii="Times New Roman" w:hAnsi="Times New Roman" w:eastAsia="宋体" w:cs="Times New Roman"/>
                <w:color w:val="auto"/>
                <w:lang w:eastAsia="zh-CN"/>
              </w:rPr>
              <w:t>内设有垃圾箱，生活垃圾由景区环卫部门统一运至果赛景区垃圾收集站，再集中运送至</w:t>
            </w:r>
            <w:r>
              <w:rPr>
                <w:rFonts w:hint="eastAsia"/>
                <w:color w:val="auto"/>
                <w:lang w:val="en-US" w:eastAsia="zh-CN"/>
              </w:rPr>
              <w:t>霍尔果斯经济开发区清水河配套园区</w:t>
            </w:r>
            <w:r>
              <w:rPr>
                <w:rFonts w:hint="eastAsia" w:cs="Times New Roman"/>
                <w:color w:val="auto"/>
                <w:lang w:eastAsia="zh-CN"/>
              </w:rPr>
              <w:t>垃圾填埋场处理</w:t>
            </w:r>
            <w:r>
              <w:rPr>
                <w:rFonts w:hint="eastAsia" w:ascii="Times New Roman" w:hAnsi="Times New Roman" w:eastAsia="宋体" w:cs="Times New Roman"/>
                <w:color w:val="auto"/>
                <w:lang w:eastAsia="zh-CN"/>
              </w:rPr>
              <w:t>处理。项目区管理部门对项目区内的垃圾应加强管理，安排专人定期清理，对游客加强宣传，提高游客的环保意识。只要严格按照有关部门的规定处置固体废物，搞好项目内的环境卫生，使项目生活垃圾分类化、减量化、无害化，制定合理垃圾清运制度。</w:t>
            </w:r>
          </w:p>
          <w:p>
            <w:pPr>
              <w:numPr>
                <w:ilvl w:val="0"/>
                <w:numId w:val="5"/>
              </w:numPr>
              <w:bidi w:val="0"/>
              <w:ind w:left="240" w:leftChars="100" w:firstLine="240" w:firstLineChars="1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污水处理设备</w:t>
            </w:r>
            <w:r>
              <w:rPr>
                <w:rFonts w:hint="eastAsia" w:ascii="Times New Roman" w:hAnsi="Times New Roman" w:eastAsia="宋体" w:cs="Times New Roman"/>
                <w:color w:val="auto"/>
                <w:lang w:eastAsia="zh-CN"/>
              </w:rPr>
              <w:t>污泥</w:t>
            </w:r>
          </w:p>
          <w:p>
            <w:pPr>
              <w:numPr>
                <w:ilvl w:val="0"/>
                <w:numId w:val="0"/>
              </w:numPr>
              <w:bidi w:val="0"/>
              <w:ind w:firstLine="48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根据环保部办公厅文件《关于加强城镇污水处理厂污泥污染防治工作的通知》（环</w:t>
            </w:r>
            <w:r>
              <w:rPr>
                <w:rFonts w:hint="eastAsia"/>
                <w:color w:val="auto"/>
                <w:lang w:eastAsia="zh-CN"/>
              </w:rPr>
              <w:t>办[2010]157号）和《关于加强我区城镇污水处理厂污泥污染防治工作的通知》（新环防发〔2011〕65号））规定，“污水处理厂以贮存（即不处理处置）为目的将污泥运出厂界的，必须将污泥脱水至含水率60%以下”。</w:t>
            </w:r>
            <w:r>
              <w:rPr>
                <w:rFonts w:hint="eastAsia"/>
                <w:color w:val="auto"/>
                <w:lang w:val="en-US" w:eastAsia="zh-CN"/>
              </w:rPr>
              <w:t>本项目污水处理设备污泥每年清掏一次，类比同类型项目，污泥产生量按废水处理量的1</w:t>
            </w:r>
            <w:r>
              <w:rPr>
                <w:rFonts w:hint="default" w:ascii="Times New Roman" w:hAnsi="Times New Roman" w:eastAsia="黑体" w:cs="Times New Roman"/>
                <w:color w:val="auto"/>
                <w:lang w:val="en-US" w:eastAsia="zh-CN"/>
              </w:rPr>
              <w:t>‰</w:t>
            </w:r>
            <w:r>
              <w:rPr>
                <w:rFonts w:hint="eastAsia"/>
                <w:color w:val="auto"/>
                <w:lang w:val="en-US" w:eastAsia="zh-CN"/>
              </w:rPr>
              <w:t>计，则污泥产生量为7.04t/a，</w:t>
            </w:r>
            <w:r>
              <w:rPr>
                <w:rFonts w:hint="eastAsia"/>
                <w:color w:val="auto"/>
                <w:lang w:eastAsia="zh-CN"/>
              </w:rPr>
              <w:t>环评要求污泥含水率在降低至60%以下的前提下方可外送生活垃圾填埋场进行卫生填埋处置。为避免污泥落地、沿途散落以及恶臭气体污染大气造成二次污染，在设计与管理中应保证废物不落地，直接装入废物箱或装车外运，污物</w:t>
            </w:r>
            <w:r>
              <w:rPr>
                <w:rFonts w:hint="eastAsia" w:ascii="Times New Roman" w:hAnsi="Times New Roman" w:eastAsia="宋体" w:cs="Times New Roman"/>
                <w:color w:val="auto"/>
                <w:lang w:eastAsia="zh-CN"/>
              </w:rPr>
              <w:t>外运时采用封闭式自卸车。</w:t>
            </w:r>
          </w:p>
          <w:p>
            <w:pPr>
              <w:numPr>
                <w:ilvl w:val="0"/>
                <w:numId w:val="5"/>
              </w:numPr>
              <w:bidi w:val="0"/>
              <w:ind w:left="240" w:leftChars="100" w:firstLine="240" w:firstLineChars="1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废机油</w:t>
            </w:r>
          </w:p>
          <w:p>
            <w:pPr>
              <w:numPr>
                <w:ilvl w:val="0"/>
                <w:numId w:val="0"/>
              </w:numPr>
              <w:bidi w:val="0"/>
              <w:ind w:firstLine="480" w:firstLineChars="200"/>
              <w:rPr>
                <w:rFonts w:hint="eastAsia"/>
                <w:color w:val="auto"/>
                <w:lang w:eastAsia="zh-CN"/>
              </w:rPr>
            </w:pPr>
            <w:r>
              <w:rPr>
                <w:rFonts w:hint="eastAsia" w:ascii="Times New Roman" w:hAnsi="Times New Roman" w:eastAsia="宋体" w:cs="Times New Roman"/>
                <w:color w:val="auto"/>
                <w:lang w:val="en-US" w:eastAsia="zh-CN"/>
              </w:rPr>
              <w:t>本</w:t>
            </w:r>
            <w:r>
              <w:rPr>
                <w:rFonts w:hint="eastAsia" w:ascii="Times New Roman" w:hAnsi="Times New Roman" w:eastAsia="宋体" w:cs="Times New Roman"/>
                <w:color w:val="auto"/>
                <w:lang w:eastAsia="zh-CN"/>
              </w:rPr>
              <w:t>项目</w:t>
            </w:r>
            <w:r>
              <w:rPr>
                <w:rFonts w:hint="eastAsia" w:ascii="Times New Roman" w:hAnsi="Times New Roman" w:eastAsia="宋体" w:cs="Times New Roman"/>
                <w:color w:val="auto"/>
                <w:lang w:val="en-US" w:eastAsia="zh-CN"/>
              </w:rPr>
              <w:t>索道</w:t>
            </w:r>
            <w:r>
              <w:rPr>
                <w:rFonts w:hint="eastAsia" w:ascii="Times New Roman" w:hAnsi="Times New Roman" w:eastAsia="宋体" w:cs="Times New Roman"/>
                <w:color w:val="auto"/>
                <w:lang w:eastAsia="zh-CN"/>
              </w:rPr>
              <w:t>设备检修产生的废</w:t>
            </w:r>
            <w:r>
              <w:rPr>
                <w:rFonts w:hint="eastAsia"/>
                <w:color w:val="auto"/>
                <w:lang w:eastAsia="zh-CN"/>
              </w:rPr>
              <w:t>机油属危险废物，采用专用收集桶暂存于危险废物暂存间，定期交由有危险废物</w:t>
            </w:r>
            <w:r>
              <w:rPr>
                <w:rFonts w:hint="eastAsia" w:ascii="Times New Roman" w:hAnsi="Times New Roman" w:eastAsia="宋体" w:cs="Times New Roman"/>
                <w:color w:val="auto"/>
                <w:lang w:eastAsia="zh-CN"/>
              </w:rPr>
              <w:t>处理资质的单位处理。危废暂存间要</w:t>
            </w:r>
            <w:r>
              <w:rPr>
                <w:rFonts w:hint="eastAsia" w:ascii="Times New Roman" w:hAnsi="Times New Roman" w:eastAsia="宋体" w:cs="Times New Roman"/>
                <w:color w:val="auto"/>
                <w:lang w:val="en-US" w:eastAsia="zh-CN"/>
              </w:rPr>
              <w:t>符合</w:t>
            </w:r>
            <w:r>
              <w:rPr>
                <w:rFonts w:hint="eastAsia" w:ascii="Times New Roman" w:hAnsi="Times New Roman" w:eastAsia="宋体" w:cs="Times New Roman"/>
                <w:color w:val="auto"/>
                <w:lang w:eastAsia="zh-CN"/>
              </w:rPr>
              <w:t>《危险废物贮存污染控制标准》（GB18597-20</w:t>
            </w:r>
            <w:r>
              <w:rPr>
                <w:rFonts w:hint="eastAsia" w:ascii="Times New Roman" w:hAnsi="Times New Roman" w:eastAsia="宋体" w:cs="Times New Roman"/>
                <w:color w:val="auto"/>
                <w:lang w:val="en-US" w:eastAsia="zh-CN"/>
              </w:rPr>
              <w:t>23</w:t>
            </w:r>
            <w:r>
              <w:rPr>
                <w:rFonts w:hint="eastAsia" w:ascii="Times New Roman" w:hAnsi="Times New Roman" w:eastAsia="宋体" w:cs="Times New Roman"/>
                <w:color w:val="auto"/>
                <w:lang w:eastAsia="zh-CN"/>
              </w:rPr>
              <w:t>）要求，</w:t>
            </w:r>
            <w:r>
              <w:rPr>
                <w:rFonts w:hint="eastAsia" w:ascii="Times New Roman" w:hAnsi="Times New Roman" w:eastAsia="宋体" w:cs="Times New Roman"/>
                <w:color w:val="auto"/>
                <w:lang w:val="en-US" w:eastAsia="zh-CN"/>
              </w:rPr>
              <w:t>做到</w:t>
            </w:r>
            <w:r>
              <w:rPr>
                <w:rFonts w:hint="eastAsia" w:ascii="Times New Roman" w:hAnsi="Times New Roman" w:eastAsia="宋体" w:cs="Times New Roman"/>
                <w:color w:val="auto"/>
                <w:lang w:eastAsia="zh-CN"/>
              </w:rPr>
              <w:t>防风、防雨、防晒，应避开易燃、易爆危险品仓库、高压输电线路</w:t>
            </w:r>
            <w:r>
              <w:rPr>
                <w:rFonts w:hint="eastAsia"/>
                <w:color w:val="auto"/>
                <w:lang w:eastAsia="zh-CN"/>
              </w:rPr>
              <w:t>防护区域，基础必须防渗，防渗层为至少1m厚粘土层（渗透系数≤10</w:t>
            </w:r>
            <w:r>
              <w:rPr>
                <w:rFonts w:hint="eastAsia"/>
                <w:color w:val="auto"/>
                <w:vertAlign w:val="superscript"/>
                <w:lang w:eastAsia="zh-CN"/>
              </w:rPr>
              <w:t>-7</w:t>
            </w:r>
            <w:r>
              <w:rPr>
                <w:rFonts w:hint="eastAsia"/>
                <w:color w:val="auto"/>
                <w:lang w:eastAsia="zh-CN"/>
              </w:rPr>
              <w:t>cm/s），或2mm厚高密度聚乙烯，或至少2mm厚的其它人工材料，渗透系数≤10</w:t>
            </w:r>
            <w:r>
              <w:rPr>
                <w:rFonts w:hint="eastAsia" w:ascii="Times New Roman" w:hAnsi="Times New Roman" w:eastAsia="宋体" w:cs="Times New Roman"/>
                <w:color w:val="auto"/>
                <w:vertAlign w:val="superscript"/>
                <w:lang w:eastAsia="zh-CN"/>
              </w:rPr>
              <w:t>-10</w:t>
            </w:r>
            <w:r>
              <w:rPr>
                <w:rFonts w:hint="eastAsia"/>
                <w:color w:val="auto"/>
                <w:lang w:eastAsia="zh-CN"/>
              </w:rPr>
              <w:t>cm/s。</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eastAsia"/>
                <w:color w:val="auto"/>
                <w:sz w:val="24"/>
                <w:szCs w:val="24"/>
                <w:lang w:eastAsia="zh-CN"/>
              </w:rPr>
            </w:pPr>
            <w:r>
              <w:rPr>
                <w:rFonts w:hint="eastAsia"/>
                <w:color w:val="auto"/>
                <w:sz w:val="24"/>
                <w:szCs w:val="24"/>
                <w:lang w:eastAsia="zh-CN"/>
              </w:rPr>
              <w:t>表</w:t>
            </w:r>
            <w:r>
              <w:rPr>
                <w:rFonts w:hint="eastAsia"/>
                <w:color w:val="auto"/>
                <w:sz w:val="24"/>
                <w:szCs w:val="24"/>
                <w:lang w:val="en-US" w:eastAsia="zh-CN"/>
              </w:rPr>
              <w:t xml:space="preserve">7-1   </w:t>
            </w:r>
            <w:r>
              <w:rPr>
                <w:rFonts w:hint="eastAsia"/>
                <w:color w:val="auto"/>
                <w:sz w:val="24"/>
                <w:szCs w:val="24"/>
                <w:lang w:eastAsia="zh-CN"/>
              </w:rPr>
              <w:t>固体废物排放信息</w:t>
            </w:r>
          </w:p>
          <w:tbl>
            <w:tblPr>
              <w:tblStyle w:val="19"/>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45"/>
              <w:gridCol w:w="703"/>
              <w:gridCol w:w="961"/>
              <w:gridCol w:w="872"/>
              <w:gridCol w:w="826"/>
              <w:gridCol w:w="1216"/>
              <w:gridCol w:w="165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48" w:type="pct"/>
                  <w:tcBorders>
                    <w:tl2br w:val="nil"/>
                    <w:tr2bl w:val="nil"/>
                  </w:tcBorders>
                  <w:vAlign w:val="center"/>
                </w:tcPr>
                <w:p>
                  <w:pPr>
                    <w:pStyle w:val="17"/>
                    <w:bidi w:val="0"/>
                    <w:rPr>
                      <w:rFonts w:hint="eastAsia"/>
                      <w:color w:val="auto"/>
                      <w:lang w:eastAsia="zh-CN"/>
                    </w:rPr>
                  </w:pPr>
                  <w:r>
                    <w:rPr>
                      <w:rFonts w:hint="eastAsia"/>
                      <w:color w:val="auto"/>
                      <w:lang w:eastAsia="zh-CN"/>
                    </w:rPr>
                    <w:t>固废名称</w:t>
                  </w:r>
                </w:p>
              </w:tc>
              <w:tc>
                <w:tcPr>
                  <w:tcW w:w="459" w:type="pct"/>
                  <w:tcBorders>
                    <w:tl2br w:val="nil"/>
                    <w:tr2bl w:val="nil"/>
                  </w:tcBorders>
                  <w:vAlign w:val="center"/>
                </w:tcPr>
                <w:p>
                  <w:pPr>
                    <w:pStyle w:val="17"/>
                    <w:bidi w:val="0"/>
                    <w:rPr>
                      <w:rFonts w:hint="eastAsia"/>
                      <w:color w:val="auto"/>
                      <w:lang w:eastAsia="zh-CN"/>
                    </w:rPr>
                  </w:pPr>
                  <w:r>
                    <w:rPr>
                      <w:rFonts w:hint="eastAsia"/>
                      <w:color w:val="auto"/>
                      <w:lang w:eastAsia="zh-CN"/>
                    </w:rPr>
                    <w:t>固废</w:t>
                  </w:r>
                </w:p>
                <w:p>
                  <w:pPr>
                    <w:pStyle w:val="17"/>
                    <w:bidi w:val="0"/>
                    <w:rPr>
                      <w:rFonts w:hint="eastAsia"/>
                      <w:color w:val="auto"/>
                      <w:lang w:eastAsia="zh-CN"/>
                    </w:rPr>
                  </w:pPr>
                  <w:r>
                    <w:rPr>
                      <w:rFonts w:hint="eastAsia"/>
                      <w:color w:val="auto"/>
                      <w:lang w:eastAsia="zh-CN"/>
                    </w:rPr>
                    <w:t>属性</w:t>
                  </w:r>
                </w:p>
              </w:tc>
              <w:tc>
                <w:tcPr>
                  <w:tcW w:w="625" w:type="pct"/>
                  <w:tcBorders>
                    <w:tl2br w:val="nil"/>
                    <w:tr2bl w:val="nil"/>
                  </w:tcBorders>
                  <w:vAlign w:val="center"/>
                </w:tcPr>
                <w:p>
                  <w:pPr>
                    <w:pStyle w:val="17"/>
                    <w:bidi w:val="0"/>
                    <w:rPr>
                      <w:rFonts w:hint="eastAsia"/>
                      <w:color w:val="auto"/>
                      <w:lang w:eastAsia="zh-CN"/>
                    </w:rPr>
                  </w:pPr>
                  <w:r>
                    <w:rPr>
                      <w:rFonts w:hint="eastAsia"/>
                      <w:color w:val="auto"/>
                      <w:lang w:eastAsia="zh-CN"/>
                    </w:rPr>
                    <w:t>物理性状</w:t>
                  </w:r>
                </w:p>
              </w:tc>
              <w:tc>
                <w:tcPr>
                  <w:tcW w:w="568" w:type="pct"/>
                  <w:tcBorders>
                    <w:tl2br w:val="nil"/>
                    <w:tr2bl w:val="nil"/>
                  </w:tcBorders>
                  <w:vAlign w:val="center"/>
                </w:tcPr>
                <w:p>
                  <w:pPr>
                    <w:pStyle w:val="17"/>
                    <w:bidi w:val="0"/>
                    <w:rPr>
                      <w:rFonts w:hint="eastAsia"/>
                      <w:color w:val="auto"/>
                      <w:lang w:eastAsia="zh-CN"/>
                    </w:rPr>
                  </w:pPr>
                  <w:r>
                    <w:rPr>
                      <w:rFonts w:hint="eastAsia"/>
                      <w:color w:val="auto"/>
                      <w:lang w:eastAsia="zh-CN"/>
                    </w:rPr>
                    <w:t>环境危险特性</w:t>
                  </w:r>
                </w:p>
              </w:tc>
              <w:tc>
                <w:tcPr>
                  <w:tcW w:w="538" w:type="pct"/>
                  <w:tcBorders>
                    <w:tl2br w:val="nil"/>
                    <w:tr2bl w:val="nil"/>
                  </w:tcBorders>
                  <w:vAlign w:val="center"/>
                </w:tcPr>
                <w:p>
                  <w:pPr>
                    <w:pStyle w:val="17"/>
                    <w:bidi w:val="0"/>
                    <w:rPr>
                      <w:rFonts w:hint="eastAsia"/>
                      <w:color w:val="auto"/>
                      <w:lang w:eastAsia="zh-CN"/>
                    </w:rPr>
                  </w:pPr>
                  <w:r>
                    <w:rPr>
                      <w:rFonts w:hint="eastAsia"/>
                      <w:color w:val="auto"/>
                      <w:lang w:eastAsia="zh-CN"/>
                    </w:rPr>
                    <w:t>产生量（t/a）</w:t>
                  </w:r>
                </w:p>
              </w:tc>
              <w:tc>
                <w:tcPr>
                  <w:tcW w:w="788" w:type="pct"/>
                  <w:tcBorders>
                    <w:tl2br w:val="nil"/>
                    <w:tr2bl w:val="nil"/>
                  </w:tcBorders>
                  <w:vAlign w:val="center"/>
                </w:tcPr>
                <w:p>
                  <w:pPr>
                    <w:pStyle w:val="17"/>
                    <w:bidi w:val="0"/>
                    <w:rPr>
                      <w:rFonts w:hint="eastAsia"/>
                      <w:color w:val="auto"/>
                      <w:lang w:eastAsia="zh-CN"/>
                    </w:rPr>
                  </w:pPr>
                  <w:r>
                    <w:rPr>
                      <w:rFonts w:hint="eastAsia"/>
                      <w:color w:val="auto"/>
                      <w:lang w:eastAsia="zh-CN"/>
                    </w:rPr>
                    <w:t>储存方式</w:t>
                  </w:r>
                </w:p>
              </w:tc>
              <w:tc>
                <w:tcPr>
                  <w:tcW w:w="1069" w:type="pct"/>
                  <w:tcBorders>
                    <w:tl2br w:val="nil"/>
                    <w:tr2bl w:val="nil"/>
                  </w:tcBorders>
                  <w:vAlign w:val="center"/>
                </w:tcPr>
                <w:p>
                  <w:pPr>
                    <w:pStyle w:val="17"/>
                    <w:bidi w:val="0"/>
                    <w:rPr>
                      <w:rFonts w:hint="eastAsia"/>
                      <w:color w:val="auto"/>
                      <w:lang w:eastAsia="zh-CN"/>
                    </w:rPr>
                  </w:pPr>
                  <w:r>
                    <w:rPr>
                      <w:rFonts w:hint="eastAsia"/>
                      <w:color w:val="auto"/>
                      <w:lang w:eastAsia="zh-CN"/>
                    </w:rPr>
                    <w:t>处理方式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948" w:type="pct"/>
                  <w:tcBorders>
                    <w:tl2br w:val="nil"/>
                    <w:tr2bl w:val="nil"/>
                  </w:tcBorders>
                  <w:vAlign w:val="center"/>
                </w:tcPr>
                <w:p>
                  <w:pPr>
                    <w:pStyle w:val="17"/>
                    <w:bidi w:val="0"/>
                    <w:rPr>
                      <w:rFonts w:hint="eastAsia"/>
                      <w:color w:val="auto"/>
                      <w:lang w:val="en-US" w:eastAsia="zh-CN"/>
                    </w:rPr>
                  </w:pPr>
                  <w:r>
                    <w:rPr>
                      <w:rFonts w:hint="eastAsia"/>
                      <w:color w:val="auto"/>
                      <w:lang w:val="en-US" w:eastAsia="zh-CN"/>
                    </w:rPr>
                    <w:t>污水处理设备</w:t>
                  </w:r>
                </w:p>
                <w:p>
                  <w:pPr>
                    <w:pStyle w:val="17"/>
                    <w:bidi w:val="0"/>
                    <w:rPr>
                      <w:rFonts w:hint="eastAsia"/>
                      <w:color w:val="auto"/>
                      <w:lang w:eastAsia="zh-CN"/>
                    </w:rPr>
                  </w:pPr>
                  <w:r>
                    <w:rPr>
                      <w:rFonts w:hint="eastAsia"/>
                      <w:color w:val="auto"/>
                      <w:lang w:eastAsia="zh-CN"/>
                    </w:rPr>
                    <w:t>污泥</w:t>
                  </w:r>
                </w:p>
              </w:tc>
              <w:tc>
                <w:tcPr>
                  <w:tcW w:w="459" w:type="pct"/>
                  <w:tcBorders>
                    <w:tl2br w:val="nil"/>
                    <w:tr2bl w:val="nil"/>
                  </w:tcBorders>
                  <w:vAlign w:val="center"/>
                </w:tcPr>
                <w:p>
                  <w:pPr>
                    <w:pStyle w:val="17"/>
                    <w:bidi w:val="0"/>
                    <w:rPr>
                      <w:rFonts w:hint="eastAsia"/>
                      <w:color w:val="auto"/>
                      <w:lang w:eastAsia="zh-CN"/>
                    </w:rPr>
                  </w:pPr>
                  <w:r>
                    <w:rPr>
                      <w:rFonts w:hint="eastAsia"/>
                      <w:color w:val="auto"/>
                      <w:lang w:eastAsia="zh-CN"/>
                    </w:rPr>
                    <w:t>一般</w:t>
                  </w:r>
                </w:p>
                <w:p>
                  <w:pPr>
                    <w:pStyle w:val="17"/>
                    <w:bidi w:val="0"/>
                    <w:rPr>
                      <w:rFonts w:hint="eastAsia"/>
                      <w:color w:val="auto"/>
                      <w:lang w:eastAsia="zh-CN"/>
                    </w:rPr>
                  </w:pPr>
                  <w:r>
                    <w:rPr>
                      <w:rFonts w:hint="eastAsia"/>
                      <w:color w:val="auto"/>
                      <w:lang w:eastAsia="zh-CN"/>
                    </w:rPr>
                    <w:t>工业</w:t>
                  </w:r>
                </w:p>
                <w:p>
                  <w:pPr>
                    <w:pStyle w:val="17"/>
                    <w:bidi w:val="0"/>
                    <w:rPr>
                      <w:rFonts w:hint="eastAsia"/>
                      <w:color w:val="auto"/>
                      <w:lang w:eastAsia="zh-CN"/>
                    </w:rPr>
                  </w:pPr>
                  <w:r>
                    <w:rPr>
                      <w:rFonts w:hint="eastAsia"/>
                      <w:color w:val="auto"/>
                      <w:lang w:eastAsia="zh-CN"/>
                    </w:rPr>
                    <w:t>固体</w:t>
                  </w:r>
                </w:p>
                <w:p>
                  <w:pPr>
                    <w:pStyle w:val="17"/>
                    <w:bidi w:val="0"/>
                    <w:rPr>
                      <w:rFonts w:hint="eastAsia"/>
                      <w:color w:val="auto"/>
                      <w:lang w:eastAsia="zh-CN"/>
                    </w:rPr>
                  </w:pPr>
                  <w:r>
                    <w:rPr>
                      <w:rFonts w:hint="eastAsia"/>
                      <w:color w:val="auto"/>
                      <w:lang w:eastAsia="zh-CN"/>
                    </w:rPr>
                    <w:t>废物</w:t>
                  </w:r>
                </w:p>
              </w:tc>
              <w:tc>
                <w:tcPr>
                  <w:tcW w:w="625" w:type="pct"/>
                  <w:tcBorders>
                    <w:tl2br w:val="nil"/>
                    <w:tr2bl w:val="nil"/>
                  </w:tcBorders>
                  <w:vAlign w:val="center"/>
                </w:tcPr>
                <w:p>
                  <w:pPr>
                    <w:pStyle w:val="17"/>
                    <w:bidi w:val="0"/>
                    <w:rPr>
                      <w:rFonts w:hint="eastAsia"/>
                      <w:color w:val="auto"/>
                      <w:lang w:eastAsia="zh-CN"/>
                    </w:rPr>
                  </w:pPr>
                  <w:r>
                    <w:rPr>
                      <w:rFonts w:hint="eastAsia"/>
                      <w:color w:val="auto"/>
                      <w:lang w:eastAsia="zh-CN"/>
                    </w:rPr>
                    <w:t>固态</w:t>
                  </w:r>
                </w:p>
              </w:tc>
              <w:tc>
                <w:tcPr>
                  <w:tcW w:w="568" w:type="pct"/>
                  <w:tcBorders>
                    <w:tl2br w:val="nil"/>
                    <w:tr2bl w:val="nil"/>
                  </w:tcBorders>
                  <w:vAlign w:val="center"/>
                </w:tcPr>
                <w:p>
                  <w:pPr>
                    <w:pStyle w:val="17"/>
                    <w:bidi w:val="0"/>
                    <w:rPr>
                      <w:rFonts w:hint="eastAsia"/>
                      <w:color w:val="auto"/>
                      <w:lang w:eastAsia="zh-CN"/>
                    </w:rPr>
                  </w:pPr>
                  <w:r>
                    <w:rPr>
                      <w:rFonts w:hint="eastAsia"/>
                      <w:color w:val="auto"/>
                      <w:lang w:eastAsia="zh-CN"/>
                    </w:rPr>
                    <w:t>/</w:t>
                  </w:r>
                </w:p>
              </w:tc>
              <w:tc>
                <w:tcPr>
                  <w:tcW w:w="538" w:type="pct"/>
                  <w:tcBorders>
                    <w:tl2br w:val="nil"/>
                    <w:tr2bl w:val="nil"/>
                  </w:tcBorders>
                  <w:vAlign w:val="center"/>
                </w:tcPr>
                <w:p>
                  <w:pPr>
                    <w:pStyle w:val="17"/>
                    <w:bidi w:val="0"/>
                    <w:rPr>
                      <w:rFonts w:hint="default"/>
                      <w:color w:val="auto"/>
                      <w:lang w:val="en-US" w:eastAsia="zh-CN"/>
                    </w:rPr>
                  </w:pPr>
                  <w:r>
                    <w:rPr>
                      <w:rFonts w:hint="eastAsia"/>
                      <w:color w:val="auto"/>
                      <w:lang w:val="en-US" w:eastAsia="zh-CN"/>
                    </w:rPr>
                    <w:t>7.04</w:t>
                  </w:r>
                </w:p>
              </w:tc>
              <w:tc>
                <w:tcPr>
                  <w:tcW w:w="788" w:type="pct"/>
                  <w:tcBorders>
                    <w:tl2br w:val="nil"/>
                    <w:tr2bl w:val="nil"/>
                  </w:tcBorders>
                  <w:vAlign w:val="center"/>
                </w:tcPr>
                <w:p>
                  <w:pPr>
                    <w:pStyle w:val="17"/>
                    <w:bidi w:val="0"/>
                    <w:rPr>
                      <w:rFonts w:hint="eastAsia"/>
                      <w:color w:val="auto"/>
                      <w:lang w:eastAsia="zh-CN"/>
                    </w:rPr>
                  </w:pPr>
                  <w:r>
                    <w:rPr>
                      <w:rFonts w:hint="eastAsia"/>
                      <w:color w:val="auto"/>
                      <w:lang w:eastAsia="zh-CN"/>
                    </w:rPr>
                    <w:t>/</w:t>
                  </w:r>
                </w:p>
              </w:tc>
              <w:tc>
                <w:tcPr>
                  <w:tcW w:w="1069" w:type="pct"/>
                  <w:tcBorders>
                    <w:tl2br w:val="nil"/>
                    <w:tr2bl w:val="nil"/>
                  </w:tcBorders>
                  <w:vAlign w:val="center"/>
                </w:tcPr>
                <w:p>
                  <w:pPr>
                    <w:pStyle w:val="17"/>
                    <w:bidi w:val="0"/>
                    <w:rPr>
                      <w:rFonts w:hint="default"/>
                      <w:color w:val="auto"/>
                      <w:lang w:val="en-US" w:eastAsia="zh-CN"/>
                    </w:rPr>
                  </w:pPr>
                  <w:r>
                    <w:rPr>
                      <w:rFonts w:hint="eastAsia"/>
                      <w:color w:val="auto"/>
                      <w:lang w:eastAsia="zh-CN"/>
                    </w:rPr>
                    <w:t>直接装入废物箱或装车外运，污</w:t>
                  </w:r>
                  <w:r>
                    <w:rPr>
                      <w:rFonts w:hint="eastAsia"/>
                      <w:color w:val="auto"/>
                      <w:lang w:val="en-US" w:eastAsia="zh-CN"/>
                    </w:rPr>
                    <w:t>泥</w:t>
                  </w:r>
                </w:p>
                <w:p>
                  <w:pPr>
                    <w:pStyle w:val="17"/>
                    <w:bidi w:val="0"/>
                    <w:rPr>
                      <w:rFonts w:hint="eastAsia"/>
                      <w:color w:val="auto"/>
                      <w:lang w:eastAsia="zh-CN"/>
                    </w:rPr>
                  </w:pPr>
                  <w:r>
                    <w:rPr>
                      <w:rFonts w:hint="eastAsia"/>
                      <w:color w:val="auto"/>
                      <w:lang w:eastAsia="zh-CN"/>
                    </w:rPr>
                    <w:t>外运时采用封闭式自卸车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948" w:type="pct"/>
                  <w:tcBorders>
                    <w:tl2br w:val="nil"/>
                    <w:tr2bl w:val="nil"/>
                  </w:tcBorders>
                  <w:vAlign w:val="center"/>
                </w:tcPr>
                <w:p>
                  <w:pPr>
                    <w:pStyle w:val="17"/>
                    <w:bidi w:val="0"/>
                    <w:rPr>
                      <w:rFonts w:hint="eastAsia"/>
                      <w:color w:val="auto"/>
                      <w:lang w:eastAsia="zh-CN"/>
                    </w:rPr>
                  </w:pPr>
                  <w:r>
                    <w:rPr>
                      <w:rFonts w:hint="eastAsia"/>
                      <w:color w:val="auto"/>
                      <w:lang w:eastAsia="zh-CN"/>
                    </w:rPr>
                    <w:t>废机油</w:t>
                  </w:r>
                </w:p>
                <w:p>
                  <w:pPr>
                    <w:pStyle w:val="17"/>
                    <w:bidi w:val="0"/>
                    <w:rPr>
                      <w:rFonts w:hint="eastAsia"/>
                      <w:color w:val="auto"/>
                      <w:lang w:eastAsia="zh-CN"/>
                    </w:rPr>
                  </w:pPr>
                  <w:r>
                    <w:rPr>
                      <w:rFonts w:hint="eastAsia"/>
                      <w:color w:val="auto"/>
                      <w:lang w:eastAsia="zh-CN"/>
                    </w:rPr>
                    <w:t>HW08900-214-08</w:t>
                  </w:r>
                </w:p>
              </w:tc>
              <w:tc>
                <w:tcPr>
                  <w:tcW w:w="459" w:type="pct"/>
                  <w:tcBorders>
                    <w:tl2br w:val="nil"/>
                    <w:tr2bl w:val="nil"/>
                  </w:tcBorders>
                  <w:vAlign w:val="center"/>
                </w:tcPr>
                <w:p>
                  <w:pPr>
                    <w:pStyle w:val="17"/>
                    <w:bidi w:val="0"/>
                    <w:rPr>
                      <w:rFonts w:hint="eastAsia"/>
                      <w:color w:val="auto"/>
                      <w:lang w:eastAsia="zh-CN"/>
                    </w:rPr>
                  </w:pPr>
                  <w:r>
                    <w:rPr>
                      <w:rFonts w:hint="eastAsia"/>
                      <w:color w:val="auto"/>
                      <w:lang w:eastAsia="zh-CN"/>
                    </w:rPr>
                    <w:t>危险</w:t>
                  </w:r>
                </w:p>
                <w:p>
                  <w:pPr>
                    <w:pStyle w:val="17"/>
                    <w:bidi w:val="0"/>
                    <w:rPr>
                      <w:rFonts w:hint="eastAsia"/>
                      <w:color w:val="auto"/>
                      <w:lang w:eastAsia="zh-CN"/>
                    </w:rPr>
                  </w:pPr>
                  <w:r>
                    <w:rPr>
                      <w:rFonts w:hint="eastAsia"/>
                      <w:color w:val="auto"/>
                      <w:lang w:eastAsia="zh-CN"/>
                    </w:rPr>
                    <w:t>废物</w:t>
                  </w:r>
                </w:p>
              </w:tc>
              <w:tc>
                <w:tcPr>
                  <w:tcW w:w="625" w:type="pct"/>
                  <w:tcBorders>
                    <w:tl2br w:val="nil"/>
                    <w:tr2bl w:val="nil"/>
                  </w:tcBorders>
                  <w:vAlign w:val="center"/>
                </w:tcPr>
                <w:p>
                  <w:pPr>
                    <w:pStyle w:val="17"/>
                    <w:bidi w:val="0"/>
                    <w:rPr>
                      <w:rFonts w:hint="eastAsia"/>
                      <w:color w:val="auto"/>
                      <w:lang w:eastAsia="zh-CN"/>
                    </w:rPr>
                  </w:pPr>
                  <w:r>
                    <w:rPr>
                      <w:rFonts w:hint="eastAsia"/>
                      <w:color w:val="auto"/>
                      <w:lang w:eastAsia="zh-CN"/>
                    </w:rPr>
                    <w:t>固态</w:t>
                  </w:r>
                </w:p>
              </w:tc>
              <w:tc>
                <w:tcPr>
                  <w:tcW w:w="568" w:type="pct"/>
                  <w:tcBorders>
                    <w:tl2br w:val="nil"/>
                    <w:tr2bl w:val="nil"/>
                  </w:tcBorders>
                  <w:vAlign w:val="center"/>
                </w:tcPr>
                <w:p>
                  <w:pPr>
                    <w:pStyle w:val="17"/>
                    <w:bidi w:val="0"/>
                    <w:rPr>
                      <w:rFonts w:hint="eastAsia"/>
                      <w:color w:val="auto"/>
                      <w:lang w:eastAsia="zh-CN"/>
                    </w:rPr>
                  </w:pPr>
                  <w:r>
                    <w:rPr>
                      <w:rFonts w:hint="eastAsia"/>
                      <w:color w:val="auto"/>
                      <w:lang w:eastAsia="zh-CN"/>
                    </w:rPr>
                    <w:t>T，I</w:t>
                  </w:r>
                </w:p>
              </w:tc>
              <w:tc>
                <w:tcPr>
                  <w:tcW w:w="538" w:type="pct"/>
                  <w:tcBorders>
                    <w:tl2br w:val="nil"/>
                    <w:tr2bl w:val="nil"/>
                  </w:tcBorders>
                  <w:vAlign w:val="center"/>
                </w:tcPr>
                <w:p>
                  <w:pPr>
                    <w:pStyle w:val="17"/>
                    <w:bidi w:val="0"/>
                    <w:rPr>
                      <w:rFonts w:hint="eastAsia"/>
                      <w:color w:val="auto"/>
                      <w:lang w:eastAsia="zh-CN"/>
                    </w:rPr>
                  </w:pPr>
                  <w:r>
                    <w:rPr>
                      <w:rFonts w:hint="eastAsia"/>
                      <w:color w:val="auto"/>
                      <w:lang w:eastAsia="zh-CN"/>
                    </w:rPr>
                    <w:t>0.2</w:t>
                  </w:r>
                </w:p>
              </w:tc>
              <w:tc>
                <w:tcPr>
                  <w:tcW w:w="788" w:type="pct"/>
                  <w:tcBorders>
                    <w:tl2br w:val="nil"/>
                    <w:tr2bl w:val="nil"/>
                  </w:tcBorders>
                  <w:vAlign w:val="center"/>
                </w:tcPr>
                <w:p>
                  <w:pPr>
                    <w:pStyle w:val="17"/>
                    <w:bidi w:val="0"/>
                    <w:rPr>
                      <w:rFonts w:hint="eastAsia"/>
                      <w:color w:val="auto"/>
                      <w:lang w:eastAsia="zh-CN"/>
                    </w:rPr>
                  </w:pPr>
                  <w:r>
                    <w:rPr>
                      <w:rFonts w:hint="eastAsia"/>
                      <w:color w:val="auto"/>
                      <w:lang w:eastAsia="zh-CN"/>
                    </w:rPr>
                    <w:t>暂存于危废暂存间</w:t>
                  </w:r>
                </w:p>
              </w:tc>
              <w:tc>
                <w:tcPr>
                  <w:tcW w:w="1069" w:type="pct"/>
                  <w:tcBorders>
                    <w:tl2br w:val="nil"/>
                    <w:tr2bl w:val="nil"/>
                  </w:tcBorders>
                  <w:vAlign w:val="center"/>
                </w:tcPr>
                <w:p>
                  <w:pPr>
                    <w:pStyle w:val="17"/>
                    <w:bidi w:val="0"/>
                    <w:rPr>
                      <w:rFonts w:hint="eastAsia"/>
                      <w:color w:val="auto"/>
                      <w:lang w:eastAsia="zh-CN"/>
                    </w:rPr>
                  </w:pPr>
                  <w:r>
                    <w:rPr>
                      <w:rFonts w:hint="eastAsia"/>
                      <w:color w:val="auto"/>
                      <w:lang w:eastAsia="zh-CN"/>
                    </w:rPr>
                    <w:t>交由有资质单位处置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948" w:type="pct"/>
                  <w:tcBorders>
                    <w:tl2br w:val="nil"/>
                    <w:tr2bl w:val="nil"/>
                  </w:tcBorders>
                  <w:vAlign w:val="center"/>
                </w:tcPr>
                <w:p>
                  <w:pPr>
                    <w:pStyle w:val="17"/>
                    <w:bidi w:val="0"/>
                    <w:rPr>
                      <w:rFonts w:hint="eastAsia"/>
                      <w:color w:val="auto"/>
                      <w:lang w:eastAsia="zh-CN"/>
                    </w:rPr>
                  </w:pPr>
                  <w:r>
                    <w:rPr>
                      <w:color w:val="auto"/>
                    </w:rPr>
                    <w:t>生活垃圾</w:t>
                  </w:r>
                </w:p>
              </w:tc>
              <w:tc>
                <w:tcPr>
                  <w:tcW w:w="459" w:type="pct"/>
                  <w:tcBorders>
                    <w:tl2br w:val="nil"/>
                    <w:tr2bl w:val="nil"/>
                  </w:tcBorders>
                  <w:vAlign w:val="center"/>
                </w:tcPr>
                <w:p>
                  <w:pPr>
                    <w:pStyle w:val="17"/>
                    <w:bidi w:val="0"/>
                    <w:rPr>
                      <w:color w:val="auto"/>
                    </w:rPr>
                  </w:pPr>
                  <w:r>
                    <w:rPr>
                      <w:color w:val="auto"/>
                    </w:rPr>
                    <w:t>生活</w:t>
                  </w:r>
                </w:p>
                <w:p>
                  <w:pPr>
                    <w:pStyle w:val="17"/>
                    <w:bidi w:val="0"/>
                    <w:rPr>
                      <w:rFonts w:hint="eastAsia"/>
                      <w:color w:val="auto"/>
                      <w:lang w:eastAsia="zh-CN"/>
                    </w:rPr>
                  </w:pPr>
                  <w:r>
                    <w:rPr>
                      <w:color w:val="auto"/>
                    </w:rPr>
                    <w:t>垃圾</w:t>
                  </w:r>
                </w:p>
              </w:tc>
              <w:tc>
                <w:tcPr>
                  <w:tcW w:w="625" w:type="pct"/>
                  <w:tcBorders>
                    <w:tl2br w:val="nil"/>
                    <w:tr2bl w:val="nil"/>
                  </w:tcBorders>
                  <w:vAlign w:val="center"/>
                </w:tcPr>
                <w:p>
                  <w:pPr>
                    <w:pStyle w:val="17"/>
                    <w:bidi w:val="0"/>
                    <w:rPr>
                      <w:rFonts w:hint="eastAsia"/>
                      <w:color w:val="auto"/>
                      <w:lang w:eastAsia="zh-CN"/>
                    </w:rPr>
                  </w:pPr>
                  <w:r>
                    <w:rPr>
                      <w:color w:val="auto"/>
                    </w:rPr>
                    <w:t>固态</w:t>
                  </w:r>
                </w:p>
              </w:tc>
              <w:tc>
                <w:tcPr>
                  <w:tcW w:w="568" w:type="pct"/>
                  <w:tcBorders>
                    <w:tl2br w:val="nil"/>
                    <w:tr2bl w:val="nil"/>
                  </w:tcBorders>
                  <w:vAlign w:val="center"/>
                </w:tcPr>
                <w:p>
                  <w:pPr>
                    <w:pStyle w:val="17"/>
                    <w:bidi w:val="0"/>
                    <w:rPr>
                      <w:rFonts w:hint="eastAsia"/>
                      <w:color w:val="auto"/>
                      <w:lang w:eastAsia="zh-CN"/>
                    </w:rPr>
                  </w:pPr>
                  <w:r>
                    <w:rPr>
                      <w:color w:val="auto"/>
                    </w:rPr>
                    <w:t>/</w:t>
                  </w:r>
                </w:p>
              </w:tc>
              <w:tc>
                <w:tcPr>
                  <w:tcW w:w="538" w:type="pct"/>
                  <w:tcBorders>
                    <w:tl2br w:val="nil"/>
                    <w:tr2bl w:val="nil"/>
                  </w:tcBorders>
                  <w:vAlign w:val="center"/>
                </w:tcPr>
                <w:p>
                  <w:pPr>
                    <w:pStyle w:val="17"/>
                    <w:bidi w:val="0"/>
                    <w:rPr>
                      <w:rFonts w:hint="default" w:eastAsia="宋体"/>
                      <w:color w:val="auto"/>
                      <w:lang w:val="en-US" w:eastAsia="zh-CN"/>
                    </w:rPr>
                  </w:pPr>
                  <w:r>
                    <w:rPr>
                      <w:rFonts w:hint="eastAsia"/>
                      <w:color w:val="auto"/>
                      <w:lang w:val="en-US" w:eastAsia="zh-CN"/>
                    </w:rPr>
                    <w:t>736.2</w:t>
                  </w:r>
                </w:p>
              </w:tc>
              <w:tc>
                <w:tcPr>
                  <w:tcW w:w="788" w:type="pct"/>
                  <w:tcBorders>
                    <w:tl2br w:val="nil"/>
                    <w:tr2bl w:val="nil"/>
                  </w:tcBorders>
                  <w:vAlign w:val="center"/>
                </w:tcPr>
                <w:p>
                  <w:pPr>
                    <w:pStyle w:val="17"/>
                    <w:bidi w:val="0"/>
                    <w:rPr>
                      <w:rFonts w:hint="eastAsia"/>
                      <w:color w:val="auto"/>
                      <w:lang w:eastAsia="zh-CN"/>
                    </w:rPr>
                  </w:pPr>
                  <w:r>
                    <w:rPr>
                      <w:color w:val="auto"/>
                    </w:rPr>
                    <w:t>分类收集、暂存在垃圾桶内</w:t>
                  </w:r>
                </w:p>
              </w:tc>
              <w:tc>
                <w:tcPr>
                  <w:tcW w:w="1069" w:type="pct"/>
                  <w:tcBorders>
                    <w:tl2br w:val="nil"/>
                    <w:tr2bl w:val="nil"/>
                  </w:tcBorders>
                  <w:vAlign w:val="center"/>
                </w:tcPr>
                <w:p>
                  <w:pPr>
                    <w:pStyle w:val="17"/>
                    <w:bidi w:val="0"/>
                    <w:rPr>
                      <w:rFonts w:hint="eastAsia"/>
                      <w:color w:val="auto"/>
                      <w:lang w:eastAsia="zh-CN"/>
                    </w:rPr>
                  </w:pPr>
                  <w:r>
                    <w:rPr>
                      <w:color w:val="auto"/>
                    </w:rPr>
                    <w:t>由</w:t>
                  </w:r>
                  <w:r>
                    <w:rPr>
                      <w:rFonts w:hint="eastAsia"/>
                      <w:color w:val="auto"/>
                      <w:lang w:eastAsia="zh-CN"/>
                    </w:rPr>
                    <w:t>景区</w:t>
                  </w:r>
                  <w:r>
                    <w:rPr>
                      <w:color w:val="auto"/>
                    </w:rPr>
                    <w:t>环卫部门统一运至</w:t>
                  </w:r>
                  <w:r>
                    <w:rPr>
                      <w:rFonts w:hint="eastAsia"/>
                      <w:color w:val="auto"/>
                      <w:lang w:eastAsia="zh-CN"/>
                    </w:rPr>
                    <w:t>景区</w:t>
                  </w:r>
                  <w:r>
                    <w:rPr>
                      <w:color w:val="auto"/>
                    </w:rPr>
                    <w:t>垃圾收集站，再集中运送至</w:t>
                  </w:r>
                  <w:r>
                    <w:rPr>
                      <w:rFonts w:hint="eastAsia"/>
                      <w:color w:val="auto"/>
                      <w:lang w:val="en-US" w:eastAsia="zh-CN"/>
                    </w:rPr>
                    <w:t>霍尔果斯经济开发区清水河配套园区垃圾填埋场</w:t>
                  </w:r>
                  <w:r>
                    <w:rPr>
                      <w:color w:val="auto"/>
                    </w:rPr>
                    <w:t>处理</w:t>
                  </w:r>
                </w:p>
              </w:tc>
            </w:tr>
          </w:tbl>
          <w:p>
            <w:pPr>
              <w:bidi w:val="0"/>
              <w:rPr>
                <w:rFonts w:hint="eastAsia" w:ascii="Times New Roman" w:hAnsi="Times New Roman" w:eastAsia="宋体" w:cs="Times New Roman"/>
                <w:color w:val="auto"/>
                <w:lang w:eastAsia="zh-CN"/>
              </w:rPr>
            </w:pPr>
            <w:r>
              <w:rPr>
                <w:rFonts w:hint="eastAsia"/>
                <w:color w:val="auto"/>
                <w:lang w:eastAsia="zh-CN"/>
              </w:rPr>
              <w:t>固体废物经妥</w:t>
            </w:r>
            <w:r>
              <w:rPr>
                <w:rFonts w:hint="eastAsia" w:ascii="Times New Roman" w:hAnsi="Times New Roman" w:eastAsia="宋体" w:cs="Times New Roman"/>
                <w:color w:val="auto"/>
                <w:lang w:eastAsia="zh-CN"/>
              </w:rPr>
              <w:t>善处理后对周围环境影响较小。</w:t>
            </w:r>
          </w:p>
          <w:p>
            <w:pPr>
              <w:bidi w:val="0"/>
              <w:ind w:left="0" w:leftChars="0" w:firstLine="0" w:firstLineChars="0"/>
              <w:rPr>
                <w:rFonts w:hint="eastAsia" w:ascii="Times New Roman" w:hAnsi="Times New Roman" w:eastAsia="宋体" w:cs="Times New Roman"/>
                <w:b/>
                <w:bCs/>
                <w:color w:val="auto"/>
                <w:lang w:eastAsia="zh-CN"/>
              </w:rPr>
            </w:pPr>
            <w:r>
              <w:rPr>
                <w:rFonts w:hint="eastAsia" w:ascii="Times New Roman" w:hAnsi="Times New Roman" w:eastAsia="宋体" w:cs="Times New Roman"/>
                <w:b/>
                <w:bCs/>
                <w:color w:val="auto"/>
                <w:lang w:val="en-US" w:eastAsia="zh-CN"/>
              </w:rPr>
              <w:t xml:space="preserve">8 </w:t>
            </w:r>
            <w:r>
              <w:rPr>
                <w:rFonts w:hint="eastAsia" w:ascii="Times New Roman" w:hAnsi="Times New Roman" w:eastAsia="宋体" w:cs="Times New Roman"/>
                <w:b/>
                <w:bCs/>
                <w:color w:val="auto"/>
                <w:lang w:eastAsia="zh-CN"/>
              </w:rPr>
              <w:t>土壤环境影响分析</w:t>
            </w:r>
          </w:p>
          <w:p>
            <w:pPr>
              <w:bidi w:val="0"/>
              <w:rPr>
                <w:rFonts w:hint="default"/>
                <w:color w:val="auto"/>
                <w:lang w:val="en-US" w:eastAsia="zh-CN"/>
              </w:rPr>
            </w:pPr>
            <w:r>
              <w:rPr>
                <w:rFonts w:hint="eastAsia"/>
                <w:color w:val="auto"/>
                <w:lang w:val="en-US" w:eastAsia="zh-CN"/>
              </w:rPr>
              <w:t>本项目运营期间对土壤环境可能产生影响的部分主要来源于污水处理设施和危废暂存间。</w:t>
            </w:r>
          </w:p>
          <w:p>
            <w:pPr>
              <w:bidi w:val="0"/>
              <w:rPr>
                <w:rFonts w:hint="eastAsia"/>
                <w:color w:val="auto"/>
                <w:lang w:eastAsia="zh-CN"/>
              </w:rPr>
            </w:pPr>
            <w:r>
              <w:rPr>
                <w:rFonts w:hint="eastAsia"/>
                <w:color w:val="auto"/>
                <w:lang w:eastAsia="zh-CN"/>
              </w:rPr>
              <w:t>（1）污水处理设施对土壤的影响分析</w:t>
            </w:r>
          </w:p>
          <w:p>
            <w:pPr>
              <w:bidi w:val="0"/>
              <w:rPr>
                <w:rFonts w:hint="eastAsia"/>
                <w:color w:val="auto"/>
                <w:lang w:eastAsia="zh-CN"/>
              </w:rPr>
            </w:pPr>
            <w:r>
              <w:rPr>
                <w:rFonts w:hint="eastAsia"/>
                <w:color w:val="auto"/>
                <w:lang w:val="en-US" w:eastAsia="zh-CN"/>
              </w:rPr>
              <w:t>本项目</w:t>
            </w:r>
            <w:r>
              <w:rPr>
                <w:rFonts w:hint="eastAsia"/>
                <w:color w:val="auto"/>
                <w:lang w:eastAsia="zh-CN"/>
              </w:rPr>
              <w:t>“地埋式一体化污水处理设施”土壤环境影响类型为“污染影响型”，影响途径主要为运营期项目场地污染物在事故情况下以垂直入渗方式进入土壤环境。本项目主要收集游客及工作人员生活污水，污染物浓度较低，即使在发生渗漏情况下对土壤的影响也较小。</w:t>
            </w:r>
          </w:p>
          <w:p>
            <w:pPr>
              <w:bidi w:val="0"/>
              <w:rPr>
                <w:rFonts w:hint="eastAsia"/>
                <w:color w:val="auto"/>
                <w:lang w:eastAsia="zh-CN"/>
              </w:rPr>
            </w:pPr>
            <w:r>
              <w:rPr>
                <w:rFonts w:hint="eastAsia"/>
                <w:color w:val="auto"/>
                <w:lang w:eastAsia="zh-CN"/>
              </w:rPr>
              <w:t>（2）危废暂存间对土壤的影响分析</w:t>
            </w:r>
          </w:p>
          <w:p>
            <w:pPr>
              <w:bidi w:val="0"/>
              <w:rPr>
                <w:rFonts w:hint="eastAsia"/>
                <w:color w:val="auto"/>
                <w:lang w:eastAsia="zh-CN"/>
              </w:rPr>
            </w:pPr>
            <w:r>
              <w:rPr>
                <w:rFonts w:hint="eastAsia"/>
                <w:color w:val="auto"/>
                <w:lang w:eastAsia="zh-CN"/>
              </w:rPr>
              <w:t>本项目危废暂存间主要存放设备检修过程产生的废机油，废机油泄漏会下渗至土壤，会对土壤产生不利影响。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46" w:type="pct"/>
            <w:noWrap w:val="0"/>
            <w:vAlign w:val="center"/>
          </w:tcPr>
          <w:p>
            <w:pPr>
              <w:pStyle w:val="17"/>
              <w:bidi w:val="0"/>
              <w:rPr>
                <w:rFonts w:hint="default"/>
                <w:color w:val="auto"/>
                <w:sz w:val="24"/>
                <w:szCs w:val="24"/>
              </w:rPr>
            </w:pPr>
            <w:r>
              <w:rPr>
                <w:rFonts w:hint="default"/>
                <w:color w:val="auto"/>
                <w:sz w:val="24"/>
                <w:szCs w:val="24"/>
              </w:rPr>
              <w:t>选址选</w:t>
            </w:r>
          </w:p>
          <w:p>
            <w:pPr>
              <w:pStyle w:val="17"/>
              <w:bidi w:val="0"/>
              <w:rPr>
                <w:rFonts w:hint="default"/>
                <w:color w:val="auto"/>
                <w:sz w:val="24"/>
                <w:szCs w:val="24"/>
              </w:rPr>
            </w:pPr>
            <w:r>
              <w:rPr>
                <w:rFonts w:hint="default"/>
                <w:color w:val="auto"/>
                <w:sz w:val="24"/>
                <w:szCs w:val="24"/>
              </w:rPr>
              <w:t>线环境</w:t>
            </w:r>
          </w:p>
          <w:p>
            <w:pPr>
              <w:pStyle w:val="17"/>
              <w:bidi w:val="0"/>
              <w:rPr>
                <w:rFonts w:hint="default"/>
                <w:color w:val="auto"/>
                <w:sz w:val="24"/>
                <w:szCs w:val="24"/>
              </w:rPr>
            </w:pPr>
            <w:r>
              <w:rPr>
                <w:rFonts w:hint="default"/>
                <w:color w:val="auto"/>
                <w:sz w:val="24"/>
                <w:szCs w:val="24"/>
              </w:rPr>
              <w:t>合理性</w:t>
            </w:r>
          </w:p>
          <w:p>
            <w:pPr>
              <w:pStyle w:val="17"/>
              <w:bidi w:val="0"/>
              <w:rPr>
                <w:rFonts w:hint="default"/>
                <w:color w:val="auto"/>
                <w:sz w:val="24"/>
                <w:szCs w:val="24"/>
              </w:rPr>
            </w:pPr>
            <w:r>
              <w:rPr>
                <w:rFonts w:hint="default"/>
                <w:color w:val="auto"/>
                <w:sz w:val="24"/>
                <w:szCs w:val="24"/>
              </w:rPr>
              <w:t>分析</w:t>
            </w:r>
          </w:p>
        </w:tc>
        <w:tc>
          <w:tcPr>
            <w:tcW w:w="4753" w:type="pct"/>
            <w:noWrap w:val="0"/>
            <w:vAlign w:val="top"/>
          </w:tcPr>
          <w:p>
            <w:pPr>
              <w:bidi w:val="0"/>
              <w:rPr>
                <w:rFonts w:hint="eastAsia" w:ascii="Times New Roman" w:hAnsi="Times New Roman" w:eastAsia="宋体" w:cs="Times New Roman"/>
                <w:color w:val="auto"/>
                <w:sz w:val="24"/>
                <w:lang w:val="en-US" w:eastAsia="zh-CN"/>
              </w:rPr>
            </w:pPr>
            <w:r>
              <w:rPr>
                <w:rFonts w:hint="eastAsia"/>
                <w:color w:val="auto"/>
                <w:lang w:val="en-US" w:eastAsia="zh-CN"/>
              </w:rPr>
              <w:t>本项目各地块及索道上下站、索道线路均不位于生态保护红线范围内，项目占地类型为天然牧草地，占地面积</w:t>
            </w:r>
            <w:r>
              <w:rPr>
                <w:rFonts w:hint="eastAsia" w:cs="Times New Roman"/>
                <w:color w:val="auto"/>
                <w:sz w:val="24"/>
                <w:szCs w:val="24"/>
                <w:highlight w:val="none"/>
                <w:lang w:val="en-US" w:eastAsia="zh-CN"/>
              </w:rPr>
              <w:t>27.53</w:t>
            </w:r>
            <w:r>
              <w:rPr>
                <w:rFonts w:hint="eastAsia" w:ascii="Times New Roman" w:hAnsi="Times New Roman" w:eastAsia="宋体" w:cs="Times New Roman"/>
                <w:color w:val="auto"/>
                <w:sz w:val="24"/>
                <w:szCs w:val="24"/>
                <w:highlight w:val="none"/>
                <w:lang w:val="en-US" w:eastAsia="zh-CN"/>
              </w:rPr>
              <w:t>h</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2</w:t>
            </w:r>
            <w:r>
              <w:rPr>
                <w:rFonts w:hint="eastAsia"/>
                <w:color w:val="auto"/>
                <w:lang w:val="en-US" w:eastAsia="zh-CN"/>
              </w:rPr>
              <w:t>，均为永久占地，施工区均安排在用地红线范围内，施工期无红线外占地。本项目区临近连霍高速，各地块之间</w:t>
            </w:r>
            <w:r>
              <w:rPr>
                <w:rFonts w:hint="default"/>
                <w:color w:val="auto"/>
                <w:lang w:val="en-US" w:eastAsia="zh-CN"/>
              </w:rPr>
              <w:t>施工材料运输</w:t>
            </w:r>
            <w:r>
              <w:rPr>
                <w:rFonts w:hint="eastAsia"/>
                <w:color w:val="auto"/>
                <w:lang w:val="en-US" w:eastAsia="zh-CN"/>
              </w:rPr>
              <w:t>依托老312国道以及现有</w:t>
            </w:r>
            <w:r>
              <w:rPr>
                <w:rFonts w:hint="default"/>
                <w:color w:val="auto"/>
                <w:lang w:val="en-US" w:eastAsia="zh-CN"/>
              </w:rPr>
              <w:t>牧道</w:t>
            </w:r>
            <w:r>
              <w:rPr>
                <w:rFonts w:hint="eastAsia"/>
                <w:color w:val="auto"/>
                <w:lang w:val="en-US" w:eastAsia="zh-CN"/>
              </w:rPr>
              <w:t>，施工</w:t>
            </w:r>
            <w:r>
              <w:rPr>
                <w:rFonts w:hint="default"/>
                <w:color w:val="auto"/>
                <w:lang w:val="en-US" w:eastAsia="zh-CN"/>
              </w:rPr>
              <w:t>不新建施工道路，</w:t>
            </w:r>
            <w:r>
              <w:rPr>
                <w:rFonts w:hint="eastAsia"/>
                <w:color w:val="auto"/>
                <w:lang w:val="en-US" w:eastAsia="zh-CN"/>
              </w:rPr>
              <w:t>满足</w:t>
            </w:r>
            <w:r>
              <w:rPr>
                <w:rFonts w:hint="default"/>
                <w:color w:val="auto"/>
                <w:lang w:val="en-US" w:eastAsia="zh-CN"/>
              </w:rPr>
              <w:t>施工运输</w:t>
            </w:r>
            <w:r>
              <w:rPr>
                <w:rFonts w:hint="eastAsia" w:ascii="Times New Roman" w:hAnsi="Times New Roman" w:eastAsia="宋体" w:cs="Times New Roman"/>
                <w:color w:val="auto"/>
                <w:lang w:val="en-US" w:eastAsia="zh-CN"/>
              </w:rPr>
              <w:t>要求。</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w:t>
            </w:r>
            <w:r>
              <w:rPr>
                <w:rFonts w:hint="eastAsia"/>
                <w:color w:val="auto"/>
                <w:lang w:val="en-US" w:eastAsia="zh-CN"/>
              </w:rPr>
              <w:t>游服设施、商业构筑物、</w:t>
            </w:r>
            <w:r>
              <w:rPr>
                <w:rFonts w:hint="default"/>
                <w:color w:val="auto"/>
                <w:lang w:val="en-US" w:eastAsia="zh-CN"/>
              </w:rPr>
              <w:t>索道线路、</w:t>
            </w:r>
            <w:r>
              <w:rPr>
                <w:rFonts w:hint="eastAsia"/>
                <w:color w:val="auto"/>
                <w:lang w:val="en-US" w:eastAsia="zh-CN"/>
              </w:rPr>
              <w:t>缆车、索道</w:t>
            </w:r>
            <w:r>
              <w:rPr>
                <w:rFonts w:hint="default"/>
                <w:color w:val="auto"/>
                <w:lang w:val="en-US" w:eastAsia="zh-CN"/>
              </w:rPr>
              <w:t>上下站房及支架与周围环境的协调，建筑外观按照当地民族风格及景区统一规划进行外观包装，对景观的视觉污染影响降到最低</w:t>
            </w:r>
            <w:r>
              <w:rPr>
                <w:rFonts w:hint="eastAsia"/>
                <w:color w:val="auto"/>
                <w:lang w:val="en-US" w:eastAsia="zh-CN"/>
              </w:rPr>
              <w:t>。施工期和运营期均采取有效的污染防治措施，可最大程度降低项目建设及运营对自然景观的不利影响。</w:t>
            </w:r>
          </w:p>
          <w:p>
            <w:pPr>
              <w:bidi w:val="0"/>
              <w:rPr>
                <w:rFonts w:hint="eastAsia"/>
                <w:color w:val="auto"/>
                <w:lang w:val="en-US" w:eastAsia="zh-CN"/>
              </w:rPr>
            </w:pPr>
            <w:r>
              <w:rPr>
                <w:rFonts w:hint="eastAsia" w:ascii="Times New Roman" w:hAnsi="Times New Roman" w:eastAsia="宋体" w:cs="Times New Roman"/>
                <w:color w:val="auto"/>
                <w:lang w:val="en-US" w:eastAsia="zh-CN"/>
              </w:rPr>
              <w:t>本项目的建设对果赛景区自然景观破碎度和</w:t>
            </w:r>
            <w:r>
              <w:rPr>
                <w:rFonts w:hint="eastAsia" w:cs="Times New Roman"/>
                <w:color w:val="auto"/>
                <w:lang w:val="en-US" w:eastAsia="zh-CN"/>
              </w:rPr>
              <w:t>生态环境</w:t>
            </w:r>
            <w:r>
              <w:rPr>
                <w:rFonts w:hint="eastAsia" w:ascii="Times New Roman" w:hAnsi="Times New Roman" w:eastAsia="宋体" w:cs="Times New Roman"/>
                <w:color w:val="auto"/>
                <w:lang w:val="en-US" w:eastAsia="zh-CN"/>
              </w:rPr>
              <w:t>影响较小，索道线路能够提高</w:t>
            </w:r>
            <w:r>
              <w:rPr>
                <w:rFonts w:hint="eastAsia"/>
                <w:color w:val="auto"/>
                <w:lang w:val="en-US" w:eastAsia="zh-CN"/>
              </w:rPr>
              <w:t>景区的接待能力和提高景区的硬件水平，连接相邻的旅游功能区，提高游客的旅游质量。</w:t>
            </w:r>
          </w:p>
          <w:p>
            <w:pPr>
              <w:bidi w:val="0"/>
              <w:rPr>
                <w:rFonts w:hint="default"/>
                <w:color w:val="auto"/>
                <w:lang w:val="en-US" w:eastAsia="zh-CN"/>
              </w:rPr>
            </w:pPr>
            <w:r>
              <w:rPr>
                <w:rFonts w:hint="default"/>
                <w:color w:val="auto"/>
                <w:lang w:val="en-US" w:eastAsia="zh-CN"/>
              </w:rPr>
              <w:t>综上所述，本报告认为在线路总体设计的技术条件、对周围景观的影响上、自身视线影响、风景名胜资源保护与展示、交通条件、施工条件、环境影响等方面</w:t>
            </w:r>
            <w:r>
              <w:rPr>
                <w:rFonts w:hint="eastAsia"/>
                <w:color w:val="auto"/>
                <w:lang w:val="en-US" w:eastAsia="zh-CN"/>
              </w:rPr>
              <w:t>设计较为均衡</w:t>
            </w:r>
            <w:r>
              <w:rPr>
                <w:rFonts w:hint="default"/>
                <w:color w:val="auto"/>
                <w:lang w:val="en-US" w:eastAsia="zh-CN"/>
              </w:rPr>
              <w:t>，没有明显缺点，</w:t>
            </w:r>
            <w:r>
              <w:rPr>
                <w:rFonts w:hint="eastAsia"/>
                <w:color w:val="auto"/>
                <w:lang w:val="en-US" w:eastAsia="zh-CN"/>
              </w:rPr>
              <w:t>本项目选址选线合理</w:t>
            </w:r>
            <w:r>
              <w:rPr>
                <w:rFonts w:hint="default"/>
                <w:color w:val="auto"/>
                <w:lang w:val="en-US" w:eastAsia="zh-CN"/>
              </w:rPr>
              <w:t>。</w:t>
            </w: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ind w:left="0" w:leftChars="0" w:firstLine="0" w:firstLineChars="0"/>
              <w:rPr>
                <w:rFonts w:hint="default"/>
                <w:color w:val="auto"/>
                <w:lang w:val="en-US" w:eastAsia="zh-CN"/>
              </w:rPr>
            </w:pPr>
          </w:p>
          <w:p>
            <w:pPr>
              <w:bidi w:val="0"/>
              <w:rPr>
                <w:rFonts w:hint="default"/>
                <w:color w:val="auto"/>
                <w:lang w:val="en-US" w:eastAsia="zh-CN"/>
              </w:rPr>
            </w:pPr>
          </w:p>
          <w:p>
            <w:pPr>
              <w:bidi w:val="0"/>
              <w:ind w:left="0" w:leftChars="0" w:firstLine="0" w:firstLineChars="0"/>
              <w:rPr>
                <w:rFonts w:hint="default"/>
                <w:color w:val="auto"/>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251" w:beforeLines="80" w:line="400" w:lineRule="exact"/>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br w:type="page"/>
      </w:r>
      <w:bookmarkStart w:id="10" w:name="_Toc9447"/>
      <w:r>
        <w:rPr>
          <w:rFonts w:hint="default" w:ascii="Times New Roman" w:hAnsi="Times New Roman" w:eastAsia="黑体" w:cs="Times New Roman"/>
          <w:snapToGrid w:val="0"/>
          <w:color w:val="auto"/>
          <w:sz w:val="30"/>
          <w:szCs w:val="30"/>
        </w:rPr>
        <w:t>五、主要生态环境保护措施</w:t>
      </w:r>
      <w:bookmarkEnd w:id="10"/>
    </w:p>
    <w:tbl>
      <w:tblPr>
        <w:tblStyle w:val="12"/>
        <w:tblW w:w="92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8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dxa"/>
            <w:noWrap w:val="0"/>
            <w:tcMar>
              <w:left w:w="28" w:type="dxa"/>
              <w:right w:w="28" w:type="dxa"/>
            </w:tcMar>
            <w:vAlign w:val="center"/>
          </w:tcPr>
          <w:p>
            <w:pPr>
              <w:pStyle w:val="17"/>
              <w:bidi w:val="0"/>
              <w:rPr>
                <w:rFonts w:hint="default"/>
                <w:color w:val="auto"/>
                <w:sz w:val="24"/>
                <w:szCs w:val="24"/>
              </w:rPr>
            </w:pPr>
            <w:r>
              <w:rPr>
                <w:rFonts w:hint="default"/>
                <w:color w:val="auto"/>
                <w:sz w:val="24"/>
                <w:szCs w:val="24"/>
              </w:rPr>
              <w:t>施工期生态环境保护措施</w:t>
            </w:r>
          </w:p>
        </w:tc>
        <w:tc>
          <w:tcPr>
            <w:tcW w:w="8825" w:type="dxa"/>
            <w:noWrap w:val="0"/>
            <w:vAlign w:val="top"/>
          </w:tcPr>
          <w:p>
            <w:pPr>
              <w:bidi w:val="0"/>
              <w:rPr>
                <w:rFonts w:hint="default"/>
                <w:color w:val="auto"/>
                <w:lang w:val="en-US" w:eastAsia="zh-CN"/>
              </w:rPr>
            </w:pPr>
            <w:r>
              <w:rPr>
                <w:rFonts w:hint="default"/>
                <w:color w:val="auto"/>
                <w:lang w:val="en-US" w:eastAsia="zh-CN"/>
              </w:rPr>
              <w:t>本项目产生的生态影响主要表现在工程建设中对当地生态环境的干扰影响。依据《环境影响评价技术导则生态影响》（HJ19-20</w:t>
            </w:r>
            <w:r>
              <w:rPr>
                <w:rFonts w:hint="eastAsia"/>
                <w:color w:val="auto"/>
                <w:lang w:val="en-US" w:eastAsia="zh-CN"/>
              </w:rPr>
              <w:t>22</w:t>
            </w:r>
            <w:r>
              <w:rPr>
                <w:rFonts w:hint="default"/>
                <w:color w:val="auto"/>
                <w:lang w:val="en-US" w:eastAsia="zh-CN"/>
              </w:rPr>
              <w:t>）的规定，生态影响的防护与恢复原则是：</w:t>
            </w:r>
          </w:p>
          <w:p>
            <w:pPr>
              <w:bidi w:val="0"/>
              <w:rPr>
                <w:rFonts w:hint="default"/>
                <w:color w:val="auto"/>
                <w:lang w:val="en-US" w:eastAsia="zh-CN"/>
              </w:rPr>
            </w:pPr>
            <w:r>
              <w:rPr>
                <w:rFonts w:hint="default"/>
                <w:color w:val="auto"/>
                <w:lang w:val="en-US" w:eastAsia="zh-CN"/>
              </w:rPr>
              <w:t>（1）应按照避让、减缓、补偿和重建的次序提出生态影响防护与恢复的措施；所采取措施的效果应有利修复和增强区域生态功能；</w:t>
            </w:r>
          </w:p>
          <w:p>
            <w:pPr>
              <w:bidi w:val="0"/>
              <w:rPr>
                <w:rFonts w:hint="default"/>
                <w:color w:val="auto"/>
                <w:lang w:val="en-US" w:eastAsia="zh-CN"/>
              </w:rPr>
            </w:pPr>
            <w:r>
              <w:rPr>
                <w:rFonts w:hint="default"/>
                <w:color w:val="auto"/>
                <w:lang w:val="en-US" w:eastAsia="zh-CN"/>
              </w:rPr>
              <w:t>（2）凡涉及不可替代、极具价值、极敏感、被破坏后很难恢复的敏感生态保护目标时，必须提出可靠的避让措施或生境替代方案；</w:t>
            </w:r>
          </w:p>
          <w:p>
            <w:pPr>
              <w:bidi w:val="0"/>
              <w:rPr>
                <w:rFonts w:hint="default"/>
                <w:color w:val="auto"/>
                <w:lang w:val="en-US" w:eastAsia="zh-CN"/>
              </w:rPr>
            </w:pPr>
            <w:r>
              <w:rPr>
                <w:rFonts w:hint="default"/>
                <w:color w:val="auto"/>
                <w:lang w:val="en-US" w:eastAsia="zh-CN"/>
              </w:rPr>
              <w:t>（3）涉及采取措施后可恢复或修复的生态目标时，也应尽可能提出避让措施；否则，应制定恢复、修复和补偿措施。</w:t>
            </w:r>
          </w:p>
          <w:p>
            <w:pPr>
              <w:bidi w:val="0"/>
              <w:rPr>
                <w:rFonts w:hint="default"/>
                <w:color w:val="auto"/>
                <w:lang w:val="en-US" w:eastAsia="zh-CN"/>
              </w:rPr>
            </w:pPr>
            <w:r>
              <w:rPr>
                <w:rFonts w:hint="default"/>
                <w:color w:val="auto"/>
                <w:lang w:val="en-US" w:eastAsia="zh-CN"/>
              </w:rPr>
              <w:t>根据上述原则制定相应的保护措施：</w:t>
            </w:r>
          </w:p>
          <w:p>
            <w:pPr>
              <w:bidi w:val="0"/>
              <w:rPr>
                <w:rFonts w:hint="default" w:ascii="Times New Roman" w:hAnsi="Times New Roman" w:eastAsia="宋体" w:cs="Times New Roman"/>
                <w:color w:val="auto"/>
                <w:lang w:val="en-US" w:eastAsia="zh-CN"/>
              </w:rPr>
            </w:pPr>
            <w:r>
              <w:rPr>
                <w:rFonts w:hint="default"/>
                <w:color w:val="auto"/>
                <w:lang w:val="en-US" w:eastAsia="zh-CN"/>
              </w:rPr>
              <w:t>（1）工程建</w:t>
            </w:r>
            <w:r>
              <w:rPr>
                <w:rFonts w:hint="default" w:ascii="Times New Roman" w:hAnsi="Times New Roman" w:eastAsia="宋体" w:cs="Times New Roman"/>
                <w:color w:val="auto"/>
                <w:lang w:val="en-US" w:eastAsia="zh-CN"/>
              </w:rPr>
              <w:t>设中占用的绿地在工程完工后，应以相应的绿化面积予以补偿；</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（2）落实施工过程中的各项水土保持措施；</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（3）针对</w:t>
            </w:r>
            <w:r>
              <w:rPr>
                <w:rFonts w:hint="eastAsia" w:ascii="Times New Roman" w:hAnsi="Times New Roman" w:eastAsia="宋体" w:cs="Times New Roman"/>
                <w:color w:val="auto"/>
                <w:lang w:val="en-US" w:eastAsia="zh-CN"/>
              </w:rPr>
              <w:t>果子沟-赛里木湖景区</w:t>
            </w:r>
            <w:r>
              <w:rPr>
                <w:rFonts w:hint="default" w:ascii="Times New Roman" w:hAnsi="Times New Roman" w:eastAsia="宋体" w:cs="Times New Roman"/>
                <w:color w:val="auto"/>
                <w:lang w:val="en-US" w:eastAsia="zh-CN"/>
              </w:rPr>
              <w:t>的实际情况制定与景区相适应的绿化计划</w:t>
            </w:r>
          </w:p>
          <w:p>
            <w:pPr>
              <w:bidi w:val="0"/>
              <w:rPr>
                <w:rFonts w:hint="default" w:ascii="Times New Roman" w:hAnsi="Times New Roman" w:eastAsia="宋体" w:cs="Times New Roman"/>
                <w:color w:val="auto"/>
                <w:lang w:val="en-US" w:eastAsia="zh-CN"/>
              </w:rPr>
            </w:pPr>
            <w:r>
              <w:rPr>
                <w:rFonts w:hint="eastAsia"/>
                <w:color w:val="auto"/>
                <w:lang w:val="en-US" w:eastAsia="zh-CN"/>
              </w:rPr>
              <w:t>（4）</w:t>
            </w:r>
            <w:r>
              <w:rPr>
                <w:rFonts w:hint="default"/>
                <w:color w:val="auto"/>
                <w:lang w:val="en-US" w:eastAsia="zh-CN"/>
              </w:rPr>
              <w:t>环境管理措施工程的施工承包合同中应包括有</w:t>
            </w:r>
            <w:r>
              <w:rPr>
                <w:rFonts w:hint="eastAsia"/>
                <w:color w:val="auto"/>
                <w:lang w:val="en-US" w:eastAsia="zh-CN"/>
              </w:rPr>
              <w:t>果子沟-赛里木湖景区</w:t>
            </w:r>
            <w:r>
              <w:rPr>
                <w:rFonts w:hint="default"/>
                <w:color w:val="auto"/>
                <w:lang w:val="en-US" w:eastAsia="zh-CN"/>
              </w:rPr>
              <w:t>管理的条款，承包商应严格执行涉及和环境影响评价、生态影响评价中提出的影响防治措施。</w:t>
            </w:r>
            <w:r>
              <w:rPr>
                <w:rFonts w:hint="eastAsia"/>
                <w:color w:val="auto"/>
                <w:lang w:val="en-US" w:eastAsia="zh-CN"/>
              </w:rPr>
              <w:t>景</w:t>
            </w:r>
            <w:r>
              <w:rPr>
                <w:rFonts w:hint="default"/>
                <w:color w:val="auto"/>
                <w:lang w:val="en-US" w:eastAsia="zh-CN"/>
              </w:rPr>
              <w:t>区管理机构与项目建设方组建的管理小组、环境监理人员应对施工活动进行全过程环境监督，以保证施工期各项保护措施的全面落实</w:t>
            </w:r>
            <w:r>
              <w:rPr>
                <w:rFonts w:hint="default" w:ascii="Times New Roman" w:hAnsi="Times New Roman" w:eastAsia="宋体" w:cs="Times New Roman"/>
                <w:color w:val="auto"/>
                <w:lang w:val="en-US" w:eastAsia="zh-CN"/>
              </w:rPr>
              <w:t>。</w:t>
            </w:r>
          </w:p>
          <w:p>
            <w:pPr>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 xml:space="preserve">1 </w:t>
            </w:r>
            <w:r>
              <w:rPr>
                <w:rFonts w:hint="default" w:ascii="Times New Roman" w:hAnsi="Times New Roman" w:eastAsia="宋体" w:cs="Times New Roman"/>
                <w:b/>
                <w:bCs/>
                <w:color w:val="auto"/>
                <w:lang w:val="en-US" w:eastAsia="zh-CN"/>
              </w:rPr>
              <w:t>施工期生态环境保护措施</w:t>
            </w:r>
          </w:p>
          <w:p>
            <w:pPr>
              <w:bidi w:val="0"/>
              <w:ind w:left="0" w:leftChars="0" w:firstLine="0" w:firstLineChars="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1.1生态影响的避让与减缓措施</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生态影响的避免与消减措施就是采取适当的措施，尽可能在最大程度上避免或减少不利的生态影响。根据项目特点，建议采取以下生态影响的避免措施：</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eastAsia" w:cs="Times New Roman"/>
                <w:color w:val="auto"/>
                <w:lang w:val="en-US" w:eastAsia="zh-CN"/>
              </w:rPr>
              <w:t>项目开</w:t>
            </w:r>
            <w:r>
              <w:rPr>
                <w:rFonts w:hint="eastAsia"/>
                <w:lang w:val="en-US" w:eastAsia="zh-CN"/>
              </w:rPr>
              <w:t>工前必须取得土地占用、林地和草地补偿手续。</w:t>
            </w:r>
          </w:p>
          <w:p>
            <w:pPr>
              <w:bidi w:val="0"/>
              <w:rPr>
                <w:rFonts w:hint="default"/>
                <w:color w:val="auto"/>
                <w:lang w:val="en-US" w:eastAsia="zh-CN"/>
              </w:rPr>
            </w:pPr>
            <w:r>
              <w:rPr>
                <w:rFonts w:hint="eastAsia" w:cs="Times New Roman"/>
                <w:color w:val="auto"/>
                <w:lang w:val="en-US" w:eastAsia="zh-CN"/>
              </w:rPr>
              <w:t>（2）</w:t>
            </w:r>
            <w:r>
              <w:rPr>
                <w:rFonts w:hint="default" w:ascii="Times New Roman" w:hAnsi="Times New Roman" w:eastAsia="宋体" w:cs="Times New Roman"/>
                <w:color w:val="auto"/>
                <w:lang w:val="en-US" w:eastAsia="zh-CN"/>
              </w:rPr>
              <w:t>提高施工人员的保护意识，严禁随意占用植被和捕猎野生动物。施工人员必须遵守《中华人民共和国野</w:t>
            </w:r>
            <w:r>
              <w:rPr>
                <w:rFonts w:hint="default"/>
                <w:color w:val="auto"/>
                <w:lang w:val="en-US" w:eastAsia="zh-CN"/>
              </w:rPr>
              <w:t>生动物保护法》和《中华人民共和国野生植物保护法》。</w:t>
            </w:r>
          </w:p>
          <w:p>
            <w:pPr>
              <w:bidi w:val="0"/>
              <w:rPr>
                <w:rFonts w:hint="default"/>
                <w:color w:val="auto"/>
                <w:lang w:val="en-US" w:eastAsia="zh-CN"/>
              </w:rPr>
            </w:pPr>
            <w:r>
              <w:rPr>
                <w:rFonts w:hint="default"/>
                <w:color w:val="auto"/>
                <w:lang w:val="en-US" w:eastAsia="zh-CN"/>
              </w:rPr>
              <w:t>（</w:t>
            </w:r>
            <w:r>
              <w:rPr>
                <w:rFonts w:hint="eastAsia"/>
                <w:color w:val="auto"/>
                <w:lang w:val="en-US" w:eastAsia="zh-CN"/>
              </w:rPr>
              <w:t>3</w:t>
            </w:r>
            <w:r>
              <w:rPr>
                <w:rFonts w:hint="default"/>
                <w:color w:val="auto"/>
                <w:lang w:val="en-US" w:eastAsia="zh-CN"/>
              </w:rPr>
              <w:t>）优化工程施工方案，</w:t>
            </w:r>
            <w:r>
              <w:rPr>
                <w:rFonts w:hint="eastAsia"/>
                <w:color w:val="auto"/>
                <w:lang w:val="en-US" w:eastAsia="zh-CN"/>
              </w:rPr>
              <w:t>各地块</w:t>
            </w:r>
            <w:r>
              <w:rPr>
                <w:rFonts w:hint="default"/>
                <w:color w:val="auto"/>
                <w:lang w:val="en-US" w:eastAsia="zh-CN"/>
              </w:rPr>
              <w:t>施工</w:t>
            </w:r>
            <w:r>
              <w:rPr>
                <w:rFonts w:hint="eastAsia"/>
                <w:color w:val="auto"/>
                <w:lang w:val="en-US" w:eastAsia="zh-CN"/>
              </w:rPr>
              <w:t>区</w:t>
            </w:r>
            <w:r>
              <w:rPr>
                <w:rFonts w:hint="default"/>
                <w:color w:val="auto"/>
                <w:lang w:val="en-US" w:eastAsia="zh-CN"/>
              </w:rPr>
              <w:t>、建筑材料及设备堆放场</w:t>
            </w:r>
            <w:r>
              <w:rPr>
                <w:rFonts w:hint="eastAsia"/>
                <w:color w:val="auto"/>
                <w:lang w:val="en-US" w:eastAsia="zh-CN"/>
              </w:rPr>
              <w:t>应安排在各地块用地红线内，不可占用红线外占地</w:t>
            </w:r>
            <w:r>
              <w:rPr>
                <w:rFonts w:hint="default"/>
                <w:color w:val="auto"/>
                <w:lang w:val="en-US" w:eastAsia="zh-CN"/>
              </w:rPr>
              <w:t>。</w:t>
            </w:r>
          </w:p>
          <w:p>
            <w:pPr>
              <w:bidi w:val="0"/>
              <w:rPr>
                <w:rFonts w:hint="default"/>
                <w:color w:val="auto"/>
                <w:lang w:val="en-US" w:eastAsia="zh-CN"/>
              </w:rPr>
            </w:pPr>
            <w:r>
              <w:rPr>
                <w:rFonts w:hint="default"/>
                <w:color w:val="auto"/>
                <w:lang w:val="en-US" w:eastAsia="zh-CN"/>
              </w:rPr>
              <w:t>（</w:t>
            </w:r>
            <w:r>
              <w:rPr>
                <w:rFonts w:hint="eastAsia"/>
                <w:color w:val="auto"/>
                <w:lang w:val="en-US" w:eastAsia="zh-CN"/>
              </w:rPr>
              <w:t>4</w:t>
            </w:r>
            <w:r>
              <w:rPr>
                <w:rFonts w:hint="default"/>
                <w:color w:val="auto"/>
                <w:lang w:val="en-US" w:eastAsia="zh-CN"/>
              </w:rPr>
              <w:t>）</w:t>
            </w:r>
            <w:r>
              <w:rPr>
                <w:rFonts w:hint="eastAsia"/>
                <w:color w:val="auto"/>
                <w:lang w:val="en-US" w:eastAsia="zh-CN"/>
              </w:rPr>
              <w:t>索道</w:t>
            </w:r>
            <w:r>
              <w:rPr>
                <w:rFonts w:hint="default"/>
                <w:color w:val="auto"/>
                <w:lang w:val="en-US" w:eastAsia="zh-CN"/>
              </w:rPr>
              <w:t>支架附近植被覆盖率较高，应禁止施工人员就地取材或进入森林中猎狩动物，每个</w:t>
            </w:r>
            <w:r>
              <w:rPr>
                <w:rFonts w:hint="eastAsia"/>
                <w:color w:val="auto"/>
                <w:lang w:val="en-US" w:eastAsia="zh-CN"/>
              </w:rPr>
              <w:t>索道</w:t>
            </w:r>
            <w:r>
              <w:rPr>
                <w:rFonts w:hint="default"/>
                <w:color w:val="auto"/>
                <w:lang w:val="en-US" w:eastAsia="zh-CN"/>
              </w:rPr>
              <w:t>支架塔基应设置施工红线，施工人员只能在红线内进行活动，以减少对周围环境的干扰。</w:t>
            </w:r>
          </w:p>
          <w:p>
            <w:pPr>
              <w:bidi w:val="0"/>
              <w:rPr>
                <w:rFonts w:hint="default"/>
                <w:color w:val="auto"/>
                <w:lang w:val="en-US" w:eastAsia="zh-CN"/>
              </w:rPr>
            </w:pPr>
            <w:r>
              <w:rPr>
                <w:rFonts w:hint="default"/>
                <w:color w:val="auto"/>
                <w:lang w:val="en-US" w:eastAsia="zh-CN"/>
              </w:rPr>
              <w:t>（</w:t>
            </w:r>
            <w:r>
              <w:rPr>
                <w:rFonts w:hint="eastAsia"/>
                <w:color w:val="auto"/>
                <w:lang w:val="en-US" w:eastAsia="zh-CN"/>
              </w:rPr>
              <w:t>5</w:t>
            </w:r>
            <w:r>
              <w:rPr>
                <w:rFonts w:hint="default"/>
                <w:color w:val="auto"/>
                <w:lang w:val="en-US" w:eastAsia="zh-CN"/>
              </w:rPr>
              <w:t>）合理选取工程施工时段和方式，防止施工噪声对野生动物的惊扰。由于项目所在区域植被覆盖率较高，有较多的野生动物栖息，因此应做好施工计划，噪音较大的施工作业应尽量避开早晨和正午的时间，并禁止在夜间施工。工程施工尤其是支架处施工应以人工施工为主，禁止炸药爆破。工程施工应选择在非游览季节。</w:t>
            </w:r>
          </w:p>
          <w:p>
            <w:pPr>
              <w:bidi w:val="0"/>
              <w:rPr>
                <w:rFonts w:hint="default"/>
                <w:color w:val="auto"/>
                <w:lang w:val="en-US" w:eastAsia="zh-CN"/>
              </w:rPr>
            </w:pPr>
            <w:r>
              <w:rPr>
                <w:rFonts w:hint="default"/>
                <w:color w:val="auto"/>
                <w:lang w:val="en-US" w:eastAsia="zh-CN"/>
              </w:rPr>
              <w:t>（</w:t>
            </w:r>
            <w:r>
              <w:rPr>
                <w:rFonts w:hint="eastAsia"/>
                <w:color w:val="auto"/>
                <w:lang w:val="en-US" w:eastAsia="zh-CN"/>
              </w:rPr>
              <w:t>6</w:t>
            </w:r>
            <w:r>
              <w:rPr>
                <w:rFonts w:hint="default"/>
                <w:color w:val="auto"/>
                <w:lang w:val="en-US" w:eastAsia="zh-CN"/>
              </w:rPr>
              <w:t>）从保护生态与环境的角度出发，要求施工期间施工现场生活污水排入生态厕所，严禁生活污水的直接排放，减少对地下水的污染；施工弃渣严禁随意丢弃；做好工程完工后生态的恢复工作，选择本地乡土树种进行绿化，以尽量减少植被破坏、水土流失等对动物生境的不利影响。</w:t>
            </w:r>
          </w:p>
          <w:p>
            <w:pPr>
              <w:bidi w:val="0"/>
              <w:rPr>
                <w:rFonts w:hint="default"/>
                <w:color w:val="auto"/>
                <w:lang w:val="en-US" w:eastAsia="zh-CN"/>
              </w:rPr>
            </w:pPr>
            <w:r>
              <w:rPr>
                <w:rFonts w:hint="default"/>
                <w:color w:val="auto"/>
                <w:lang w:val="en-US" w:eastAsia="zh-CN"/>
              </w:rPr>
              <w:t>（</w:t>
            </w:r>
            <w:r>
              <w:rPr>
                <w:rFonts w:hint="eastAsia"/>
                <w:color w:val="auto"/>
                <w:lang w:val="en-US" w:eastAsia="zh-CN"/>
              </w:rPr>
              <w:t>7</w:t>
            </w:r>
            <w:r>
              <w:rPr>
                <w:rFonts w:hint="default"/>
                <w:color w:val="auto"/>
                <w:lang w:val="en-US" w:eastAsia="zh-CN"/>
              </w:rPr>
              <w:t>）减少新增占地，减缓对区域生态环境的破坏并减少后期生态恢复的工作量；控制施工便道宽度，一旦确定施工便道线路不得随意更改，加强施工人员的宣传培训教育，合理规避对沿线植被的破坏；施工便道应在施工结束后马上清理整治，恢复植被。同时做好施工期间的水土保持，减少水土流失。</w:t>
            </w:r>
          </w:p>
          <w:p>
            <w:pPr>
              <w:bidi w:val="0"/>
              <w:rPr>
                <w:rFonts w:hint="default"/>
                <w:color w:val="auto"/>
                <w:lang w:val="en-US" w:eastAsia="zh-CN"/>
              </w:rPr>
            </w:pPr>
            <w:r>
              <w:rPr>
                <w:rFonts w:hint="default"/>
                <w:color w:val="auto"/>
                <w:lang w:val="en-US" w:eastAsia="zh-CN"/>
              </w:rPr>
              <w:t>（</w:t>
            </w:r>
            <w:r>
              <w:rPr>
                <w:rFonts w:hint="eastAsia"/>
                <w:color w:val="auto"/>
                <w:lang w:val="en-US" w:eastAsia="zh-CN"/>
              </w:rPr>
              <w:t>8</w:t>
            </w:r>
            <w:r>
              <w:rPr>
                <w:rFonts w:hint="default"/>
                <w:color w:val="auto"/>
                <w:lang w:val="en-US" w:eastAsia="zh-CN"/>
              </w:rPr>
              <w:t>）</w:t>
            </w:r>
            <w:r>
              <w:rPr>
                <w:rFonts w:hint="eastAsia"/>
                <w:color w:val="auto"/>
                <w:lang w:val="en-US" w:eastAsia="zh-CN"/>
              </w:rPr>
              <w:t>施工前对场地表层土壤进行剥离保存，</w:t>
            </w:r>
            <w:r>
              <w:rPr>
                <w:rFonts w:hint="default"/>
                <w:color w:val="auto"/>
                <w:lang w:val="en-US" w:eastAsia="zh-CN"/>
              </w:rPr>
              <w:t>施工完成后，及时对施工场地进行</w:t>
            </w:r>
            <w:r>
              <w:rPr>
                <w:rFonts w:hint="eastAsia"/>
                <w:color w:val="auto"/>
                <w:lang w:val="en-US" w:eastAsia="zh-CN"/>
              </w:rPr>
              <w:t>表土回覆</w:t>
            </w:r>
            <w:r>
              <w:rPr>
                <w:rFonts w:hint="default"/>
                <w:color w:val="auto"/>
                <w:lang w:val="en-US" w:eastAsia="zh-CN"/>
              </w:rPr>
              <w:t>，对</w:t>
            </w:r>
            <w:r>
              <w:rPr>
                <w:rFonts w:hint="eastAsia"/>
                <w:color w:val="auto"/>
                <w:lang w:val="en-US" w:eastAsia="zh-CN"/>
              </w:rPr>
              <w:t>施工场地</w:t>
            </w:r>
            <w:r>
              <w:rPr>
                <w:rFonts w:hint="default"/>
                <w:color w:val="auto"/>
                <w:lang w:val="en-US" w:eastAsia="zh-CN"/>
              </w:rPr>
              <w:t>周边的空地进行</w:t>
            </w:r>
            <w:r>
              <w:rPr>
                <w:rFonts w:hint="eastAsia"/>
                <w:color w:val="auto"/>
                <w:lang w:val="en-US" w:eastAsia="zh-CN"/>
              </w:rPr>
              <w:t>植被恢复</w:t>
            </w:r>
            <w:r>
              <w:rPr>
                <w:rFonts w:hint="default"/>
                <w:color w:val="auto"/>
                <w:lang w:val="en-US" w:eastAsia="zh-CN"/>
              </w:rPr>
              <w:t>，以减少人工化的痕迹，使其与周围自然景观更加融合。</w:t>
            </w:r>
          </w:p>
          <w:p>
            <w:pPr>
              <w:bidi w:val="0"/>
              <w:rPr>
                <w:rFonts w:hint="default"/>
                <w:color w:val="auto"/>
                <w:lang w:val="en-US" w:eastAsia="zh-CN"/>
              </w:rPr>
            </w:pPr>
            <w:r>
              <w:rPr>
                <w:rFonts w:hint="default"/>
                <w:color w:val="auto"/>
                <w:lang w:val="en-US" w:eastAsia="zh-CN"/>
              </w:rPr>
              <w:t>（</w:t>
            </w:r>
            <w:r>
              <w:rPr>
                <w:rFonts w:hint="eastAsia"/>
                <w:color w:val="auto"/>
                <w:lang w:val="en-US" w:eastAsia="zh-CN"/>
              </w:rPr>
              <w:t>9</w:t>
            </w:r>
            <w:r>
              <w:rPr>
                <w:rFonts w:hint="default"/>
                <w:color w:val="auto"/>
                <w:lang w:val="en-US" w:eastAsia="zh-CN"/>
              </w:rPr>
              <w:t>）防止外来入侵种的扩散。目前防止外来物种入侵的方法主要有植物检疫、人工方法防治、化学方法防治、生物防治等。结合工程特点，建议采取以下措施防止外来物种的入侵：加大宣传力度，对外来物种的危害以及传播途径向施工人员进行宣传。</w:t>
            </w:r>
          </w:p>
          <w:p>
            <w:pPr>
              <w:bidi w:val="0"/>
              <w:rPr>
                <w:rFonts w:hint="default"/>
                <w:color w:val="auto"/>
                <w:lang w:val="en-US" w:eastAsia="zh-CN"/>
              </w:rPr>
            </w:pPr>
            <w:r>
              <w:rPr>
                <w:rFonts w:hint="default"/>
                <w:color w:val="auto"/>
                <w:lang w:val="en-US" w:eastAsia="zh-CN"/>
              </w:rPr>
              <w:t>（</w:t>
            </w:r>
            <w:r>
              <w:rPr>
                <w:rFonts w:hint="eastAsia"/>
                <w:color w:val="auto"/>
                <w:lang w:val="en-US" w:eastAsia="zh-CN"/>
              </w:rPr>
              <w:t>10</w:t>
            </w:r>
            <w:r>
              <w:rPr>
                <w:rFonts w:hint="default"/>
                <w:color w:val="auto"/>
                <w:lang w:val="en-US" w:eastAsia="zh-CN"/>
              </w:rPr>
              <w:t>）森林防火与防火带的构建。在施工期间应加强防火宣传教育，建立施工区森林防火、火警警报管理制度，作好施工人员生产、生活用火的火源管理，严禁一切野外用火，杜绝火灾的发生。在施工期严格管理可能引起林火的施工作业，对施工人员加强管理，森林防火期内，禁止在林区野外用火。防火的时间一般是春季，这段时间天气干旱，风高物燥，各种野外用火源增多，极易引发森林火灾。</w:t>
            </w:r>
          </w:p>
          <w:p>
            <w:pPr>
              <w:bidi w:val="0"/>
              <w:rPr>
                <w:rFonts w:hint="default"/>
                <w:color w:val="auto"/>
                <w:lang w:val="en-US" w:eastAsia="zh-CN"/>
              </w:rPr>
            </w:pPr>
            <w:r>
              <w:rPr>
                <w:rFonts w:hint="default"/>
                <w:color w:val="auto"/>
                <w:lang w:val="en-US" w:eastAsia="zh-CN"/>
              </w:rPr>
              <w:t>（1</w:t>
            </w:r>
            <w:r>
              <w:rPr>
                <w:rFonts w:hint="eastAsia"/>
                <w:color w:val="auto"/>
                <w:lang w:val="en-US" w:eastAsia="zh-CN"/>
              </w:rPr>
              <w:t>1</w:t>
            </w:r>
            <w:r>
              <w:rPr>
                <w:rFonts w:hint="default"/>
                <w:color w:val="auto"/>
                <w:lang w:val="en-US" w:eastAsia="zh-CN"/>
              </w:rPr>
              <w:t>）项目营运期应进一步加强文明旅游的宣传教育，防止游客的不当行为如擅自闯入森林中、折树枝、乱扔垃圾、猎狩等对森林生态系统造成不利影响。</w:t>
            </w:r>
          </w:p>
          <w:p>
            <w:pPr>
              <w:bidi w:val="0"/>
              <w:rPr>
                <w:rFonts w:hint="default"/>
                <w:color w:val="auto"/>
                <w:lang w:val="en-US" w:eastAsia="zh-CN"/>
              </w:rPr>
            </w:pPr>
            <w:r>
              <w:rPr>
                <w:rFonts w:hint="default"/>
                <w:color w:val="auto"/>
                <w:lang w:val="en-US" w:eastAsia="zh-CN"/>
              </w:rPr>
              <w:t>（1</w:t>
            </w:r>
            <w:r>
              <w:rPr>
                <w:rFonts w:hint="eastAsia"/>
                <w:color w:val="auto"/>
                <w:lang w:val="en-US" w:eastAsia="zh-CN"/>
              </w:rPr>
              <w:t>2</w:t>
            </w:r>
            <w:r>
              <w:rPr>
                <w:rFonts w:hint="default"/>
                <w:color w:val="auto"/>
                <w:lang w:val="en-US" w:eastAsia="zh-CN"/>
              </w:rPr>
              <w:t>）控制游客人数，使其不超过本</w:t>
            </w:r>
            <w:r>
              <w:rPr>
                <w:rFonts w:hint="eastAsia"/>
                <w:color w:val="auto"/>
                <w:lang w:val="en-US" w:eastAsia="zh-CN"/>
              </w:rPr>
              <w:t>项目</w:t>
            </w:r>
            <w:r>
              <w:rPr>
                <w:rFonts w:hint="default"/>
                <w:color w:val="auto"/>
                <w:lang w:val="en-US" w:eastAsia="zh-CN"/>
              </w:rPr>
              <w:t>规划的日环境容量。</w:t>
            </w:r>
          </w:p>
          <w:p>
            <w:pPr>
              <w:bidi w:val="0"/>
              <w:rPr>
                <w:rFonts w:hint="default"/>
                <w:color w:val="auto"/>
                <w:lang w:val="en-US" w:eastAsia="zh-CN"/>
              </w:rPr>
            </w:pPr>
            <w:r>
              <w:rPr>
                <w:rFonts w:hint="default"/>
                <w:color w:val="auto"/>
                <w:lang w:val="en-US" w:eastAsia="zh-CN"/>
              </w:rPr>
              <w:t>（1</w:t>
            </w:r>
            <w:r>
              <w:rPr>
                <w:rFonts w:hint="eastAsia"/>
                <w:color w:val="auto"/>
                <w:lang w:val="en-US" w:eastAsia="zh-CN"/>
              </w:rPr>
              <w:t>3</w:t>
            </w:r>
            <w:r>
              <w:rPr>
                <w:rFonts w:hint="default"/>
                <w:color w:val="auto"/>
                <w:lang w:val="en-US" w:eastAsia="zh-CN"/>
              </w:rPr>
              <w:t>）加强景区管理，根据需要增加配备专门的保洁员，对极少数游客随手扔掉的垃圾及时进行收集，避免污染景区环境。</w:t>
            </w:r>
          </w:p>
          <w:p>
            <w:pPr>
              <w:bidi w:val="0"/>
              <w:rPr>
                <w:rFonts w:hint="default" w:ascii="Times New Roman" w:hAnsi="Times New Roman" w:eastAsia="宋体" w:cs="Times New Roman"/>
                <w:color w:val="auto"/>
                <w:lang w:val="en-US" w:eastAsia="zh-CN"/>
              </w:rPr>
            </w:pPr>
            <w:r>
              <w:rPr>
                <w:rFonts w:hint="default"/>
                <w:color w:val="auto"/>
                <w:lang w:val="en-US" w:eastAsia="zh-CN"/>
              </w:rPr>
              <w:t>（1</w:t>
            </w:r>
            <w:r>
              <w:rPr>
                <w:rFonts w:hint="eastAsia"/>
                <w:color w:val="auto"/>
                <w:lang w:val="en-US" w:eastAsia="zh-CN"/>
              </w:rPr>
              <w:t>4</w:t>
            </w:r>
            <w:r>
              <w:rPr>
                <w:rFonts w:hint="default"/>
                <w:color w:val="auto"/>
                <w:lang w:val="en-US" w:eastAsia="zh-CN"/>
              </w:rPr>
              <w:t>）为了更好地保护动物，维护项目所在地的动</w:t>
            </w:r>
            <w:r>
              <w:rPr>
                <w:rFonts w:hint="default" w:ascii="Times New Roman" w:hAnsi="Times New Roman" w:eastAsia="宋体" w:cs="Times New Roman"/>
                <w:color w:val="auto"/>
                <w:lang w:val="en-US" w:eastAsia="zh-CN"/>
              </w:rPr>
              <w:t>物多样性，宜对游客的活动范围进行适当地限制和引导。</w:t>
            </w:r>
          </w:p>
          <w:p>
            <w:pPr>
              <w:bidi w:val="0"/>
              <w:ind w:left="0" w:leftChars="0" w:firstLine="0" w:firstLineChars="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1.2生态影响的恢复与补偿措施</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为减免工程施工对评价区造成的不利影响，工程设计中应尽量减少施工影响面积，以便把施工对生物多样性的破坏将至最低。在施工过程中，相关行政主管部门应监督施工工程中生物多样性保护措施是否落实到位，施工完成后，应立即恢复施工区永久和临时占地被破坏的植被。</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①永久占地恢复</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在所有永久建筑（</w:t>
            </w:r>
            <w:r>
              <w:rPr>
                <w:rFonts w:hint="eastAsia"/>
                <w:color w:val="auto"/>
                <w:lang w:val="en-US" w:eastAsia="zh-CN"/>
              </w:rPr>
              <w:t>游服设施、商业构筑物、</w:t>
            </w:r>
            <w:r>
              <w:rPr>
                <w:rFonts w:hint="default"/>
                <w:color w:val="auto"/>
                <w:lang w:val="en-US" w:eastAsia="zh-CN"/>
              </w:rPr>
              <w:t>索道线路、</w:t>
            </w:r>
            <w:r>
              <w:rPr>
                <w:rFonts w:hint="eastAsia"/>
                <w:color w:val="auto"/>
                <w:lang w:val="en-US" w:eastAsia="zh-CN"/>
              </w:rPr>
              <w:t>索道</w:t>
            </w:r>
            <w:r>
              <w:rPr>
                <w:rFonts w:hint="default"/>
                <w:color w:val="auto"/>
                <w:lang w:val="en-US" w:eastAsia="zh-CN"/>
              </w:rPr>
              <w:t>上下站房及支架</w:t>
            </w:r>
            <w:r>
              <w:rPr>
                <w:rFonts w:hint="default" w:ascii="Times New Roman" w:hAnsi="Times New Roman" w:eastAsia="宋体" w:cs="Times New Roman"/>
                <w:color w:val="auto"/>
                <w:lang w:val="en-US" w:eastAsia="zh-CN"/>
              </w:rPr>
              <w:t>）完成后，应立即进行裸露区的恢复，包括开挖的坡面，房前屋后等区域，恢复时将根据各地段的实际情况，并综合考虑评价区本身的建设，因地适宜的对各项施工迹地进行绿化恢复，尽量减少工程区内的施工痕迹。</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施工迹地的绿化恢复过程中将主要采用当地草种，最好利用原自然植被的建群种进行恢复，具体可采用人工栽植幼苗的方式，遵循夹杂混合种植、密度适宜的原则。</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②临时占地恢复措施</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临时占地设施在建设过程中应充分考虑综合利用的要求，工程竣工后，施工临时设施将全面拆除，对施工临时建筑物和废弃物及时清理，整治恢复施工开挖裸露面。植物恢复采取就地取材，选用当地植物物种。项目用于破坏的生态恢复的款项专款专用，并实时跟踪恢复情况；确保生态影响降到最低。</w:t>
            </w:r>
          </w:p>
          <w:p>
            <w:pPr>
              <w:bidi w:val="0"/>
              <w:rPr>
                <w:rFonts w:hint="default"/>
                <w:color w:val="auto"/>
                <w:lang w:val="en-US" w:eastAsia="zh-CN"/>
              </w:rPr>
            </w:pPr>
            <w:r>
              <w:rPr>
                <w:rFonts w:hint="default" w:ascii="Times New Roman" w:hAnsi="Times New Roman" w:eastAsia="宋体" w:cs="Times New Roman"/>
                <w:color w:val="auto"/>
                <w:lang w:val="en-US" w:eastAsia="zh-CN"/>
              </w:rPr>
              <w:t>③永久建筑物及其周围</w:t>
            </w:r>
            <w:r>
              <w:rPr>
                <w:rFonts w:hint="default"/>
                <w:color w:val="auto"/>
                <w:lang w:val="en-US" w:eastAsia="zh-CN"/>
              </w:rPr>
              <w:t>的绿化、美化措施</w:t>
            </w:r>
          </w:p>
          <w:p>
            <w:pPr>
              <w:bidi w:val="0"/>
              <w:rPr>
                <w:rFonts w:hint="default"/>
                <w:color w:val="auto"/>
                <w:lang w:val="en-US" w:eastAsia="zh-CN"/>
              </w:rPr>
            </w:pPr>
            <w:r>
              <w:rPr>
                <w:rFonts w:hint="default"/>
                <w:color w:val="auto"/>
                <w:lang w:val="en-US" w:eastAsia="zh-CN"/>
              </w:rPr>
              <w:t>为使项目各个建筑物设计与评价区的整体自然景观和环境相协调。在</w:t>
            </w:r>
            <w:r>
              <w:rPr>
                <w:rFonts w:hint="eastAsia"/>
                <w:color w:val="auto"/>
                <w:lang w:val="en-US" w:eastAsia="zh-CN"/>
              </w:rPr>
              <w:t>游服设施、商业构筑物、</w:t>
            </w:r>
            <w:r>
              <w:rPr>
                <w:rFonts w:hint="default"/>
                <w:color w:val="auto"/>
                <w:lang w:val="en-US" w:eastAsia="zh-CN"/>
              </w:rPr>
              <w:t>索道线路、</w:t>
            </w:r>
            <w:r>
              <w:rPr>
                <w:rFonts w:hint="eastAsia"/>
                <w:color w:val="auto"/>
                <w:lang w:val="en-US" w:eastAsia="zh-CN"/>
              </w:rPr>
              <w:t>索道</w:t>
            </w:r>
            <w:r>
              <w:rPr>
                <w:rFonts w:hint="default"/>
                <w:color w:val="auto"/>
                <w:lang w:val="en-US" w:eastAsia="zh-CN"/>
              </w:rPr>
              <w:t>上下站房及支架等永久建筑物的设计上，其风格要尽量使其与当地环境协调。</w:t>
            </w:r>
          </w:p>
          <w:p>
            <w:pPr>
              <w:bidi w:val="0"/>
              <w:rPr>
                <w:rFonts w:hint="default"/>
                <w:color w:val="auto"/>
                <w:lang w:val="en-US" w:eastAsia="zh-CN"/>
              </w:rPr>
            </w:pPr>
            <w:r>
              <w:rPr>
                <w:rFonts w:hint="default"/>
                <w:color w:val="auto"/>
                <w:lang w:val="en-US" w:eastAsia="zh-CN"/>
              </w:rPr>
              <w:t>④植物物种的选择对各工程点受到破坏的植被，在施工结束后应尽量利用当地的原生植物资源及时进行恢复。为了防止外来物种入侵，建议的恢复物种</w:t>
            </w:r>
            <w:r>
              <w:rPr>
                <w:rFonts w:hint="eastAsia"/>
                <w:color w:val="auto"/>
                <w:lang w:val="en-US" w:eastAsia="zh-CN"/>
              </w:rPr>
              <w:t>采用原地貌</w:t>
            </w:r>
            <w:r>
              <w:rPr>
                <w:rFonts w:hint="default"/>
                <w:color w:val="auto"/>
                <w:lang w:val="en-US" w:eastAsia="zh-CN"/>
              </w:rPr>
              <w:t>灌木及草本物种。在于周围生境一致的前提下，灌木、草本植物尽量搭配使用，可以起到较好的恢复效果。</w:t>
            </w:r>
          </w:p>
          <w:p>
            <w:pPr>
              <w:bidi w:val="0"/>
              <w:rPr>
                <w:rFonts w:hint="default" w:ascii="Times New Roman" w:hAnsi="Times New Roman" w:eastAsia="宋体" w:cs="Times New Roman"/>
                <w:color w:val="auto"/>
                <w:lang w:val="en-US" w:eastAsia="zh-CN"/>
              </w:rPr>
            </w:pPr>
            <w:r>
              <w:rPr>
                <w:rFonts w:hint="eastAsia"/>
                <w:color w:val="auto"/>
                <w:lang w:val="en-US" w:eastAsia="zh-CN"/>
              </w:rPr>
              <w:fldChar w:fldCharType="begin"/>
            </w:r>
            <w:r>
              <w:rPr>
                <w:rFonts w:hint="eastAsia"/>
                <w:color w:val="auto"/>
                <w:lang w:val="en-US" w:eastAsia="zh-CN"/>
              </w:rPr>
              <w:instrText xml:space="preserve"> = 5 \* GB3 \* MERGEFORMAT </w:instrText>
            </w:r>
            <w:r>
              <w:rPr>
                <w:rFonts w:hint="eastAsia"/>
                <w:color w:val="auto"/>
                <w:lang w:val="en-US" w:eastAsia="zh-CN"/>
              </w:rPr>
              <w:fldChar w:fldCharType="separate"/>
            </w:r>
            <w:r>
              <w:rPr>
                <w:color w:val="auto"/>
              </w:rPr>
              <w:t>⑤</w:t>
            </w:r>
            <w:r>
              <w:rPr>
                <w:rFonts w:hint="eastAsia"/>
                <w:color w:val="auto"/>
                <w:lang w:val="en-US" w:eastAsia="zh-CN"/>
              </w:rPr>
              <w:fldChar w:fldCharType="end"/>
            </w:r>
            <w:r>
              <w:rPr>
                <w:rFonts w:hint="default"/>
                <w:color w:val="auto"/>
                <w:lang w:val="en-US" w:eastAsia="zh-CN"/>
              </w:rPr>
              <w:t>植被恢复措施方案</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植被恢复地点：</w:t>
            </w:r>
            <w:r>
              <w:rPr>
                <w:rFonts w:hint="eastAsia" w:ascii="Times New Roman" w:hAnsi="Times New Roman" w:eastAsia="宋体" w:cs="Times New Roman"/>
                <w:color w:val="auto"/>
                <w:lang w:val="en-US" w:eastAsia="zh-CN"/>
              </w:rPr>
              <w:t>索道</w:t>
            </w:r>
            <w:r>
              <w:rPr>
                <w:rFonts w:hint="default" w:ascii="Times New Roman" w:hAnsi="Times New Roman" w:eastAsia="宋体" w:cs="Times New Roman"/>
                <w:color w:val="auto"/>
                <w:lang w:val="en-US" w:eastAsia="zh-CN"/>
              </w:rPr>
              <w:t>支架基础周边及便道</w:t>
            </w:r>
            <w:r>
              <w:rPr>
                <w:rFonts w:hint="eastAsia" w:ascii="Times New Roman" w:hAnsi="Times New Roman" w:eastAsia="宋体" w:cs="Times New Roman"/>
                <w:color w:val="auto"/>
                <w:lang w:val="en-US" w:eastAsia="zh-CN"/>
              </w:rPr>
              <w:t>、各地块红线范围内施工临时扰动区域及游服设施、商业构筑物周边裸露区域</w:t>
            </w:r>
            <w:r>
              <w:rPr>
                <w:rFonts w:hint="default" w:ascii="Times New Roman" w:hAnsi="Times New Roman" w:eastAsia="宋体" w:cs="Times New Roman"/>
                <w:color w:val="auto"/>
                <w:lang w:val="en-US" w:eastAsia="zh-CN"/>
              </w:rPr>
              <w:t>。</w:t>
            </w:r>
          </w:p>
          <w:p>
            <w:pPr>
              <w:bidi w:val="0"/>
              <w:rPr>
                <w:rFonts w:hint="default"/>
                <w:color w:val="auto"/>
                <w:lang w:val="en-US" w:eastAsia="zh-CN"/>
              </w:rPr>
            </w:pPr>
            <w:r>
              <w:rPr>
                <w:rFonts w:hint="default"/>
                <w:color w:val="auto"/>
                <w:lang w:val="en-US" w:eastAsia="zh-CN"/>
              </w:rPr>
              <w:t>恢复植被面积：具体面积按照林管局及草原部门下达的植被恢复造林任务进行植被恢复。</w:t>
            </w:r>
          </w:p>
          <w:p>
            <w:pPr>
              <w:bidi w:val="0"/>
              <w:rPr>
                <w:rFonts w:hint="default" w:ascii="Times New Roman" w:hAnsi="Times New Roman" w:eastAsia="宋体" w:cs="Times New Roman"/>
                <w:color w:val="auto"/>
                <w:lang w:val="en-US" w:eastAsia="zh-CN"/>
              </w:rPr>
            </w:pPr>
            <w:r>
              <w:rPr>
                <w:rFonts w:hint="default"/>
                <w:color w:val="auto"/>
                <w:lang w:val="en-US" w:eastAsia="zh-CN"/>
              </w:rPr>
              <w:t>③</w:t>
            </w:r>
            <w:r>
              <w:rPr>
                <w:rFonts w:hint="eastAsia"/>
                <w:color w:val="auto"/>
                <w:lang w:val="en-US" w:eastAsia="zh-CN"/>
              </w:rPr>
              <w:t>撒播草籽</w:t>
            </w:r>
            <w:r>
              <w:rPr>
                <w:rFonts w:hint="default"/>
                <w:color w:val="auto"/>
                <w:lang w:val="en-US" w:eastAsia="zh-CN"/>
              </w:rPr>
              <w:t>：</w:t>
            </w:r>
            <w:r>
              <w:rPr>
                <w:rFonts w:hint="eastAsia"/>
                <w:color w:val="auto"/>
                <w:lang w:val="en-US" w:eastAsia="zh-CN"/>
              </w:rPr>
              <w:t>采用原地貌草场草本（羊茅、草原苔草、草原老鹳草、细叶早熟禾）种类进行植被恢复，不得采用其他草种</w:t>
            </w:r>
            <w:r>
              <w:rPr>
                <w:rFonts w:hint="default" w:ascii="Times New Roman" w:hAnsi="Times New Roman" w:eastAsia="宋体" w:cs="Times New Roman"/>
                <w:color w:val="auto"/>
                <w:lang w:val="en-US" w:eastAsia="zh-CN"/>
              </w:rPr>
              <w:t>。</w:t>
            </w:r>
          </w:p>
          <w:p>
            <w:pPr>
              <w:bidi w:val="0"/>
              <w:ind w:left="0" w:leftChars="0" w:firstLine="0" w:firstLineChars="0"/>
              <w:rPr>
                <w:rFonts w:hint="default" w:ascii="Times New Roman" w:hAnsi="Times New Roman" w:eastAsia="宋体" w:cs="Times New Roman"/>
                <w:b/>
                <w:bCs/>
                <w:color w:val="auto"/>
                <w:lang w:val="en-US" w:eastAsia="zh-CN"/>
              </w:rPr>
            </w:pPr>
            <w:r>
              <w:rPr>
                <w:rFonts w:hint="eastAsia"/>
                <w:b/>
                <w:bCs/>
                <w:color w:val="auto"/>
                <w:lang w:val="en-US" w:eastAsia="zh-CN"/>
              </w:rPr>
              <w:t>1.3</w:t>
            </w:r>
            <w:r>
              <w:rPr>
                <w:rFonts w:hint="default"/>
                <w:b/>
                <w:bCs/>
                <w:color w:val="auto"/>
                <w:lang w:val="en-US" w:eastAsia="zh-CN"/>
              </w:rPr>
              <w:t>水土保持防治措</w:t>
            </w:r>
            <w:r>
              <w:rPr>
                <w:rFonts w:hint="default" w:ascii="Times New Roman" w:hAnsi="Times New Roman" w:eastAsia="宋体" w:cs="Times New Roman"/>
                <w:b/>
                <w:bCs/>
                <w:color w:val="auto"/>
                <w:lang w:val="en-US" w:eastAsia="zh-CN"/>
              </w:rPr>
              <w:t>施</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施工期应</w:t>
            </w:r>
            <w:r>
              <w:rPr>
                <w:rFonts w:hint="default" w:ascii="Times New Roman" w:hAnsi="Times New Roman" w:eastAsia="宋体" w:cs="Times New Roman"/>
                <w:color w:val="auto"/>
                <w:lang w:val="en-US" w:eastAsia="zh-CN"/>
              </w:rPr>
              <w:t>采取水土保持措施使水土流失程度减低到最小。使建设工程施工过程中新增水土流失得到有效控制。同时使原有水土流失得到基本治理，减少项目区因水土流失造成的危害。</w:t>
            </w:r>
          </w:p>
          <w:p>
            <w:pPr>
              <w:bidi w:val="0"/>
              <w:rPr>
                <w:rFonts w:hint="default"/>
                <w:color w:val="auto"/>
                <w:lang w:val="en-US" w:eastAsia="zh-CN"/>
              </w:rPr>
            </w:pPr>
            <w:r>
              <w:rPr>
                <w:rFonts w:hint="default" w:ascii="Times New Roman" w:hAnsi="Times New Roman" w:eastAsia="宋体" w:cs="Times New Roman"/>
                <w:color w:val="auto"/>
                <w:lang w:val="en-US" w:eastAsia="zh-CN"/>
              </w:rPr>
              <w:t>（2）要使区域的景</w:t>
            </w:r>
            <w:r>
              <w:rPr>
                <w:rFonts w:hint="default"/>
                <w:color w:val="auto"/>
                <w:lang w:val="en-US" w:eastAsia="zh-CN"/>
              </w:rPr>
              <w:t>观得到美化，对周边地区的环境和安全不造成负面影响，尤其避免主体工程在施工过程中和工程完工后对区域地下水水质的长期不利影响。</w:t>
            </w:r>
          </w:p>
          <w:p>
            <w:pPr>
              <w:bidi w:val="0"/>
              <w:rPr>
                <w:rFonts w:hint="default"/>
                <w:color w:val="auto"/>
                <w:lang w:val="en-US" w:eastAsia="zh-CN"/>
              </w:rPr>
            </w:pPr>
            <w:r>
              <w:rPr>
                <w:rFonts w:hint="default"/>
                <w:color w:val="auto"/>
                <w:lang w:val="en-US" w:eastAsia="zh-CN"/>
              </w:rPr>
              <w:t>（3）改善区域景观和周围的生态环境，减轻项目建设过程中因水土流失造成对项目周边的环境带来的影响，从而实现工程环境、经济的协调发展。本工程在施工设计上应做到以下几点：首先，在施工方案的设计上要充分注重</w:t>
            </w:r>
            <w:r>
              <w:rPr>
                <w:rFonts w:hint="eastAsia"/>
                <w:color w:val="auto"/>
                <w:lang w:val="en-US" w:eastAsia="zh-CN"/>
              </w:rPr>
              <w:t>土壤</w:t>
            </w:r>
            <w:r>
              <w:rPr>
                <w:rFonts w:hint="default"/>
                <w:color w:val="auto"/>
                <w:lang w:val="en-US" w:eastAsia="zh-CN"/>
              </w:rPr>
              <w:t>的维护、防止水土流失。第二，力图在最少的地形整治前提下，达到土方平衡；统筹协调、使社会、生态、经济效益三者得到协调。其次，应合理安排施工工期和施工内容，尽量缩短建设施工期。施工方案上要细化分层取土、分层堆放、分层回填的操作制度。明确土方回填、临时堆土均要工程防护或恢复植被，减轻水土流失影响。具体措施如下：</w:t>
            </w:r>
          </w:p>
          <w:p>
            <w:pPr>
              <w:bidi w:val="0"/>
              <w:rPr>
                <w:rFonts w:hint="default"/>
                <w:color w:val="auto"/>
                <w:lang w:val="en-US" w:eastAsia="zh-CN"/>
              </w:rPr>
            </w:pPr>
            <w:r>
              <w:rPr>
                <w:rFonts w:hint="default"/>
                <w:color w:val="auto"/>
                <w:lang w:val="en-US" w:eastAsia="zh-CN"/>
              </w:rPr>
              <w:t>根据</w:t>
            </w:r>
            <w:r>
              <w:rPr>
                <w:rFonts w:hint="eastAsia"/>
                <w:color w:val="auto"/>
                <w:lang w:val="en-US" w:eastAsia="zh-CN"/>
              </w:rPr>
              <w:t>本项目区</w:t>
            </w:r>
            <w:r>
              <w:rPr>
                <w:rFonts w:hint="default"/>
                <w:color w:val="auto"/>
                <w:lang w:val="en-US" w:eastAsia="zh-CN"/>
              </w:rPr>
              <w:t>水土流失特点、防治责任和防治目标，遵循治理与防护相结合、植物措施与工程措施相结合、治理水土流失和恢复与重建土地生产力、绿化美化环境相结合的原则，统筹布局各防治区的水土保持措施，形成完整的水土流失防治体系，本工程各分区水土流失防治措施体系和总体布局如下：</w:t>
            </w:r>
          </w:p>
          <w:p>
            <w:pPr>
              <w:bidi w:val="0"/>
              <w:rPr>
                <w:rFonts w:hint="default"/>
                <w:color w:val="auto"/>
                <w:lang w:val="en-US" w:eastAsia="zh-CN"/>
              </w:rPr>
            </w:pPr>
            <w:r>
              <w:rPr>
                <w:rFonts w:hint="default"/>
                <w:color w:val="auto"/>
                <w:lang w:val="en-US" w:eastAsia="zh-CN"/>
              </w:rPr>
              <w:t>①施工过程中须做好预防保护及土石方平衡和合理调运利用，优化施工工艺，做好项目区地表腐殖质土剥离工作，及时完成路基排水工程以及边坡防护工程。</w:t>
            </w:r>
          </w:p>
          <w:p>
            <w:pPr>
              <w:bidi w:val="0"/>
              <w:ind w:left="0" w:leftChars="0" w:firstLine="480" w:firstLineChars="200"/>
              <w:rPr>
                <w:rFonts w:hint="default" w:ascii="Times New Roman" w:hAnsi="Times New Roman" w:eastAsia="宋体" w:cs="Times New Roman"/>
                <w:b/>
                <w:bCs/>
                <w:color w:val="auto"/>
                <w:lang w:val="en-US" w:eastAsia="zh-CN"/>
              </w:rPr>
            </w:pPr>
            <w:r>
              <w:rPr>
                <w:rFonts w:hint="default"/>
                <w:color w:val="auto"/>
                <w:lang w:val="en-US" w:eastAsia="zh-CN"/>
              </w:rPr>
              <w:t>②对施工区主要是做好</w:t>
            </w:r>
            <w:r>
              <w:rPr>
                <w:rFonts w:hint="eastAsia"/>
                <w:color w:val="auto"/>
                <w:lang w:val="en-US" w:eastAsia="zh-CN"/>
              </w:rPr>
              <w:t>临时堆土</w:t>
            </w:r>
            <w:r>
              <w:rPr>
                <w:rFonts w:hint="default"/>
                <w:color w:val="auto"/>
                <w:lang w:val="en-US" w:eastAsia="zh-CN"/>
              </w:rPr>
              <w:t>和周边临时排水措施，</w:t>
            </w:r>
            <w:r>
              <w:rPr>
                <w:rFonts w:hint="eastAsia"/>
                <w:color w:val="auto"/>
                <w:lang w:val="en-US" w:eastAsia="zh-CN"/>
              </w:rPr>
              <w:t>一般基础开挖土方和表土分区堆放，一般堆土</w:t>
            </w:r>
            <w:r>
              <w:rPr>
                <w:rFonts w:hint="default"/>
                <w:color w:val="auto"/>
                <w:lang w:val="en-US" w:eastAsia="zh-CN"/>
              </w:rPr>
              <w:t>采取拦挡覆盖等措施，</w:t>
            </w:r>
            <w:r>
              <w:rPr>
                <w:rFonts w:hint="eastAsia"/>
                <w:color w:val="auto"/>
                <w:lang w:val="en-US" w:eastAsia="zh-CN"/>
              </w:rPr>
              <w:t>表土边坡应采用撒播草籽措施以防止堆存期间表土有机质含量下降，</w:t>
            </w:r>
            <w:r>
              <w:rPr>
                <w:rFonts w:hint="default"/>
                <w:color w:val="auto"/>
                <w:lang w:val="en-US" w:eastAsia="zh-CN"/>
              </w:rPr>
              <w:t>施工结束后及时做好表土回填与植被恢复工程。</w:t>
            </w:r>
          </w:p>
          <w:p>
            <w:pPr>
              <w:bidi w:val="0"/>
              <w:ind w:left="0" w:leftChars="0" w:firstLine="0" w:firstLineChars="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w:t>
            </w:r>
            <w:r>
              <w:rPr>
                <w:rFonts w:hint="eastAsia"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lang w:val="en-US" w:eastAsia="zh-CN"/>
              </w:rPr>
              <w:t>生态环境影响的管理措施</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（1）要求在</w:t>
            </w:r>
            <w:r>
              <w:rPr>
                <w:rFonts w:hint="eastAsia" w:ascii="Times New Roman" w:hAnsi="Times New Roman" w:eastAsia="宋体" w:cs="Times New Roman"/>
                <w:color w:val="auto"/>
                <w:lang w:val="en-US" w:eastAsia="zh-CN"/>
              </w:rPr>
              <w:t>项目</w:t>
            </w:r>
            <w:r>
              <w:rPr>
                <w:rFonts w:hint="default" w:ascii="Times New Roman" w:hAnsi="Times New Roman" w:eastAsia="宋体" w:cs="Times New Roman"/>
                <w:color w:val="auto"/>
                <w:lang w:val="en-US" w:eastAsia="zh-CN"/>
              </w:rPr>
              <w:t>区醒目位置设置宣传标牌或标语，宣传野生动植物保护知识，以增强景区工作人员和游客的野生动物保护意识。</w:t>
            </w:r>
          </w:p>
          <w:p>
            <w:pPr>
              <w:bidi w:val="0"/>
              <w:rPr>
                <w:rFonts w:hint="default"/>
                <w:color w:val="auto"/>
                <w:lang w:val="en-US" w:eastAsia="zh-CN"/>
              </w:rPr>
            </w:pPr>
            <w:r>
              <w:rPr>
                <w:rFonts w:hint="default" w:ascii="Times New Roman" w:hAnsi="Times New Roman" w:eastAsia="宋体" w:cs="Times New Roman"/>
                <w:color w:val="auto"/>
                <w:lang w:val="en-US" w:eastAsia="zh-CN"/>
              </w:rPr>
              <w:t>（2）正确处理好多样性保护与安全防</w:t>
            </w:r>
            <w:r>
              <w:rPr>
                <w:rFonts w:hint="default"/>
                <w:color w:val="auto"/>
                <w:lang w:val="en-US" w:eastAsia="zh-CN"/>
              </w:rPr>
              <w:t>疫的关系。蛇和自然疫源性疾病的传播者（部分鼠类）可能危害居民及游客的健康安全。因此，既要维护自然生态系统的食物链关系，又要重视对景区游客和工程施工人员毒蛇咬伤防治工作和防疫工作。</w:t>
            </w:r>
          </w:p>
          <w:p>
            <w:pPr>
              <w:bidi w:val="0"/>
              <w:rPr>
                <w:rFonts w:hint="default" w:ascii="Times New Roman" w:hAnsi="Times New Roman" w:eastAsia="宋体" w:cs="Times New Roman"/>
                <w:color w:val="auto"/>
                <w:lang w:val="en-US" w:eastAsia="zh-CN"/>
              </w:rPr>
            </w:pPr>
            <w:r>
              <w:rPr>
                <w:rFonts w:hint="default"/>
                <w:color w:val="auto"/>
                <w:lang w:val="en-US" w:eastAsia="zh-CN"/>
              </w:rPr>
              <w:t>（3）工程建设施工期、营运期都应进行生态监测。在施工期，主要对永久占地、临时占地等与施工有关的区域进行监测。营运期主要监测生境的变化，植被的变化，野生动物的种群、数量变化以及生态系统整体性变化。通过监测，加强对生态的管理，在工程管理机构，应设置生态环境</w:t>
            </w:r>
            <w:r>
              <w:rPr>
                <w:rFonts w:hint="default" w:ascii="Times New Roman" w:hAnsi="Times New Roman" w:eastAsia="宋体" w:cs="Times New Roman"/>
                <w:color w:val="auto"/>
                <w:lang w:val="en-US" w:eastAsia="zh-CN"/>
              </w:rPr>
              <w:t>管理人员，建立各种管理及报告制度，开展对重点评价区的环境教育，提高施工人员和管理人员环境意识。通过动态监测和完善管理，使生态向良性或有利方向发展。</w:t>
            </w:r>
          </w:p>
          <w:p>
            <w:pPr>
              <w:bidi w:val="0"/>
              <w:ind w:left="0" w:leftChars="0" w:firstLine="0" w:firstLineChars="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w:t>
            </w:r>
            <w:r>
              <w:rPr>
                <w:rFonts w:hint="eastAsia"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lang w:val="en-US" w:eastAsia="zh-CN"/>
              </w:rPr>
              <w:t>对重点保护动植物和古树名木的保护措施</w:t>
            </w:r>
          </w:p>
          <w:p>
            <w:pPr>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（1）重点保护植物和古树名木的保护措施根据实地调查，项目评价区</w:t>
            </w:r>
            <w:r>
              <w:rPr>
                <w:rFonts w:hint="eastAsia" w:ascii="Times New Roman" w:hAnsi="Times New Roman" w:eastAsia="宋体" w:cs="Times New Roman"/>
                <w:color w:val="auto"/>
                <w:lang w:val="en-US" w:eastAsia="zh-CN"/>
              </w:rPr>
              <w:t>内</w:t>
            </w:r>
            <w:r>
              <w:rPr>
                <w:rFonts w:hint="eastAsia" w:cs="Times New Roman"/>
                <w:color w:val="auto"/>
                <w:lang w:val="en-US" w:eastAsia="zh-CN"/>
              </w:rPr>
              <w:t>无</w:t>
            </w:r>
            <w:r>
              <w:rPr>
                <w:rFonts w:hint="eastAsia" w:ascii="Times New Roman" w:hAnsi="Times New Roman" w:eastAsia="宋体" w:cs="Times New Roman"/>
                <w:color w:val="auto"/>
                <w:lang w:val="en-US" w:eastAsia="zh-CN"/>
              </w:rPr>
              <w:t>国家级保护植物，应采取相应的保护措施：</w:t>
            </w:r>
          </w:p>
          <w:p>
            <w:pPr>
              <w:bidi w:val="0"/>
              <w:rPr>
                <w:rFonts w:hint="eastAsia" w:ascii="Times New Roman" w:hAnsi="Times New Roman" w:eastAsia="宋体" w:cs="Times New Roman"/>
                <w:color w:val="auto"/>
                <w:lang w:val="zh-CN" w:eastAsia="zh-CN"/>
              </w:rPr>
            </w:pPr>
            <w:r>
              <w:rPr>
                <w:rFonts w:hint="default"/>
                <w:color w:val="auto"/>
                <w:lang w:val="en-US" w:eastAsia="zh-CN"/>
              </w:rPr>
              <w:t>①</w:t>
            </w:r>
            <w:r>
              <w:rPr>
                <w:rFonts w:hint="eastAsia" w:ascii="Times New Roman" w:hAnsi="Times New Roman" w:eastAsia="宋体" w:cs="Times New Roman"/>
                <w:color w:val="auto"/>
                <w:lang w:val="zh-CN" w:eastAsia="zh-CN"/>
              </w:rPr>
              <w:t>项目区内严禁随意搭灶点火、烧荒。加强对易燃、易爆危险品的管理，并对工作人员和外来人员宣传教育。</w:t>
            </w:r>
          </w:p>
          <w:p>
            <w:pPr>
              <w:bidi w:val="0"/>
              <w:rPr>
                <w:rFonts w:hint="eastAsia" w:ascii="Times New Roman" w:hAnsi="Times New Roman" w:eastAsia="宋体" w:cs="Times New Roman"/>
                <w:color w:val="auto"/>
                <w:lang w:val="zh-CN" w:eastAsia="zh-CN"/>
              </w:rPr>
            </w:pPr>
            <w:r>
              <w:rPr>
                <w:rFonts w:hint="default"/>
                <w:color w:val="auto"/>
                <w:lang w:val="en-US" w:eastAsia="zh-CN"/>
              </w:rPr>
              <w:t>②</w:t>
            </w:r>
            <w:r>
              <w:rPr>
                <w:rFonts w:hint="eastAsia" w:ascii="Times New Roman" w:hAnsi="Times New Roman" w:eastAsia="宋体" w:cs="Times New Roman"/>
                <w:color w:val="auto"/>
                <w:lang w:val="zh-CN" w:eastAsia="zh-CN"/>
              </w:rPr>
              <w:t>禁止施工人员乱丢垃圾和烟头；</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w:t>
            </w:r>
            <w:r>
              <w:rPr>
                <w:rFonts w:hint="eastAsia" w:ascii="Times New Roman" w:hAnsi="Times New Roman" w:eastAsia="宋体" w:cs="Times New Roman"/>
                <w:color w:val="auto"/>
                <w:lang w:val="en-US" w:eastAsia="zh-CN"/>
              </w:rPr>
              <w:t>严格控制施工范围在用地红线内，严禁施工人员及其他人员砍伐树木，索道</w:t>
            </w:r>
            <w:r>
              <w:rPr>
                <w:rFonts w:hint="default" w:ascii="Times New Roman" w:hAnsi="Times New Roman" w:eastAsia="宋体" w:cs="Times New Roman"/>
                <w:color w:val="auto"/>
                <w:lang w:val="en-US" w:eastAsia="zh-CN"/>
              </w:rPr>
              <w:t>支架塔基</w:t>
            </w:r>
            <w:r>
              <w:rPr>
                <w:rFonts w:hint="eastAsia" w:ascii="Times New Roman" w:hAnsi="Times New Roman" w:eastAsia="宋体" w:cs="Times New Roman"/>
                <w:color w:val="auto"/>
                <w:lang w:val="en-US" w:eastAsia="zh-CN"/>
              </w:rPr>
              <w:t>应高于</w:t>
            </w:r>
            <w:r>
              <w:rPr>
                <w:rFonts w:hint="eastAsia" w:cs="Times New Roman"/>
                <w:color w:val="auto"/>
                <w:lang w:val="en-US" w:eastAsia="zh-CN"/>
              </w:rPr>
              <w:t>林</w:t>
            </w:r>
            <w:r>
              <w:rPr>
                <w:rFonts w:hint="eastAsia" w:ascii="Times New Roman" w:hAnsi="Times New Roman" w:eastAsia="宋体" w:cs="Times New Roman"/>
                <w:color w:val="auto"/>
                <w:lang w:val="en-US" w:eastAsia="zh-CN"/>
              </w:rPr>
              <w:t>冠</w:t>
            </w:r>
            <w:r>
              <w:rPr>
                <w:rFonts w:hint="default" w:ascii="Times New Roman" w:hAnsi="Times New Roman" w:eastAsia="宋体" w:cs="Times New Roman"/>
                <w:color w:val="auto"/>
                <w:lang w:val="en-US" w:eastAsia="zh-CN"/>
              </w:rPr>
              <w:t>。</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fldChar w:fldCharType="begin"/>
            </w:r>
            <w:r>
              <w:rPr>
                <w:rFonts w:hint="eastAsia" w:ascii="Times New Roman" w:hAnsi="Times New Roman" w:eastAsia="宋体" w:cs="Times New Roman"/>
                <w:color w:val="auto"/>
                <w:lang w:val="en-US" w:eastAsia="zh-CN"/>
              </w:rPr>
              <w:instrText xml:space="preserve"> = 4 \* GB3 \* MERGEFORMAT </w:instrText>
            </w:r>
            <w:r>
              <w:rPr>
                <w:rFonts w:hint="eastAsia" w:ascii="Times New Roman" w:hAnsi="Times New Roman" w:eastAsia="宋体" w:cs="Times New Roman"/>
                <w:color w:val="auto"/>
                <w:lang w:val="en-US" w:eastAsia="zh-CN"/>
              </w:rPr>
              <w:fldChar w:fldCharType="separate"/>
            </w:r>
            <w:r>
              <w:rPr>
                <w:color w:val="auto"/>
              </w:rPr>
              <w:t>④</w:t>
            </w:r>
            <w:r>
              <w:rPr>
                <w:rFonts w:hint="eastAsia"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施工时如果发现珍稀保护植物时应立即上报相关单位和部门，并采取合理的补救措施，选取类似环境进行迁移，在移植过程中进行整地、消毒，按时灌溉，并在移植后对生物学习性、数量变化、生长情况、生态环境类型进行监测和调查，并做好记录工作，累计监测3年。</w:t>
            </w:r>
          </w:p>
          <w:p>
            <w:pPr>
              <w:numPr>
                <w:ilvl w:val="0"/>
                <w:numId w:val="4"/>
              </w:numPr>
              <w:bidi w:val="0"/>
              <w:ind w:left="0" w:leftChars="0" w:firstLine="480" w:firstLineChars="200"/>
              <w:rPr>
                <w:rFonts w:hint="default"/>
                <w:color w:val="auto"/>
                <w:lang w:val="en-US" w:eastAsia="zh-CN"/>
              </w:rPr>
            </w:pPr>
            <w:r>
              <w:rPr>
                <w:rFonts w:hint="default" w:ascii="Times New Roman" w:hAnsi="Times New Roman" w:eastAsia="宋体" w:cs="Times New Roman"/>
                <w:color w:val="auto"/>
                <w:lang w:val="en-US" w:eastAsia="zh-CN"/>
              </w:rPr>
              <w:t>重点保护动物的保护措</w:t>
            </w:r>
            <w:r>
              <w:rPr>
                <w:rFonts w:hint="default"/>
                <w:color w:val="auto"/>
                <w:lang w:val="en-US" w:eastAsia="zh-CN"/>
              </w:rPr>
              <w:t>施</w:t>
            </w:r>
            <w:r>
              <w:rPr>
                <w:rFonts w:hint="eastAsia"/>
                <w:color w:val="auto"/>
                <w:lang w:val="en-US" w:eastAsia="zh-CN"/>
              </w:rPr>
              <w:t>根据</w:t>
            </w:r>
            <w:r>
              <w:rPr>
                <w:rFonts w:hint="default"/>
                <w:color w:val="auto"/>
                <w:lang w:val="en-US" w:eastAsia="zh-CN"/>
              </w:rPr>
              <w:t>现状调查，评价区</w:t>
            </w:r>
            <w:r>
              <w:rPr>
                <w:rFonts w:hint="eastAsia"/>
                <w:color w:val="auto"/>
                <w:lang w:val="en-US" w:eastAsia="zh-CN"/>
              </w:rPr>
              <w:t>海拔在</w:t>
            </w:r>
            <w:r>
              <w:rPr>
                <w:rFonts w:hint="eastAsia" w:eastAsia="宋体" w:cs="Times New Roman"/>
                <w:szCs w:val="21"/>
              </w:rPr>
              <w:t>1500-</w:t>
            </w:r>
            <w:r>
              <w:rPr>
                <w:rFonts w:hint="eastAsia" w:eastAsia="宋体" w:cs="Times New Roman"/>
                <w:szCs w:val="21"/>
                <w:lang w:val="en-US" w:eastAsia="zh-CN"/>
              </w:rPr>
              <w:t>2000之间，</w:t>
            </w:r>
            <w:r>
              <w:rPr>
                <w:rFonts w:hint="default"/>
                <w:color w:val="auto"/>
                <w:lang w:val="en-US" w:eastAsia="zh-CN"/>
              </w:rPr>
              <w:t>有可能出现国家国家二类保护野生动物</w:t>
            </w:r>
            <w:r>
              <w:rPr>
                <w:rFonts w:hint="eastAsia" w:eastAsia="宋体" w:cs="Times New Roman"/>
                <w:szCs w:val="21"/>
              </w:rPr>
              <w:t>白肩雕、狐狸、獾、狼</w:t>
            </w:r>
            <w:r>
              <w:rPr>
                <w:rFonts w:hint="eastAsia" w:eastAsia="宋体" w:cs="Times New Roman"/>
                <w:szCs w:val="21"/>
                <w:lang w:eastAsia="zh-CN"/>
              </w:rPr>
              <w:t>、</w:t>
            </w:r>
            <w:r>
              <w:rPr>
                <w:rFonts w:hint="eastAsia" w:eastAsia="宋体" w:cs="Times New Roman"/>
                <w:szCs w:val="21"/>
              </w:rPr>
              <w:t>雪兔、</w:t>
            </w:r>
            <w:r>
              <w:rPr>
                <w:rFonts w:hint="default"/>
                <w:color w:val="auto"/>
                <w:lang w:val="en-US" w:eastAsia="zh-CN"/>
              </w:rPr>
              <w:t>兔狲、</w:t>
            </w:r>
            <w:r>
              <w:rPr>
                <w:rFonts w:hint="eastAsia" w:eastAsia="宋体" w:cs="Times New Roman"/>
                <w:szCs w:val="21"/>
              </w:rPr>
              <w:t>雪鸡、</w:t>
            </w:r>
            <w:r>
              <w:rPr>
                <w:rFonts w:hint="default"/>
                <w:color w:val="auto"/>
                <w:lang w:val="en-US" w:eastAsia="zh-CN"/>
              </w:rPr>
              <w:t>红隼、猎隼</w:t>
            </w:r>
            <w:r>
              <w:rPr>
                <w:rFonts w:hint="eastAsia"/>
                <w:color w:val="auto"/>
                <w:lang w:val="en-US" w:eastAsia="zh-CN"/>
              </w:rPr>
              <w:t>等</w:t>
            </w:r>
            <w:r>
              <w:rPr>
                <w:rFonts w:hint="default"/>
                <w:color w:val="auto"/>
                <w:lang w:val="en-US" w:eastAsia="zh-CN"/>
              </w:rPr>
              <w:t>，施工或运营过程中若发现国家重点保护动物，对这些重点保护动物的一般性保护措施有：</w:t>
            </w:r>
          </w:p>
          <w:p>
            <w:pPr>
              <w:bidi w:val="0"/>
              <w:rPr>
                <w:rFonts w:hint="default"/>
                <w:color w:val="auto"/>
                <w:lang w:val="en-US" w:eastAsia="zh-CN"/>
              </w:rPr>
            </w:pPr>
            <w:r>
              <w:rPr>
                <w:rFonts w:hint="default"/>
                <w:color w:val="auto"/>
                <w:lang w:val="en-US" w:eastAsia="zh-CN"/>
              </w:rPr>
              <w:t>①加强有关野生动物及国家、省级重点保护野生动物法律法规宣传，提高施工人员对野生动物的保护意识，严禁施工人员捕猎野生动物；</w:t>
            </w:r>
          </w:p>
          <w:p>
            <w:pPr>
              <w:bidi w:val="0"/>
              <w:rPr>
                <w:rFonts w:hint="default"/>
                <w:color w:val="auto"/>
                <w:lang w:val="en-US" w:eastAsia="zh-CN"/>
              </w:rPr>
            </w:pPr>
            <w:r>
              <w:rPr>
                <w:rFonts w:hint="default"/>
                <w:color w:val="auto"/>
                <w:lang w:val="en-US" w:eastAsia="zh-CN"/>
              </w:rPr>
              <w:t>②调查野生动物的种类、数量及生活习性，保护动物的栖息地，保证其生境不会遭到破坏；同时注意施工期避开野生保护动物的繁殖期。</w:t>
            </w:r>
          </w:p>
          <w:p>
            <w:pPr>
              <w:bidi w:val="0"/>
              <w:rPr>
                <w:rFonts w:hint="default"/>
                <w:color w:val="auto"/>
                <w:lang w:val="en-US" w:eastAsia="zh-CN"/>
              </w:rPr>
            </w:pPr>
            <w:r>
              <w:rPr>
                <w:rFonts w:hint="default"/>
                <w:color w:val="auto"/>
                <w:lang w:val="en-US" w:eastAsia="zh-CN"/>
              </w:rPr>
              <w:t>③加大野生动物栖息地保护，施工过程应合理安排，避开敏感期，特别是动物、鸟类的繁殖期。做好时间、空间上的衔接，减少影响范围与时间。必须将各施工期的时间、施工范围安排协调好，统筹合理安排好施工进度，做到建成一片，完善一片；</w:t>
            </w:r>
          </w:p>
          <w:p>
            <w:pPr>
              <w:bidi w:val="0"/>
              <w:rPr>
                <w:rFonts w:hint="default" w:ascii="Times New Roman" w:hAnsi="Times New Roman" w:eastAsia="宋体" w:cs="Times New Roman"/>
                <w:color w:val="auto"/>
                <w:lang w:val="en-US" w:eastAsia="zh-CN"/>
              </w:rPr>
            </w:pPr>
            <w:r>
              <w:rPr>
                <w:rFonts w:hint="default"/>
                <w:color w:val="auto"/>
                <w:lang w:val="en-US" w:eastAsia="zh-CN"/>
              </w:rPr>
              <w:t>④减少人为干扰、污染与破坏环境，取缔对野生动物产生危害的施工作业方式；合理安排设施的使用，减少高噪声设备的</w:t>
            </w:r>
            <w:r>
              <w:rPr>
                <w:rFonts w:hint="default" w:ascii="Times New Roman" w:hAnsi="Times New Roman" w:eastAsia="宋体" w:cs="Times New Roman"/>
                <w:color w:val="auto"/>
                <w:lang w:val="en-US" w:eastAsia="zh-CN"/>
              </w:rPr>
              <w:t>使用时间；</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⑤加强环保宣传教育，提高</w:t>
            </w:r>
            <w:r>
              <w:rPr>
                <w:rFonts w:hint="eastAsia" w:ascii="Times New Roman" w:hAnsi="Times New Roman" w:eastAsia="宋体" w:cs="Times New Roman"/>
                <w:color w:val="auto"/>
                <w:lang w:val="en-US" w:eastAsia="zh-CN"/>
              </w:rPr>
              <w:t>施工人员</w:t>
            </w:r>
            <w:r>
              <w:rPr>
                <w:rFonts w:hint="default" w:ascii="Times New Roman" w:hAnsi="Times New Roman" w:eastAsia="宋体" w:cs="Times New Roman"/>
                <w:color w:val="auto"/>
                <w:lang w:val="en-US" w:eastAsia="zh-CN"/>
              </w:rPr>
              <w:t>素质和野生动物保护意识，为评价区的长期稳定发展奠定坚实的社会基础。加强法律法规建设，完善执法队伍，以法律的严肃性去维护自然生态保护事业。采取有效保护措施，保护野生动植物及其栖息环境，严厉打击捕捉、贩卖、经营、走私野生动物活动，切实发挥法律法规的保护作用。</w:t>
            </w:r>
          </w:p>
          <w:p>
            <w:pPr>
              <w:bidi w:val="0"/>
              <w:ind w:left="0" w:lef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1.5</w:t>
            </w:r>
            <w:r>
              <w:rPr>
                <w:rFonts w:hint="eastAsia" w:ascii="Times New Roman" w:hAnsi="Times New Roman" w:eastAsia="宋体" w:cs="Times New Roman"/>
                <w:b/>
                <w:bCs/>
                <w:color w:val="auto"/>
                <w:lang w:val="en-US" w:eastAsia="zh-CN"/>
              </w:rPr>
              <w:t>对果子沟-赛里木湖景区</w:t>
            </w:r>
            <w:r>
              <w:rPr>
                <w:rFonts w:hint="default" w:ascii="Times New Roman" w:hAnsi="Times New Roman" w:eastAsia="宋体" w:cs="Times New Roman"/>
                <w:b/>
                <w:bCs/>
                <w:color w:val="auto"/>
                <w:lang w:val="en-US" w:eastAsia="zh-CN"/>
              </w:rPr>
              <w:t>的保护措施</w:t>
            </w:r>
          </w:p>
          <w:p>
            <w:pPr>
              <w:bidi w:val="0"/>
              <w:rPr>
                <w:rFonts w:hint="default"/>
                <w:color w:val="auto"/>
                <w:lang w:val="en-US" w:eastAsia="zh-CN"/>
              </w:rPr>
            </w:pPr>
            <w:r>
              <w:rPr>
                <w:rFonts w:hint="default"/>
                <w:color w:val="auto"/>
                <w:lang w:val="en-US" w:eastAsia="zh-CN"/>
              </w:rPr>
              <w:t>根据</w:t>
            </w:r>
            <w:r>
              <w:rPr>
                <w:rFonts w:hint="eastAsia"/>
                <w:color w:val="auto"/>
                <w:lang w:val="en-US" w:eastAsia="zh-CN"/>
              </w:rPr>
              <w:t>果赛景区规划及规划环评，建设项目</w:t>
            </w:r>
            <w:r>
              <w:rPr>
                <w:rFonts w:hint="default"/>
                <w:color w:val="auto"/>
                <w:lang w:val="en-US" w:eastAsia="zh-CN"/>
              </w:rPr>
              <w:t>应恢复生态与景观环境，尽快恢复因开山修路造成的山体、土层裸露的建设性破坏的地貌。限制各类建设和人为活动，控制游人容量，可安排直接为风景游赏服务的相关设施，严格限制牧民点的扩张，严格限制游览性交通以外的机动交通工具进入本区。</w:t>
            </w:r>
          </w:p>
          <w:p>
            <w:pPr>
              <w:bidi w:val="0"/>
              <w:rPr>
                <w:rFonts w:hint="default"/>
                <w:color w:val="auto"/>
                <w:lang w:val="en-US" w:eastAsia="zh-CN"/>
              </w:rPr>
            </w:pPr>
            <w:r>
              <w:rPr>
                <w:rFonts w:hint="default"/>
                <w:color w:val="auto"/>
                <w:lang w:val="en-US" w:eastAsia="zh-CN"/>
              </w:rPr>
              <w:t>（1）建设管控</w:t>
            </w:r>
          </w:p>
          <w:p>
            <w:pPr>
              <w:bidi w:val="0"/>
              <w:rPr>
                <w:rFonts w:hint="default"/>
                <w:color w:val="auto"/>
                <w:lang w:val="en-US" w:eastAsia="zh-CN"/>
              </w:rPr>
            </w:pPr>
            <w:r>
              <w:rPr>
                <w:rFonts w:hint="default"/>
                <w:color w:val="auto"/>
                <w:lang w:val="en-US" w:eastAsia="zh-CN"/>
              </w:rPr>
              <w:t>限制建设与风景保护、风景游赏无关的设施，可安排少量的游赏设施，对现有破坏景观风貌的建筑应予以拆除、改造或遮蔽。恢复必要的历史景观时，应严格控制其规模、风格、体量，保持原有历史风貌。其它新建建筑或构筑物在形式、风格、体量、建筑材料等方面必须与保护区原有风貌协调。</w:t>
            </w:r>
          </w:p>
          <w:p>
            <w:pPr>
              <w:bidi w:val="0"/>
              <w:rPr>
                <w:rFonts w:hint="default"/>
                <w:color w:val="auto"/>
                <w:lang w:val="en-US" w:eastAsia="zh-CN"/>
              </w:rPr>
            </w:pPr>
            <w:r>
              <w:rPr>
                <w:rFonts w:hint="default"/>
                <w:color w:val="auto"/>
                <w:lang w:val="en-US" w:eastAsia="zh-CN"/>
              </w:rPr>
              <w:t>（2）交通管控</w:t>
            </w:r>
          </w:p>
          <w:p>
            <w:pPr>
              <w:bidi w:val="0"/>
              <w:rPr>
                <w:rFonts w:hint="default"/>
                <w:color w:val="auto"/>
                <w:lang w:val="en-US" w:eastAsia="zh-CN"/>
              </w:rPr>
            </w:pPr>
            <w:r>
              <w:rPr>
                <w:rFonts w:hint="default"/>
                <w:color w:val="auto"/>
                <w:lang w:val="en-US" w:eastAsia="zh-CN"/>
              </w:rPr>
              <w:t>该区域限制机动交通工具的进入，除景区内部专用游览车辆、内部运输车辆、消防车外，严禁其它与游赏无关的机动车进入。允许游人按指定路线游览，非游览区域严禁进入。</w:t>
            </w:r>
          </w:p>
          <w:p>
            <w:pPr>
              <w:bidi w:val="0"/>
              <w:rPr>
                <w:rFonts w:hint="default"/>
                <w:color w:val="auto"/>
                <w:lang w:val="en-US" w:eastAsia="zh-CN"/>
              </w:rPr>
            </w:pPr>
            <w:r>
              <w:rPr>
                <w:rFonts w:hint="default"/>
                <w:color w:val="auto"/>
                <w:lang w:val="en-US" w:eastAsia="zh-CN"/>
              </w:rPr>
              <w:t>（3）生态管控</w:t>
            </w:r>
          </w:p>
          <w:p>
            <w:pPr>
              <w:bidi w:val="0"/>
              <w:rPr>
                <w:rFonts w:hint="default"/>
                <w:color w:val="auto"/>
                <w:lang w:val="en-US" w:eastAsia="zh-CN"/>
              </w:rPr>
            </w:pPr>
            <w:r>
              <w:rPr>
                <w:rFonts w:hint="default"/>
                <w:color w:val="auto"/>
                <w:lang w:val="en-US" w:eastAsia="zh-CN"/>
              </w:rPr>
              <w:t>严格保护自然山水、草原与生态环境，严格控制游牧规模及数量。根据上述要求制定相应的保护措施：</w:t>
            </w:r>
          </w:p>
          <w:p>
            <w:pPr>
              <w:bidi w:val="0"/>
              <w:rPr>
                <w:rFonts w:hint="default"/>
                <w:color w:val="auto"/>
                <w:lang w:val="en-US" w:eastAsia="zh-CN"/>
              </w:rPr>
            </w:pPr>
            <w:r>
              <w:rPr>
                <w:rFonts w:hint="default"/>
                <w:color w:val="auto"/>
                <w:lang w:val="en-US" w:eastAsia="zh-CN"/>
              </w:rPr>
              <w:t>1）对于地表植被破坏和水土流失的防治措施有：施工阶段，应设置施工植被的变化，野生动物的种群、数量变化以及生态系统整体性变化。施工结束后，及时进行植被恢复；移植开挖区内的乔、灌木到异地种植，留作后续恢复的树苗；项目施工永久占地采取还林植草的方式进行生态补偿并确保项目所在区域视觉景观不受影响。</w:t>
            </w:r>
          </w:p>
          <w:p>
            <w:pPr>
              <w:bidi w:val="0"/>
              <w:rPr>
                <w:rFonts w:hint="default"/>
                <w:color w:val="auto"/>
                <w:lang w:val="en-US" w:eastAsia="zh-CN"/>
              </w:rPr>
            </w:pPr>
            <w:r>
              <w:rPr>
                <w:rFonts w:hint="default"/>
                <w:color w:val="auto"/>
                <w:lang w:val="en-US" w:eastAsia="zh-CN"/>
              </w:rPr>
              <w:t>2）施工废弃土，尽量实现场地内平衡，少数多余的弃渣应当运至周边综合利用。</w:t>
            </w:r>
          </w:p>
          <w:p>
            <w:pPr>
              <w:bidi w:val="0"/>
              <w:rPr>
                <w:rFonts w:hint="default"/>
                <w:color w:val="auto"/>
                <w:lang w:val="en-US" w:eastAsia="zh-CN"/>
              </w:rPr>
            </w:pPr>
            <w:r>
              <w:rPr>
                <w:rFonts w:hint="default"/>
                <w:color w:val="auto"/>
                <w:lang w:val="en-US" w:eastAsia="zh-CN"/>
              </w:rPr>
              <w:t>3）在施工中，应严格控制施工人员的数量和限制施工场地范围，并进行专门的环保教育。不得捕杀保护区区内野生动物，严禁破坏自然植被和砍伐树木。</w:t>
            </w:r>
          </w:p>
          <w:p>
            <w:pPr>
              <w:bidi w:val="0"/>
              <w:rPr>
                <w:rFonts w:hint="default"/>
                <w:color w:val="auto"/>
                <w:lang w:val="en-US" w:eastAsia="zh-CN"/>
              </w:rPr>
            </w:pPr>
            <w:r>
              <w:rPr>
                <w:rFonts w:hint="default"/>
                <w:color w:val="auto"/>
                <w:lang w:val="en-US" w:eastAsia="zh-CN"/>
              </w:rPr>
              <w:t>4）索道支架及上、下站房的设计要与周围环境相协调，给人较为自然的感觉。各支架的颜色要尽量与周围景观相一致，支架高度要与周围环境相协调，减少索道线路的切割以及支架的遮挡影响。</w:t>
            </w:r>
          </w:p>
          <w:p>
            <w:pPr>
              <w:bidi w:val="0"/>
              <w:rPr>
                <w:rFonts w:hint="default" w:ascii="Times New Roman" w:hAnsi="Times New Roman" w:eastAsia="宋体" w:cs="Times New Roman"/>
                <w:color w:val="auto"/>
                <w:lang w:val="en-US" w:eastAsia="zh-CN"/>
              </w:rPr>
            </w:pPr>
            <w:r>
              <w:rPr>
                <w:rFonts w:hint="default"/>
                <w:color w:val="auto"/>
                <w:lang w:val="en-US" w:eastAsia="zh-CN"/>
              </w:rPr>
              <w:t>5）倡导游客文明旅游，不得损坏树木花草、乱刻乱画、随意丢弃垃圾等，不得在石英砂岩峰柱上题词、作画或者临摹、雕刻</w:t>
            </w:r>
            <w:r>
              <w:rPr>
                <w:rFonts w:hint="default" w:ascii="Times New Roman" w:hAnsi="Times New Roman" w:eastAsia="宋体" w:cs="Times New Roman"/>
                <w:color w:val="auto"/>
                <w:lang w:val="en-US" w:eastAsia="zh-CN"/>
              </w:rPr>
              <w:t>名人字画。</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6）当地管理和监督部门加强防范工作，防止不法分子会利用便利的交通进入</w:t>
            </w:r>
            <w:r>
              <w:rPr>
                <w:rFonts w:hint="eastAsia" w:ascii="Times New Roman" w:hAnsi="Times New Roman" w:eastAsia="宋体" w:cs="Times New Roman"/>
                <w:color w:val="auto"/>
                <w:lang w:val="en-US" w:eastAsia="zh-CN"/>
              </w:rPr>
              <w:t>果子沟-赛里木湖风景区</w:t>
            </w:r>
            <w:r>
              <w:rPr>
                <w:rFonts w:hint="default" w:ascii="Times New Roman" w:hAnsi="Times New Roman" w:eastAsia="宋体" w:cs="Times New Roman"/>
                <w:color w:val="auto"/>
                <w:lang w:val="en-US" w:eastAsia="zh-CN"/>
              </w:rPr>
              <w:t>，盗伐林木、捕猎野生动植物等，破坏生态系统。</w:t>
            </w:r>
          </w:p>
          <w:p>
            <w:pPr>
              <w:bidi w:val="0"/>
              <w:ind w:left="0" w:leftChars="0"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b/>
                <w:bCs/>
                <w:color w:val="auto"/>
                <w:lang w:val="en-US" w:eastAsia="zh-CN"/>
              </w:rPr>
              <w:t>2 施工扬尘</w:t>
            </w:r>
            <w:r>
              <w:rPr>
                <w:rFonts w:hint="default" w:ascii="Times New Roman" w:hAnsi="Times New Roman" w:eastAsia="宋体" w:cs="Times New Roman"/>
                <w:b/>
                <w:bCs/>
                <w:color w:val="auto"/>
                <w:lang w:val="en-US" w:eastAsia="zh-CN"/>
              </w:rPr>
              <w:t>污染防治</w:t>
            </w:r>
            <w:r>
              <w:rPr>
                <w:rFonts w:hint="eastAsia" w:ascii="Times New Roman" w:hAnsi="Times New Roman" w:eastAsia="宋体" w:cs="Times New Roman"/>
                <w:b/>
                <w:bCs/>
                <w:color w:val="auto"/>
                <w:lang w:val="en-US" w:eastAsia="zh-CN"/>
              </w:rPr>
              <w:t>措施</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 xml:space="preserve">）施工扬尘、交通扬尘防治措施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根据《关于开展自治区</w:t>
            </w:r>
            <w:r>
              <w:rPr>
                <w:rFonts w:hint="default" w:ascii="Times New Roman" w:hAnsi="Times New Roman" w:eastAsia="宋体" w:cs="Times New Roman"/>
                <w:color w:val="auto"/>
                <w:lang w:val="en-US" w:eastAsia="zh-CN"/>
              </w:rPr>
              <w:t>2022</w:t>
            </w:r>
            <w:r>
              <w:rPr>
                <w:rFonts w:hint="eastAsia" w:ascii="Times New Roman" w:hAnsi="Times New Roman" w:eastAsia="宋体" w:cs="Times New Roman"/>
                <w:color w:val="auto"/>
                <w:lang w:val="en-US" w:eastAsia="zh-CN"/>
              </w:rPr>
              <w:t>年度夏秋季大气污染防治“冬病夏治”工作的通知》（新环大气函</w:t>
            </w:r>
            <w:r>
              <w:rPr>
                <w:rFonts w:hint="default" w:ascii="Times New Roman" w:hAnsi="Times New Roman" w:eastAsia="宋体" w:cs="Times New Roman"/>
                <w:color w:val="auto"/>
                <w:lang w:val="en-US" w:eastAsia="zh-CN"/>
              </w:rPr>
              <w:t xml:space="preserve">[2022]483 </w:t>
            </w:r>
            <w:r>
              <w:rPr>
                <w:rFonts w:hint="eastAsia" w:ascii="Times New Roman" w:hAnsi="Times New Roman" w:eastAsia="宋体" w:cs="Times New Roman"/>
                <w:color w:val="auto"/>
                <w:lang w:val="en-US" w:eastAsia="zh-CN"/>
              </w:rPr>
              <w:t>号）要求对施工</w:t>
            </w:r>
            <w:r>
              <w:rPr>
                <w:rFonts w:hint="eastAsia" w:ascii="Times New Roman" w:hAnsi="Times New Roman" w:eastAsia="宋体" w:cs="Times New Roman"/>
                <w:color w:val="auto"/>
                <w:sz w:val="24"/>
                <w:highlight w:val="none"/>
                <w:lang w:val="en-US" w:eastAsia="zh-CN"/>
              </w:rPr>
              <w:t>工地推行绿色施</w:t>
            </w:r>
            <w:r>
              <w:rPr>
                <w:rFonts w:hint="eastAsia" w:ascii="Times New Roman" w:hAnsi="Times New Roman" w:eastAsia="宋体" w:cs="Times New Roman"/>
                <w:color w:val="auto"/>
                <w:lang w:val="en-US" w:eastAsia="zh-CN"/>
              </w:rPr>
              <w:t>工标准，确保做到周边围挡、物料堆放覆盖、土方开挖湿法作业、路面硬化、出入车辆清洗、渣土车辆密闭运输</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六个百分之百</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 xml:space="preserve">。本环评提出以下扬尘防治措施：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①项目施工区域实行围挡封闭施工，围挡封闭高度高出作业面</w:t>
            </w:r>
            <w:r>
              <w:rPr>
                <w:rFonts w:hint="default" w:ascii="Times New Roman" w:hAnsi="Times New Roman" w:eastAsia="宋体" w:cs="Times New Roman"/>
                <w:color w:val="auto"/>
                <w:lang w:val="en-US" w:eastAsia="zh-CN"/>
              </w:rPr>
              <w:t>1.5m</w:t>
            </w:r>
            <w:r>
              <w:rPr>
                <w:rFonts w:hint="eastAsia" w:ascii="Times New Roman" w:hAnsi="Times New Roman" w:eastAsia="宋体" w:cs="Times New Roman"/>
                <w:color w:val="auto"/>
                <w:lang w:val="en-US" w:eastAsia="zh-CN"/>
              </w:rPr>
              <w:t xml:space="preserve">以上并定期清洗、保持完好。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②施工过程中，通过洒水使作业面保持一定的湿度，对施工场地内松散、干涸的表土经常洒水，防治扬尘；项目全工期加强路面洒水，保持施工面湿度，降低起尘对周边区域带来的影响。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③针对施工任务和施工场地以及天气状况，制定合理的施工计划，遇四级及以上大风天气，采取扬尘防治应急措施，停止土方作业，同时施工作业面覆盖苫布、遮网。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④施工现场各类施工材料有序进料，原则上不堆存超过一周的施工用料量，尽量减少施工材料堆放时间和堆存量，加快物料的周转速度。施工材料堆放设置标牌，实行分类堆放。施工材料堆放整齐有序，严格在用地红线内施工，易产生扬尘的施工材料应苫盖堆放。砂石料临时堆放设置在下风向合理位置。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⑤运输车辆驶离工地前，清洗车轮及车身，不得带泥上路。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⑥运输车辆进出施工场地低速行驶，场地内运输通道及时清扫、洒水，减少道路扬尘。车辆装载的物料、垃圾、渣土高度不得超过车辆槽帮上沿，车斗用苫布遮蔽或者采用密闭车斗，苫布边缘至少要遮住槽帮上沿以下</w:t>
            </w:r>
            <w:r>
              <w:rPr>
                <w:rFonts w:hint="default" w:ascii="Times New Roman" w:hAnsi="Times New Roman" w:eastAsia="宋体" w:cs="Times New Roman"/>
                <w:color w:val="auto"/>
                <w:lang w:val="en-US" w:eastAsia="zh-CN"/>
              </w:rPr>
              <w:t>15cm</w:t>
            </w:r>
            <w:r>
              <w:rPr>
                <w:rFonts w:hint="eastAsia" w:ascii="Times New Roman" w:hAnsi="Times New Roman" w:eastAsia="宋体" w:cs="Times New Roman"/>
                <w:color w:val="auto"/>
                <w:lang w:val="en-US" w:eastAsia="zh-CN"/>
              </w:rPr>
              <w:t xml:space="preserve">，避免渣土掉落引起扬尘。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 xml:space="preserve">）燃油废气防治措施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①严禁尾气排放不达标的施工机械设备、运输车辆进场施工。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②加强施工机械设备、运输车辆的日常检修和保养，使其始终保持良好运行工况。项目周边路网发达，乡镇内具备维修保养能力。</w:t>
            </w:r>
          </w:p>
          <w:p>
            <w:pPr>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3 施工废水污染防治措施</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为了减少施工期废水对环境的影响，应采取以下环境保护措施：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①施工材料堆放时要采取遮蔽措施，防止降雨冲刷造成对地表水的污染。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②加强施工期管理，加强对运输车辆、施工机械设备定期检修保养，避免燃油、机油的跑、冒、滴、漏。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③禁止在项目沟道内直接冲洗运输车辆和施工机械设备。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④施工单位文明施工，施工废水经临时防渗沉淀池处理后用于项目区洒水抑尘，严禁施工废水乱排、乱流污染施工场地，禁止施工废水直接排放，污染或进入天然水体。 </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⑤施工场地生活污水排入</w:t>
            </w:r>
            <w:r>
              <w:rPr>
                <w:rFonts w:hint="default" w:ascii="Times New Roman" w:hAnsi="Times New Roman" w:eastAsia="宋体" w:cs="Times New Roman"/>
                <w:color w:val="auto"/>
                <w:lang w:val="en-US" w:eastAsia="zh-CN"/>
              </w:rPr>
              <w:t>生态厕所</w:t>
            </w:r>
            <w:r>
              <w:rPr>
                <w:rFonts w:hint="eastAsia" w:ascii="Times New Roman" w:hAnsi="Times New Roman" w:eastAsia="宋体" w:cs="Times New Roman"/>
                <w:color w:val="auto"/>
                <w:lang w:val="en-US" w:eastAsia="zh-CN"/>
              </w:rPr>
              <w:t>，定期清运至</w:t>
            </w:r>
            <w:r>
              <w:rPr>
                <w:rFonts w:hint="eastAsia" w:cs="Times New Roman"/>
                <w:color w:val="auto"/>
                <w:lang w:val="en-US" w:eastAsia="zh-CN"/>
              </w:rPr>
              <w:t>当地</w:t>
            </w:r>
            <w:r>
              <w:rPr>
                <w:rFonts w:hint="eastAsia" w:ascii="Times New Roman" w:hAnsi="Times New Roman" w:eastAsia="宋体" w:cs="Times New Roman"/>
                <w:color w:val="auto"/>
                <w:lang w:val="en-US" w:eastAsia="zh-CN"/>
              </w:rPr>
              <w:t>生活污水处理厂处理，</w:t>
            </w:r>
            <w:r>
              <w:rPr>
                <w:rFonts w:hint="eastAsia" w:cs="Times New Roman"/>
                <w:color w:val="auto"/>
                <w:lang w:val="en-US" w:eastAsia="zh-CN"/>
              </w:rPr>
              <w:t>待</w:t>
            </w:r>
            <w:r>
              <w:rPr>
                <w:rFonts w:cs="Times New Roman"/>
                <w:kern w:val="0"/>
                <w:szCs w:val="24"/>
              </w:rPr>
              <w:t>果</w:t>
            </w:r>
            <w:r>
              <w:rPr>
                <w:rFonts w:hint="eastAsia" w:cs="Times New Roman"/>
                <w:kern w:val="0"/>
                <w:szCs w:val="24"/>
                <w:lang w:val="en-US" w:eastAsia="zh-CN"/>
              </w:rPr>
              <w:t>赛</w:t>
            </w:r>
            <w:r>
              <w:rPr>
                <w:rFonts w:cs="Times New Roman"/>
                <w:kern w:val="0"/>
                <w:szCs w:val="24"/>
              </w:rPr>
              <w:t>景区</w:t>
            </w:r>
            <w:r>
              <w:rPr>
                <w:rFonts w:hint="eastAsia" w:cs="Times New Roman"/>
                <w:kern w:val="0"/>
                <w:szCs w:val="24"/>
                <w:lang w:val="en-US" w:eastAsia="zh-CN"/>
              </w:rPr>
              <w:t>污水处理厂建成后运至景区污水处理厂处理，</w:t>
            </w:r>
            <w:r>
              <w:rPr>
                <w:rFonts w:hint="eastAsia" w:ascii="Times New Roman" w:hAnsi="Times New Roman" w:eastAsia="宋体" w:cs="Times New Roman"/>
                <w:color w:val="auto"/>
                <w:lang w:val="en-US" w:eastAsia="zh-CN"/>
              </w:rPr>
              <w:t>严禁外排。</w:t>
            </w:r>
          </w:p>
          <w:p>
            <w:pPr>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4 施工噪声污染防治措施</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合理安排施工时段</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制定施工计划时，应尽可能避免大量噪声设备同时使用。工程应安排在白天施工，夜间禁止施工。如确实要在夜间施工，需向当地</w:t>
            </w:r>
            <w:r>
              <w:rPr>
                <w:rFonts w:hint="eastAsia" w:ascii="Times New Roman" w:hAnsi="Times New Roman" w:eastAsia="宋体" w:cs="Times New Roman"/>
                <w:color w:val="auto"/>
                <w:lang w:val="en-US" w:eastAsia="zh-CN"/>
              </w:rPr>
              <w:t>生态环境</w:t>
            </w:r>
            <w:r>
              <w:rPr>
                <w:rFonts w:hint="default" w:ascii="Times New Roman" w:hAnsi="Times New Roman" w:eastAsia="宋体" w:cs="Times New Roman"/>
                <w:color w:val="auto"/>
                <w:lang w:val="en-US" w:eastAsia="zh-CN"/>
              </w:rPr>
              <w:t>部门提出夜间施工的申请。</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合理布局施工场地</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避免在同一地点安排大量动力机械设备，以免局部声级过高。</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采取降噪措施</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1）在施工设备的选型上尽量采用低噪声设备；</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2）固定机械设备与挖土、运土机构，如挖土机、推土机等，可通过消音器和隔离发动机振动部件的方法降低噪声；</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3）加强对设备的维护、养护，闲置设备应关闭或减速；</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4）尽可能采用外加工材料，减少现场加工的工作量；</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5）尽量缩短高噪声机械设备的使用时间；</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lang w:val="en-US" w:eastAsia="zh-CN"/>
              </w:rPr>
              <w:t>为减少运输车辆交通噪声，应采取以下措施进行防治：</w:t>
            </w:r>
            <w:r>
              <w:rPr>
                <w:rFonts w:hint="eastAsia" w:ascii="Times New Roman" w:hAnsi="Times New Roman" w:eastAsia="宋体" w:cs="Times New Roman"/>
                <w:color w:val="auto"/>
                <w:lang w:val="en-US" w:eastAsia="zh-CN"/>
              </w:rPr>
              <w:t>A、尽量避免夜间运输，适当限制大型载重车</w:t>
            </w:r>
            <w:r>
              <w:rPr>
                <w:rFonts w:hint="default" w:ascii="Times New Roman" w:hAnsi="Times New Roman" w:eastAsia="宋体" w:cs="Times New Roman"/>
                <w:color w:val="auto"/>
                <w:lang w:val="en-US" w:eastAsia="zh-CN"/>
              </w:rPr>
              <w:t>的车速，尤其进入噪声</w:t>
            </w:r>
            <w:r>
              <w:rPr>
                <w:rFonts w:hint="eastAsia" w:ascii="Times New Roman" w:hAnsi="Times New Roman" w:eastAsia="宋体" w:cs="Times New Roman"/>
                <w:color w:val="auto"/>
                <w:lang w:val="en-US" w:eastAsia="zh-CN"/>
              </w:rPr>
              <w:t>居民</w:t>
            </w:r>
            <w:r>
              <w:rPr>
                <w:rFonts w:hint="default" w:ascii="Times New Roman" w:hAnsi="Times New Roman" w:eastAsia="宋体" w:cs="Times New Roman"/>
                <w:color w:val="auto"/>
                <w:lang w:val="en-US" w:eastAsia="zh-CN"/>
              </w:rPr>
              <w:t>区时应限速；</w:t>
            </w:r>
            <w:r>
              <w:rPr>
                <w:rFonts w:hint="eastAsia" w:ascii="Times New Roman" w:hAnsi="Times New Roman" w:eastAsia="宋体" w:cs="Times New Roman"/>
                <w:color w:val="auto"/>
                <w:lang w:val="en-US" w:eastAsia="zh-CN"/>
              </w:rPr>
              <w:t>B、</w:t>
            </w:r>
            <w:r>
              <w:rPr>
                <w:rFonts w:hint="default" w:ascii="Times New Roman" w:hAnsi="Times New Roman" w:eastAsia="宋体" w:cs="Times New Roman"/>
                <w:color w:val="auto"/>
                <w:lang w:val="en-US" w:eastAsia="zh-CN"/>
              </w:rPr>
              <w:t>对运输车辆定期维修、养护；</w:t>
            </w:r>
            <w:r>
              <w:rPr>
                <w:rFonts w:hint="eastAsia" w:ascii="Times New Roman" w:hAnsi="Times New Roman" w:eastAsia="宋体" w:cs="Times New Roman"/>
                <w:color w:val="auto"/>
                <w:lang w:val="en-US" w:eastAsia="zh-CN"/>
              </w:rPr>
              <w:t>C</w:t>
            </w:r>
            <w:r>
              <w:rPr>
                <w:rFonts w:hint="default" w:ascii="Times New Roman" w:hAnsi="Times New Roman" w:eastAsia="宋体" w:cs="Times New Roman"/>
                <w:color w:val="auto"/>
                <w:lang w:val="en-US" w:eastAsia="zh-CN"/>
              </w:rPr>
              <w:t>、减少或杜绝鸣笛。</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降低人为噪声影响</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按操作规范操作机械设备等过程中减少碰撞噪声，并对工人进行环保方面的教育。在装卸进程中，禁止野蛮作业，减少作业噪声。</w: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通过采取上述措施后，</w:t>
            </w:r>
            <w:r>
              <w:rPr>
                <w:rFonts w:hint="eastAsia" w:ascii="Times New Roman" w:hAnsi="Times New Roman" w:eastAsia="宋体" w:cs="Times New Roman"/>
                <w:color w:val="auto"/>
                <w:lang w:val="en-US" w:eastAsia="zh-CN"/>
              </w:rPr>
              <w:t>本项目施工期噪声</w:t>
            </w:r>
            <w:r>
              <w:rPr>
                <w:rFonts w:hint="default" w:ascii="Times New Roman" w:hAnsi="Times New Roman" w:eastAsia="宋体" w:cs="Times New Roman"/>
                <w:color w:val="auto"/>
                <w:lang w:val="en-US" w:eastAsia="zh-CN"/>
              </w:rPr>
              <w:t>满足《建筑施工场界环境噪声排放标准》的规定，再者，由该项目组成情况、施工方式及施工机械噪声源强情况看，</w:t>
            </w:r>
            <w:r>
              <w:rPr>
                <w:rFonts w:hint="eastAsia" w:ascii="Times New Roman" w:hAnsi="Times New Roman" w:eastAsia="宋体" w:cs="Times New Roman"/>
                <w:color w:val="auto"/>
                <w:lang w:val="en-US" w:eastAsia="zh-CN"/>
              </w:rPr>
              <w:t>项目施工内容较少</w:t>
            </w:r>
            <w:r>
              <w:rPr>
                <w:rFonts w:hint="default" w:ascii="Times New Roman" w:hAnsi="Times New Roman" w:eastAsia="宋体" w:cs="Times New Roman"/>
                <w:color w:val="auto"/>
                <w:lang w:val="en-US" w:eastAsia="zh-CN"/>
              </w:rPr>
              <w:t>，噪声影响范围有限，且施工周期短，因此，施工噪声防治措施可行。</w:t>
            </w:r>
          </w:p>
          <w:p>
            <w:pPr>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5 施工固废污染防治措施</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（1）临时堆土</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一般基础挖方和剥离表土分区堆放。一般临时堆土应采用防尘网苫盖，边脚采用袋装土等重物压盖，以防止下雨、大风天气造成水土流失；临时堆放的剥离表土坡面应撒播草籽保持土壤有机质的含量，边角采用用袋装土等重物压盖。施工期间尽快将基础挖方进行回填，施工结束后将表土回覆于扰动区域作为植被恢复覆土。</w:t>
            </w:r>
          </w:p>
          <w:p>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（2）建筑垃圾</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建筑垃圾进行集中分拣回收，能回用的尽量循环利用，没有利用价值的建筑垃圾收集后苫盖暂存，定期清运至指定的建筑垃圾填埋场处置。运输施工固废的车辆，车斗采取遮蔽措施，防治固废沿途洒落。</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（3）生活垃圾</w:t>
            </w:r>
          </w:p>
          <w:p>
            <w:pPr>
              <w:bidi w:val="0"/>
              <w:rPr>
                <w:rFonts w:hint="default" w:cs="Times New Roman"/>
                <w:color w:val="auto"/>
                <w:kern w:val="2"/>
                <w:sz w:val="24"/>
                <w:szCs w:val="24"/>
                <w:highlight w:val="none"/>
                <w:lang w:val="en-US" w:eastAsia="zh-CN" w:bidi="ar-SA"/>
              </w:rPr>
            </w:pPr>
            <w:r>
              <w:rPr>
                <w:rFonts w:hint="default" w:ascii="Times New Roman" w:hAnsi="Times New Roman" w:eastAsia="宋体" w:cs="Times New Roman"/>
                <w:color w:val="auto"/>
                <w:lang w:val="en-US" w:eastAsia="zh-CN"/>
              </w:rPr>
              <w:t>生活垃圾不可随意丢弃，应在施工区及生活区设垃圾桶，要求及时清运，由景区环卫部门统一处理</w:t>
            </w:r>
            <w:r>
              <w:rPr>
                <w:rFonts w:hint="eastAsia" w:ascii="Times New Roman" w:hAnsi="Times New Roman" w:eastAsia="宋体" w:cs="Times New Roman"/>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dxa"/>
            <w:noWrap w:val="0"/>
            <w:tcMar>
              <w:left w:w="28" w:type="dxa"/>
              <w:right w:w="28" w:type="dxa"/>
            </w:tcMar>
            <w:vAlign w:val="center"/>
          </w:tcPr>
          <w:p>
            <w:pPr>
              <w:pStyle w:val="17"/>
              <w:bidi w:val="0"/>
              <w:rPr>
                <w:rFonts w:hint="default"/>
                <w:color w:val="auto"/>
                <w:sz w:val="24"/>
                <w:szCs w:val="24"/>
              </w:rPr>
            </w:pPr>
            <w:r>
              <w:rPr>
                <w:rFonts w:hint="default"/>
                <w:color w:val="auto"/>
                <w:sz w:val="24"/>
                <w:szCs w:val="24"/>
              </w:rPr>
              <w:t>运营期生态环境保护措施</w:t>
            </w:r>
          </w:p>
        </w:tc>
        <w:tc>
          <w:tcPr>
            <w:tcW w:w="8825" w:type="dxa"/>
            <w:noWrap w:val="0"/>
            <w:vAlign w:val="top"/>
          </w:tcPr>
          <w:p>
            <w:pPr>
              <w:bidi w:val="0"/>
              <w:rPr>
                <w:rFonts w:hint="default"/>
                <w:color w:val="auto"/>
              </w:rPr>
            </w:pPr>
            <w:r>
              <w:rPr>
                <w:rFonts w:hint="default"/>
                <w:color w:val="auto"/>
              </w:rPr>
              <w:t>施工结束后，及时进行施工场地清理平整，临时占地植被恢复；在</w:t>
            </w:r>
            <w:r>
              <w:rPr>
                <w:rFonts w:hint="eastAsia"/>
                <w:color w:val="auto"/>
                <w:lang w:val="en-US" w:eastAsia="zh-CN"/>
              </w:rPr>
              <w:t>索道</w:t>
            </w:r>
            <w:r>
              <w:rPr>
                <w:rFonts w:hint="default"/>
                <w:color w:val="auto"/>
              </w:rPr>
              <w:t>便道及支架四周进行永久占地植被补偿恢复；加强管理和宣传，禁止滥砍滥伐；加强管理和教育，倡导文明旅游，杜绝破坏景观，污染环境等行为。</w:t>
            </w:r>
          </w:p>
          <w:p>
            <w:pPr>
              <w:pStyle w:val="4"/>
              <w:bidi w:val="0"/>
              <w:rPr>
                <w:rFonts w:hint="default"/>
                <w:color w:val="auto"/>
                <w:lang w:val="en-US" w:eastAsia="zh-CN"/>
              </w:rPr>
            </w:pPr>
            <w:r>
              <w:rPr>
                <w:rFonts w:hint="eastAsia"/>
                <w:color w:val="auto"/>
                <w:lang w:val="en-US" w:eastAsia="zh-CN"/>
              </w:rPr>
              <w:t xml:space="preserve">1 </w:t>
            </w:r>
            <w:r>
              <w:rPr>
                <w:rFonts w:hint="default"/>
                <w:color w:val="auto"/>
                <w:lang w:val="en-US" w:eastAsia="zh-CN"/>
              </w:rPr>
              <w:t>运营期生态环境保护措施</w:t>
            </w:r>
          </w:p>
          <w:p>
            <w:pPr>
              <w:pStyle w:val="4"/>
              <w:bidi w:val="0"/>
              <w:rPr>
                <w:rFonts w:hint="default"/>
                <w:color w:val="auto"/>
                <w:lang w:val="en-US" w:eastAsia="zh-CN"/>
              </w:rPr>
            </w:pPr>
            <w:r>
              <w:rPr>
                <w:rFonts w:hint="eastAsia"/>
                <w:color w:val="auto"/>
                <w:lang w:val="en-US" w:eastAsia="zh-CN"/>
              </w:rPr>
              <w:t>1</w:t>
            </w:r>
            <w:r>
              <w:rPr>
                <w:rFonts w:hint="default"/>
                <w:color w:val="auto"/>
                <w:lang w:val="en-US" w:eastAsia="zh-CN"/>
              </w:rPr>
              <w:t>.1避免生态影响的措施</w:t>
            </w:r>
          </w:p>
          <w:p>
            <w:pPr>
              <w:bidi w:val="0"/>
              <w:rPr>
                <w:rFonts w:hint="default"/>
                <w:color w:val="auto"/>
                <w:lang w:val="en-US" w:eastAsia="zh-CN"/>
              </w:rPr>
            </w:pPr>
            <w:r>
              <w:rPr>
                <w:rFonts w:hint="eastAsia"/>
                <w:color w:val="auto"/>
                <w:lang w:val="en-US" w:eastAsia="zh-CN"/>
              </w:rPr>
              <w:t>本项目</w:t>
            </w:r>
            <w:r>
              <w:rPr>
                <w:rFonts w:hint="default"/>
                <w:color w:val="auto"/>
                <w:lang w:val="en-US" w:eastAsia="zh-CN"/>
              </w:rPr>
              <w:t>运营部门必需</w:t>
            </w:r>
            <w:r>
              <w:rPr>
                <w:rFonts w:hint="eastAsia"/>
                <w:color w:val="auto"/>
                <w:lang w:val="en-US" w:eastAsia="zh-CN"/>
              </w:rPr>
              <w:t>在</w:t>
            </w:r>
            <w:r>
              <w:rPr>
                <w:rFonts w:hint="default"/>
                <w:color w:val="auto"/>
                <w:lang w:val="en-US" w:eastAsia="zh-CN"/>
              </w:rPr>
              <w:t>运营期需采取相应的避免生态影响的措施，主要有：</w:t>
            </w:r>
          </w:p>
          <w:p>
            <w:pPr>
              <w:bidi w:val="0"/>
              <w:rPr>
                <w:rFonts w:hint="default"/>
                <w:color w:val="auto"/>
                <w:lang w:val="en-US" w:eastAsia="zh-CN"/>
              </w:rPr>
            </w:pPr>
            <w:r>
              <w:rPr>
                <w:rFonts w:hint="default"/>
                <w:color w:val="auto"/>
                <w:lang w:val="en-US" w:eastAsia="zh-CN"/>
              </w:rPr>
              <w:t>（1）合理布置游客通道，应强化游客行走通道的管理，</w:t>
            </w:r>
            <w:r>
              <w:rPr>
                <w:rFonts w:hint="eastAsia"/>
                <w:color w:val="auto"/>
                <w:lang w:val="en-US" w:eastAsia="zh-CN"/>
              </w:rPr>
              <w:t>在项目区边界竖立“禁止进入”警示标牌，严禁</w:t>
            </w:r>
            <w:r>
              <w:rPr>
                <w:rFonts w:hint="default"/>
                <w:color w:val="auto"/>
                <w:lang w:val="en-US" w:eastAsia="zh-CN"/>
              </w:rPr>
              <w:t>游客随意进入</w:t>
            </w:r>
            <w:r>
              <w:rPr>
                <w:rFonts w:hint="eastAsia"/>
                <w:color w:val="auto"/>
                <w:lang w:val="en-US" w:eastAsia="zh-CN"/>
              </w:rPr>
              <w:t>项目</w:t>
            </w:r>
            <w:r>
              <w:rPr>
                <w:rFonts w:hint="default"/>
                <w:color w:val="auto"/>
                <w:lang w:val="en-US" w:eastAsia="zh-CN"/>
              </w:rPr>
              <w:t>周边森林中，从而将游客对植被的破坏降至最低。</w:t>
            </w:r>
          </w:p>
          <w:p>
            <w:pPr>
              <w:bidi w:val="0"/>
              <w:rPr>
                <w:rFonts w:hint="eastAsia"/>
                <w:color w:val="auto"/>
                <w:lang w:val="en-US" w:eastAsia="zh-CN"/>
              </w:rPr>
            </w:pPr>
            <w:r>
              <w:rPr>
                <w:rFonts w:hint="eastAsia"/>
                <w:color w:val="auto"/>
                <w:lang w:val="en-US" w:eastAsia="zh-CN"/>
              </w:rPr>
              <w:t>（2）</w:t>
            </w:r>
            <w:r>
              <w:rPr>
                <w:rFonts w:hint="default"/>
                <w:color w:val="auto"/>
                <w:lang w:val="en-US" w:eastAsia="zh-CN"/>
              </w:rPr>
              <w:t>强化防火措施</w:t>
            </w:r>
            <w:r>
              <w:rPr>
                <w:rFonts w:hint="eastAsia"/>
                <w:color w:val="auto"/>
                <w:lang w:val="en-US" w:eastAsia="zh-CN"/>
              </w:rPr>
              <w:t>。</w:t>
            </w:r>
            <w:r>
              <w:rPr>
                <w:rFonts w:hint="default"/>
                <w:color w:val="auto"/>
                <w:lang w:val="en-US" w:eastAsia="zh-CN"/>
              </w:rPr>
              <w:t>项目区植被生长旺盛，运营期</w:t>
            </w:r>
            <w:r>
              <w:rPr>
                <w:rFonts w:hint="eastAsia"/>
                <w:color w:val="auto"/>
                <w:lang w:val="en-US" w:eastAsia="zh-CN"/>
              </w:rPr>
              <w:t>游客数量剧增，</w:t>
            </w:r>
            <w:r>
              <w:rPr>
                <w:rFonts w:hint="default"/>
                <w:color w:val="auto"/>
                <w:lang w:val="en-US" w:eastAsia="zh-CN"/>
              </w:rPr>
              <w:t>存在较大的森林防火隐患，做好游客的防火宣传，</w:t>
            </w:r>
            <w:r>
              <w:rPr>
                <w:rFonts w:hint="eastAsia"/>
                <w:color w:val="auto"/>
                <w:lang w:val="en-US" w:eastAsia="zh-CN"/>
              </w:rPr>
              <w:t>严禁游客携带火源进入景区。</w:t>
            </w:r>
          </w:p>
          <w:p>
            <w:pPr>
              <w:bidi w:val="0"/>
              <w:rPr>
                <w:rFonts w:hint="default"/>
                <w:color w:val="auto"/>
                <w:lang w:val="en-US" w:eastAsia="zh-CN"/>
              </w:rPr>
            </w:pPr>
            <w:r>
              <w:rPr>
                <w:rFonts w:hint="eastAsia"/>
                <w:color w:val="auto"/>
                <w:lang w:val="en-US" w:eastAsia="zh-CN"/>
              </w:rPr>
              <w:t>（3）</w:t>
            </w:r>
            <w:r>
              <w:rPr>
                <w:rFonts w:hint="default"/>
                <w:color w:val="auto"/>
                <w:lang w:val="en-US" w:eastAsia="zh-CN"/>
              </w:rPr>
              <w:t>保护现有植被，为野生动物提供生存与繁衍的栖息环境。对运营期管理人员进行保护野生动物的宣传教育，禁止乱捕乱杀；设立警示牌，杜绝任何捕杀野生动物的非法行为；</w:t>
            </w:r>
          </w:p>
          <w:p>
            <w:pPr>
              <w:bidi w:val="0"/>
              <w:rPr>
                <w:rFonts w:hint="default"/>
                <w:color w:val="auto"/>
                <w:lang w:val="en-US" w:eastAsia="zh-CN"/>
              </w:rPr>
            </w:pPr>
            <w:r>
              <w:rPr>
                <w:rFonts w:hint="default"/>
                <w:color w:val="auto"/>
                <w:lang w:val="en-US" w:eastAsia="zh-CN"/>
              </w:rPr>
              <w:t>（</w:t>
            </w:r>
            <w:r>
              <w:rPr>
                <w:rFonts w:hint="eastAsia"/>
                <w:color w:val="auto"/>
                <w:lang w:val="en-US" w:eastAsia="zh-CN"/>
              </w:rPr>
              <w:t>4</w:t>
            </w:r>
            <w:r>
              <w:rPr>
                <w:rFonts w:hint="default"/>
                <w:color w:val="auto"/>
                <w:lang w:val="en-US" w:eastAsia="zh-CN"/>
              </w:rPr>
              <w:t>）建设单位在运营期加强对旅游区内索道驱动设施、</w:t>
            </w:r>
            <w:r>
              <w:rPr>
                <w:rFonts w:hint="eastAsia"/>
                <w:color w:val="auto"/>
                <w:lang w:val="en-US" w:eastAsia="zh-CN"/>
              </w:rPr>
              <w:t>商业及游服设施</w:t>
            </w:r>
            <w:r>
              <w:rPr>
                <w:rFonts w:hint="default"/>
                <w:color w:val="auto"/>
                <w:lang w:val="en-US" w:eastAsia="zh-CN"/>
              </w:rPr>
              <w:t>等产噪设备的日常维护和保养，避免超负荷运行，同时在设备选型上应采用低噪声设备，并采取基础减振等降噪措施，以确保设备产生的噪声对周围野生动物的影响不会增加；</w:t>
            </w:r>
          </w:p>
          <w:p>
            <w:pPr>
              <w:bidi w:val="0"/>
              <w:rPr>
                <w:rFonts w:hint="default"/>
                <w:color w:val="auto"/>
                <w:lang w:val="en-US" w:eastAsia="zh-CN"/>
              </w:rPr>
            </w:pPr>
            <w:r>
              <w:rPr>
                <w:rFonts w:hint="default"/>
                <w:color w:val="auto"/>
                <w:lang w:val="en-US" w:eastAsia="zh-CN"/>
              </w:rPr>
              <w:t>（</w:t>
            </w:r>
            <w:r>
              <w:rPr>
                <w:rFonts w:hint="eastAsia"/>
                <w:color w:val="auto"/>
                <w:lang w:val="en-US" w:eastAsia="zh-CN"/>
              </w:rPr>
              <w:t>5</w:t>
            </w:r>
            <w:r>
              <w:rPr>
                <w:rFonts w:hint="default"/>
                <w:color w:val="auto"/>
                <w:lang w:val="en-US" w:eastAsia="zh-CN"/>
              </w:rPr>
              <w:t>）加强巡护，切实保障野生动物及其栖息的安全。</w:t>
            </w:r>
          </w:p>
          <w:p>
            <w:pPr>
              <w:bidi w:val="0"/>
              <w:ind w:left="0" w:leftChars="0" w:firstLine="0" w:firstLineChars="0"/>
              <w:rPr>
                <w:rFonts w:hint="eastAsia"/>
                <w:b/>
                <w:bCs/>
                <w:color w:val="auto"/>
                <w:lang w:val="en-US" w:eastAsia="zh-CN"/>
              </w:rPr>
            </w:pPr>
            <w:r>
              <w:rPr>
                <w:rFonts w:hint="eastAsia"/>
                <w:b/>
                <w:bCs/>
                <w:color w:val="auto"/>
                <w:lang w:val="en-US" w:eastAsia="zh-CN"/>
              </w:rPr>
              <w:t>2 大气污染防治措施</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（1）饮食油烟：商业餐吧</w:t>
            </w:r>
            <w:r>
              <w:rPr>
                <w:rFonts w:hint="default" w:ascii="Times New Roman" w:hAnsi="Times New Roman" w:eastAsia="宋体" w:cs="Times New Roman"/>
                <w:color w:val="auto"/>
                <w:lang w:val="zh-CN" w:eastAsia="zh-CN"/>
              </w:rPr>
              <w:t>食堂</w:t>
            </w:r>
            <w:r>
              <w:rPr>
                <w:rFonts w:hint="eastAsia" w:ascii="Times New Roman" w:hAnsi="Times New Roman" w:eastAsia="宋体" w:cs="Times New Roman"/>
                <w:color w:val="auto"/>
                <w:lang w:val="en-US" w:eastAsia="zh-CN"/>
              </w:rPr>
              <w:t>应</w:t>
            </w:r>
            <w:r>
              <w:rPr>
                <w:rFonts w:hint="default" w:ascii="Times New Roman" w:hAnsi="Times New Roman" w:eastAsia="宋体" w:cs="Times New Roman"/>
                <w:color w:val="auto"/>
                <w:lang w:val="zh-CN" w:eastAsia="zh-CN"/>
              </w:rPr>
              <w:t>安装去除效率不小于</w:t>
            </w:r>
            <w:r>
              <w:rPr>
                <w:rFonts w:hint="eastAsia" w:ascii="Times New Roman" w:hAnsi="Times New Roman" w:eastAsia="宋体" w:cs="Times New Roman"/>
                <w:color w:val="auto"/>
                <w:lang w:val="en-US" w:eastAsia="zh-CN"/>
              </w:rPr>
              <w:t>90</w:t>
            </w:r>
            <w:r>
              <w:rPr>
                <w:rFonts w:hint="default" w:ascii="Times New Roman" w:hAnsi="Times New Roman" w:eastAsia="宋体" w:cs="Times New Roman"/>
                <w:color w:val="auto"/>
                <w:lang w:val="zh-CN" w:eastAsia="zh-CN"/>
              </w:rPr>
              <w:t>%的油烟净化装置，油烟经</w:t>
            </w:r>
            <w:r>
              <w:rPr>
                <w:rFonts w:hint="eastAsia" w:ascii="Times New Roman" w:hAnsi="Times New Roman" w:eastAsia="宋体" w:cs="Times New Roman"/>
                <w:color w:val="auto"/>
                <w:lang w:val="en-US" w:eastAsia="zh-CN"/>
              </w:rPr>
              <w:t>净化装置</w:t>
            </w:r>
            <w:r>
              <w:rPr>
                <w:rFonts w:hint="default" w:ascii="Times New Roman" w:hAnsi="Times New Roman" w:eastAsia="宋体" w:cs="Times New Roman"/>
                <w:color w:val="auto"/>
                <w:lang w:val="zh-CN" w:eastAsia="zh-CN"/>
              </w:rPr>
              <w:t>处理后经专用烟道高于屋顶排放</w:t>
            </w:r>
            <w:r>
              <w:rPr>
                <w:rFonts w:hint="eastAsia" w:ascii="Times New Roman" w:hAnsi="Times New Roman" w:eastAsia="宋体" w:cs="Times New Roman"/>
                <w:color w:val="auto"/>
                <w:lang w:val="zh-CN" w:eastAsia="zh-CN"/>
              </w:rPr>
              <w:t>。</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（2）污水处理设施和生活垃圾恶臭：本项目地埋式一体化污水处理设施均设置于地下，为密闭设施，地面上方采取植被恢复，定期由吸污车进行清运；游客及职工生活垃圾做到日产日清。</w:t>
            </w:r>
          </w:p>
          <w:p>
            <w:pPr>
              <w:bidi w:val="0"/>
              <w:ind w:left="0" w:leftChars="0"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b/>
                <w:bCs/>
                <w:color w:val="auto"/>
                <w:lang w:val="en-US" w:eastAsia="zh-CN"/>
              </w:rPr>
              <w:t>3 水污染防治措施</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w:t>
            </w:r>
            <w:r>
              <w:rPr>
                <w:rFonts w:hint="default" w:ascii="Times New Roman" w:hAnsi="Times New Roman" w:eastAsia="宋体" w:cs="Times New Roman"/>
                <w:color w:val="auto"/>
                <w:lang w:val="en-US" w:eastAsia="zh-CN"/>
              </w:rPr>
              <w:t>项目</w:t>
            </w:r>
            <w:r>
              <w:rPr>
                <w:rFonts w:hint="eastAsia" w:ascii="Times New Roman" w:hAnsi="Times New Roman" w:eastAsia="宋体" w:cs="Times New Roman"/>
                <w:color w:val="auto"/>
                <w:lang w:val="en-US" w:eastAsia="zh-CN"/>
              </w:rPr>
              <w:t>运营期餐饮废水采用隔油池处理后，与</w:t>
            </w:r>
            <w:r>
              <w:rPr>
                <w:rFonts w:hint="default" w:ascii="Times New Roman" w:hAnsi="Times New Roman" w:eastAsia="宋体" w:cs="Times New Roman"/>
                <w:color w:val="auto"/>
                <w:lang w:val="en-US" w:eastAsia="zh-CN"/>
              </w:rPr>
              <w:t>生活污水</w:t>
            </w:r>
            <w:r>
              <w:rPr>
                <w:rFonts w:hint="eastAsia" w:ascii="Times New Roman" w:hAnsi="Times New Roman" w:eastAsia="宋体" w:cs="Times New Roman"/>
                <w:color w:val="auto"/>
                <w:lang w:val="en-US" w:eastAsia="zh-CN"/>
              </w:rPr>
              <w:t>一同</w:t>
            </w:r>
            <w:r>
              <w:rPr>
                <w:rFonts w:hint="default" w:ascii="Times New Roman" w:hAnsi="Times New Roman" w:eastAsia="宋体" w:cs="Times New Roman"/>
                <w:color w:val="auto"/>
                <w:lang w:val="en-US" w:eastAsia="zh-CN"/>
              </w:rPr>
              <w:t>经地埋式一体化污水处理设施处理，</w:t>
            </w:r>
            <w:r>
              <w:rPr>
                <w:rFonts w:hint="eastAsia" w:ascii="Times New Roman" w:hAnsi="Times New Roman" w:eastAsia="宋体" w:cs="Times New Roman"/>
                <w:color w:val="auto"/>
                <w:lang w:val="en-US" w:eastAsia="zh-CN"/>
              </w:rPr>
              <w:t>处理后废水定期由吸污车清运至</w:t>
            </w:r>
            <w:r>
              <w:rPr>
                <w:rFonts w:hint="eastAsia" w:cs="Times New Roman"/>
                <w:color w:val="auto"/>
                <w:lang w:val="en-US" w:eastAsia="zh-CN"/>
              </w:rPr>
              <w:t>当地</w:t>
            </w:r>
            <w:r>
              <w:rPr>
                <w:rFonts w:hint="eastAsia" w:ascii="Times New Roman" w:hAnsi="Times New Roman" w:eastAsia="宋体" w:cs="Times New Roman"/>
                <w:color w:val="auto"/>
                <w:lang w:val="en-US" w:eastAsia="zh-CN"/>
              </w:rPr>
              <w:t>生活污水处理厂处理</w:t>
            </w:r>
            <w:r>
              <w:rPr>
                <w:rFonts w:hint="eastAsia" w:cs="Times New Roman"/>
                <w:color w:val="auto"/>
                <w:lang w:val="en-US" w:eastAsia="zh-CN"/>
              </w:rPr>
              <w:t>，待</w:t>
            </w:r>
            <w:r>
              <w:rPr>
                <w:rFonts w:cs="Times New Roman"/>
                <w:kern w:val="0"/>
                <w:szCs w:val="24"/>
              </w:rPr>
              <w:t>果</w:t>
            </w:r>
            <w:r>
              <w:rPr>
                <w:rFonts w:hint="eastAsia" w:cs="Times New Roman"/>
                <w:kern w:val="0"/>
                <w:szCs w:val="24"/>
                <w:lang w:val="en-US" w:eastAsia="zh-CN"/>
              </w:rPr>
              <w:t>赛</w:t>
            </w:r>
            <w:r>
              <w:rPr>
                <w:rFonts w:cs="Times New Roman"/>
                <w:kern w:val="0"/>
                <w:szCs w:val="24"/>
              </w:rPr>
              <w:t>景区</w:t>
            </w:r>
            <w:r>
              <w:rPr>
                <w:rFonts w:hint="eastAsia" w:cs="Times New Roman"/>
                <w:kern w:val="0"/>
                <w:szCs w:val="24"/>
                <w:lang w:val="en-US" w:eastAsia="zh-CN"/>
              </w:rPr>
              <w:t>污水处理厂建成后运至景区污水处理厂处理</w:t>
            </w:r>
            <w:r>
              <w:rPr>
                <w:rFonts w:hint="default" w:ascii="Times New Roman" w:hAnsi="Times New Roman" w:eastAsia="宋体" w:cs="Times New Roman"/>
                <w:color w:val="auto"/>
                <w:lang w:val="en-US" w:eastAsia="zh-CN"/>
              </w:rPr>
              <w:t>。废水严禁未经处理直接外排，为防止废水下渗对地下水的污染，在废水收集、处置、排污管道设计的施工中应严格执行防渗措施，防止废水沿途泄漏</w:t>
            </w:r>
            <w:r>
              <w:rPr>
                <w:rFonts w:hint="eastAsia" w:ascii="Times New Roman" w:hAnsi="Times New Roman" w:eastAsia="宋体" w:cs="Times New Roman"/>
                <w:color w:val="auto"/>
                <w:lang w:val="en-US" w:eastAsia="zh-CN"/>
              </w:rPr>
              <w:t>。</w:t>
            </w:r>
          </w:p>
          <w:p>
            <w:pPr>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4 噪声防治措施</w:t>
            </w:r>
          </w:p>
          <w:p>
            <w:pPr>
              <w:rPr>
                <w:rFonts w:hint="eastAsia" w:ascii="Times New Roman" w:hAnsi="Times New Roman" w:eastAsia="宋体" w:cs="Times New Roman"/>
                <w:color w:val="auto"/>
                <w:lang w:val="en-US" w:eastAsia="zh-CN"/>
              </w:rPr>
            </w:pPr>
            <w:r>
              <w:rPr>
                <w:rFonts w:hint="eastAsia"/>
                <w:color w:val="auto"/>
                <w:lang w:val="en-US" w:eastAsia="zh-CN"/>
              </w:rPr>
              <w:t>本项目运营期对主要产噪设备（</w:t>
            </w:r>
            <w:r>
              <w:rPr>
                <w:rFonts w:hint="eastAsia"/>
                <w:color w:val="auto"/>
                <w:lang w:eastAsia="zh-CN"/>
              </w:rPr>
              <w:t>索道驱动站、迂回站的设备、空调外机组</w:t>
            </w:r>
            <w:r>
              <w:rPr>
                <w:rFonts w:hint="eastAsia"/>
                <w:color w:val="auto"/>
                <w:lang w:val="en-US" w:eastAsia="zh-CN"/>
              </w:rPr>
              <w:t>）采取隔声、减振治理措施；项目各地块之间运输区间车</w:t>
            </w:r>
            <w:r>
              <w:rPr>
                <w:rFonts w:hint="eastAsia" w:eastAsia="宋体" w:cs="Times New Roman"/>
                <w:color w:val="auto"/>
                <w:kern w:val="0"/>
                <w:szCs w:val="24"/>
              </w:rPr>
              <w:t>采取限制车型、限制车速、</w:t>
            </w:r>
            <w:r>
              <w:rPr>
                <w:rFonts w:ascii="Calibri" w:hAnsi="Calibri" w:eastAsia="宋体" w:cs="Times New Roman"/>
                <w:color w:val="auto"/>
              </w:rPr>
              <w:t>配备</w:t>
            </w:r>
            <w:r>
              <w:rPr>
                <w:rFonts w:hint="eastAsia" w:ascii="Calibri" w:hAnsi="Calibri" w:eastAsia="宋体" w:cs="Times New Roman"/>
                <w:color w:val="auto"/>
              </w:rPr>
              <w:t>专人</w:t>
            </w:r>
            <w:r>
              <w:rPr>
                <w:rFonts w:ascii="Calibri" w:hAnsi="Calibri" w:eastAsia="宋体" w:cs="Times New Roman"/>
                <w:color w:val="auto"/>
              </w:rPr>
              <w:t>指挥</w:t>
            </w:r>
            <w:r>
              <w:rPr>
                <w:rFonts w:hint="eastAsia" w:ascii="Calibri" w:hAnsi="Calibri" w:eastAsia="宋体" w:cs="Times New Roman"/>
                <w:color w:val="auto"/>
              </w:rPr>
              <w:t>交通</w:t>
            </w:r>
            <w:r>
              <w:rPr>
                <w:rFonts w:ascii="Calibri" w:hAnsi="Calibri" w:eastAsia="宋体" w:cs="Times New Roman"/>
                <w:color w:val="auto"/>
              </w:rPr>
              <w:t>，有序进出</w:t>
            </w:r>
            <w:r>
              <w:rPr>
                <w:rFonts w:hint="eastAsia" w:ascii="Calibri" w:hAnsi="Calibri" w:eastAsia="宋体" w:cs="Times New Roman"/>
                <w:color w:val="auto"/>
              </w:rPr>
              <w:t>景点，</w:t>
            </w:r>
            <w:r>
              <w:rPr>
                <w:rFonts w:hint="eastAsia" w:eastAsia="宋体" w:cs="Times New Roman"/>
                <w:color w:val="auto"/>
                <w:kern w:val="0"/>
                <w:szCs w:val="24"/>
              </w:rPr>
              <w:t>禁止</w:t>
            </w:r>
            <w:r>
              <w:rPr>
                <w:rFonts w:hint="eastAsia" w:ascii="Times New Roman" w:hAnsi="Times New Roman" w:eastAsia="宋体" w:cs="Times New Roman"/>
                <w:color w:val="auto"/>
                <w:lang w:val="en-US" w:eastAsia="zh-CN"/>
              </w:rPr>
              <w:t>鸣笛。</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游客产生的社会生活类噪声，不稳定，喧哗噪声经距离衰减后可减少对周围环境的影响，景区内设禁止喧哗警示牌，可减小噪声对周边环境的影响。</w:t>
            </w:r>
          </w:p>
          <w:p>
            <w:pPr>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5固废污染防治措施</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（1）生活垃圾</w:t>
            </w:r>
          </w:p>
          <w:p>
            <w:pP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本项目区在各地块内设置垃圾分类收集桶，</w:t>
            </w:r>
            <w:r>
              <w:rPr>
                <w:rFonts w:hint="eastAsia" w:ascii="Times New Roman" w:hAnsi="Times New Roman" w:eastAsia="宋体" w:cs="Times New Roman"/>
                <w:color w:val="auto"/>
                <w:lang w:eastAsia="zh-CN"/>
              </w:rPr>
              <w:t>生活垃圾由景区环卫部门统一运至果赛景区垃圾收集站，再集中运送至</w:t>
            </w:r>
            <w:r>
              <w:rPr>
                <w:rFonts w:hint="eastAsia" w:cs="Times New Roman"/>
                <w:color w:val="auto"/>
                <w:lang w:eastAsia="zh-CN"/>
              </w:rPr>
              <w:t>霍尔果斯经济开发区清水河配套园区垃圾填埋场处理</w:t>
            </w:r>
            <w:r>
              <w:rPr>
                <w:rFonts w:hint="eastAsia" w:ascii="Times New Roman" w:hAnsi="Times New Roman" w:eastAsia="宋体" w:cs="Times New Roman"/>
                <w:color w:val="auto"/>
                <w:lang w:eastAsia="zh-CN"/>
              </w:rPr>
              <w:t>。</w:t>
            </w:r>
          </w:p>
          <w:p>
            <w:pP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项</w:t>
            </w:r>
            <w:r>
              <w:rPr>
                <w:rFonts w:hint="eastAsia" w:ascii="Times New Roman" w:hAnsi="Times New Roman" w:eastAsia="宋体" w:cs="Times New Roman"/>
                <w:color w:val="auto"/>
                <w:lang w:val="en-US" w:eastAsia="zh-CN"/>
              </w:rPr>
              <w:t>为防止垃圾收集点对周围环境产生较大的影响，应根据垃圾类型与数量，对垃圾收集点的位置、收集桶的数量进行合理设计，同时，对垃圾收集点地面进行硬化防渗，并进行定期消毒，杀灭蚊蝇，做到日产日清。另外，垃圾收集点周围可以设置绿化隔离带；在项目区进口向游客发放便携式垃圾袋，游客在景区内活动时随身携带垃圾袋，出口后将垃圾投入垃圾桶。在景区设置环保宣传标语，同时，景区内安排少量的管理监督人员，对游人的行为加以监督，并随时捡拾部分游客不文明行为丢弃的垃圾，以行动教育游客。</w:t>
            </w:r>
          </w:p>
          <w:p>
            <w:pPr>
              <w:numPr>
                <w:ilvl w:val="0"/>
                <w:numId w:val="0"/>
              </w:numPr>
              <w:bidi w:val="0"/>
              <w:ind w:left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（2）污水处理设备</w:t>
            </w:r>
            <w:r>
              <w:rPr>
                <w:rFonts w:hint="eastAsia" w:ascii="Times New Roman" w:hAnsi="Times New Roman" w:eastAsia="宋体" w:cs="Times New Roman"/>
                <w:color w:val="auto"/>
                <w:lang w:eastAsia="zh-CN"/>
              </w:rPr>
              <w:t>污泥</w:t>
            </w:r>
          </w:p>
          <w:p>
            <w:pPr>
              <w:rPr>
                <w:rFonts w:hint="eastAsia" w:ascii="Times New Roman" w:hAnsi="Times New Roman" w:eastAsia="宋体" w:cs="Times New Roman"/>
                <w:color w:val="auto"/>
                <w:lang w:val="en-US" w:eastAsia="zh-CN"/>
              </w:rPr>
            </w:pPr>
            <w:r>
              <w:rPr>
                <w:rFonts w:hint="eastAsia"/>
                <w:color w:val="auto"/>
                <w:lang w:val="en-US" w:eastAsia="zh-CN"/>
              </w:rPr>
              <w:t>本项目运营期间应定期清掏污水处</w:t>
            </w:r>
            <w:r>
              <w:rPr>
                <w:rFonts w:hint="eastAsia" w:ascii="Times New Roman" w:hAnsi="Times New Roman" w:eastAsia="宋体" w:cs="Times New Roman"/>
                <w:color w:val="auto"/>
                <w:lang w:val="en-US" w:eastAsia="zh-CN"/>
              </w:rPr>
              <w:t>理设备中的污泥，污泥含水率在降低至60%以下的前提下方可外送生活垃圾填埋场进行卫生填埋处置。为避免污泥落地、沿途散落以及恶臭气体污染大气造成二次污染，在设计与管理中应保证废物不落地，直接装入废物箱或装车外运，污物外运时采用封闭式自卸车。</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（3）废机油</w:t>
            </w:r>
          </w:p>
          <w:p>
            <w:pPr>
              <w:rPr>
                <w:rFonts w:hint="default"/>
                <w:color w:val="auto"/>
                <w:lang w:val="en-US" w:eastAsia="zh-CN"/>
              </w:rPr>
            </w:pPr>
            <w:r>
              <w:rPr>
                <w:rFonts w:hint="eastAsia" w:ascii="Times New Roman" w:hAnsi="Times New Roman" w:eastAsia="宋体" w:cs="Times New Roman"/>
                <w:color w:val="auto"/>
                <w:lang w:val="en-US" w:eastAsia="zh-CN"/>
              </w:rPr>
              <w:t>运营期间索道</w:t>
            </w:r>
            <w:r>
              <w:rPr>
                <w:rFonts w:hint="eastAsia" w:ascii="Times New Roman" w:hAnsi="Times New Roman" w:eastAsia="宋体" w:cs="Times New Roman"/>
                <w:color w:val="auto"/>
                <w:lang w:eastAsia="zh-CN"/>
              </w:rPr>
              <w:t>设备检修产生的废</w:t>
            </w:r>
            <w:r>
              <w:rPr>
                <w:rFonts w:hint="eastAsia"/>
                <w:color w:val="auto"/>
                <w:lang w:eastAsia="zh-CN"/>
              </w:rPr>
              <w:t>机油属危险废物，采用专用收集桶暂存于危险废物暂存间，定期交由有危险废物</w:t>
            </w:r>
            <w:r>
              <w:rPr>
                <w:rFonts w:hint="eastAsia" w:ascii="Times New Roman" w:hAnsi="Times New Roman" w:eastAsia="宋体" w:cs="Times New Roman"/>
                <w:color w:val="auto"/>
                <w:lang w:eastAsia="zh-CN"/>
              </w:rPr>
              <w:t>处理资质的单位处理。危废暂存间要</w:t>
            </w:r>
            <w:r>
              <w:rPr>
                <w:rFonts w:hint="eastAsia" w:ascii="Times New Roman" w:hAnsi="Times New Roman" w:eastAsia="宋体" w:cs="Times New Roman"/>
                <w:color w:val="auto"/>
                <w:lang w:val="en-US" w:eastAsia="zh-CN"/>
              </w:rPr>
              <w:t>符合</w:t>
            </w:r>
            <w:r>
              <w:rPr>
                <w:rFonts w:hint="eastAsia" w:ascii="Times New Roman" w:hAnsi="Times New Roman" w:eastAsia="宋体" w:cs="Times New Roman"/>
                <w:color w:val="auto"/>
                <w:lang w:eastAsia="zh-CN"/>
              </w:rPr>
              <w:t>《危险废物贮存污染控制标准》（GB18597-20</w:t>
            </w:r>
            <w:r>
              <w:rPr>
                <w:rFonts w:hint="eastAsia" w:ascii="Times New Roman" w:hAnsi="Times New Roman" w:eastAsia="宋体" w:cs="Times New Roman"/>
                <w:color w:val="auto"/>
                <w:lang w:val="en-US" w:eastAsia="zh-CN"/>
              </w:rPr>
              <w:t>23</w:t>
            </w:r>
            <w:r>
              <w:rPr>
                <w:rFonts w:hint="eastAsia" w:ascii="Times New Roman" w:hAnsi="Times New Roman" w:eastAsia="宋体" w:cs="Times New Roman"/>
                <w:color w:val="auto"/>
                <w:lang w:eastAsia="zh-CN"/>
              </w:rPr>
              <w:t>）要求，</w:t>
            </w:r>
            <w:r>
              <w:rPr>
                <w:rFonts w:hint="eastAsia" w:ascii="Times New Roman" w:hAnsi="Times New Roman" w:eastAsia="宋体" w:cs="Times New Roman"/>
                <w:color w:val="auto"/>
                <w:lang w:val="en-US" w:eastAsia="zh-CN"/>
              </w:rPr>
              <w:t>做到</w:t>
            </w:r>
            <w:r>
              <w:rPr>
                <w:rFonts w:hint="eastAsia" w:ascii="Times New Roman" w:hAnsi="Times New Roman" w:eastAsia="宋体" w:cs="Times New Roman"/>
                <w:color w:val="auto"/>
                <w:lang w:eastAsia="zh-CN"/>
              </w:rPr>
              <w:t>防风、防雨、防晒，应避开易燃、易爆危险品仓库、高压输电线路</w:t>
            </w:r>
            <w:r>
              <w:rPr>
                <w:rFonts w:hint="eastAsia"/>
                <w:color w:val="auto"/>
                <w:lang w:eastAsia="zh-CN"/>
              </w:rPr>
              <w:t>防护区域，基础必须防渗，防渗层为至少1m厚粘土层（渗透系数≤10</w:t>
            </w:r>
            <w:r>
              <w:rPr>
                <w:rFonts w:hint="eastAsia"/>
                <w:color w:val="auto"/>
                <w:vertAlign w:val="superscript"/>
                <w:lang w:eastAsia="zh-CN"/>
              </w:rPr>
              <w:t>-7</w:t>
            </w:r>
            <w:r>
              <w:rPr>
                <w:rFonts w:hint="eastAsia"/>
                <w:color w:val="auto"/>
                <w:lang w:eastAsia="zh-CN"/>
              </w:rPr>
              <w:t>cm/s），或2mm厚高密度聚乙烯，或至少2mm厚的其它人工材料，渗透系数≤10</w:t>
            </w:r>
            <w:r>
              <w:rPr>
                <w:rFonts w:hint="eastAsia" w:ascii="Times New Roman" w:hAnsi="Times New Roman" w:eastAsia="宋体" w:cs="Times New Roman"/>
                <w:color w:val="auto"/>
                <w:vertAlign w:val="superscript"/>
                <w:lang w:eastAsia="zh-CN"/>
              </w:rPr>
              <w:t>-10</w:t>
            </w:r>
            <w:r>
              <w:rPr>
                <w:rFonts w:hint="eastAsia"/>
                <w:color w:val="auto"/>
                <w:lang w:eastAsia="zh-CN"/>
              </w:rPr>
              <w:t>cm/s。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0" w:type="dxa"/>
            <w:noWrap w:val="0"/>
            <w:tcMar>
              <w:left w:w="28" w:type="dxa"/>
              <w:right w:w="28" w:type="dxa"/>
            </w:tcMar>
            <w:vAlign w:val="center"/>
          </w:tcPr>
          <w:p>
            <w:pPr>
              <w:pStyle w:val="17"/>
              <w:bidi w:val="0"/>
              <w:rPr>
                <w:rFonts w:hint="default"/>
                <w:color w:val="auto"/>
                <w:sz w:val="24"/>
                <w:szCs w:val="24"/>
              </w:rPr>
            </w:pPr>
            <w:r>
              <w:rPr>
                <w:rFonts w:hint="default"/>
                <w:color w:val="auto"/>
                <w:sz w:val="24"/>
                <w:szCs w:val="24"/>
              </w:rPr>
              <w:t>其他</w:t>
            </w:r>
          </w:p>
        </w:tc>
        <w:tc>
          <w:tcPr>
            <w:tcW w:w="8825" w:type="dxa"/>
            <w:noWrap w:val="0"/>
            <w:vAlign w:val="top"/>
          </w:tcPr>
          <w:p>
            <w:pPr>
              <w:pStyle w:val="4"/>
              <w:bidi w:val="0"/>
              <w:rPr>
                <w:rFonts w:hint="default"/>
                <w:color w:val="auto"/>
              </w:rPr>
            </w:pPr>
            <w:r>
              <w:rPr>
                <w:rFonts w:hint="default"/>
                <w:color w:val="auto"/>
              </w:rPr>
              <w:t>1.环境风险评价</w:t>
            </w:r>
          </w:p>
          <w:p>
            <w:pPr>
              <w:pStyle w:val="4"/>
              <w:bidi w:val="0"/>
              <w:rPr>
                <w:rFonts w:hint="default"/>
                <w:color w:val="auto"/>
              </w:rPr>
            </w:pPr>
            <w:r>
              <w:rPr>
                <w:rFonts w:hint="default"/>
                <w:color w:val="auto"/>
              </w:rPr>
              <w:t>1.1风险调查</w:t>
            </w:r>
          </w:p>
          <w:p>
            <w:pPr>
              <w:bidi w:val="0"/>
              <w:rPr>
                <w:rFonts w:hint="default"/>
                <w:color w:val="auto"/>
              </w:rPr>
            </w:pPr>
            <w:r>
              <w:rPr>
                <w:rFonts w:hint="default"/>
                <w:color w:val="auto"/>
              </w:rPr>
              <w:t>对照《建设项目环境风险评价技术导则》</w:t>
            </w:r>
            <w:r>
              <w:rPr>
                <w:rFonts w:hint="eastAsia"/>
                <w:color w:val="auto"/>
                <w:lang w:eastAsia="zh-CN"/>
              </w:rPr>
              <w:t>（</w:t>
            </w:r>
            <w:r>
              <w:rPr>
                <w:rFonts w:hint="default"/>
                <w:color w:val="auto"/>
              </w:rPr>
              <w:t>HJ169-2018</w:t>
            </w:r>
            <w:r>
              <w:rPr>
                <w:rFonts w:hint="eastAsia"/>
                <w:color w:val="auto"/>
                <w:lang w:eastAsia="zh-CN"/>
              </w:rPr>
              <w:t>）</w:t>
            </w:r>
            <w:r>
              <w:rPr>
                <w:rFonts w:hint="default"/>
                <w:color w:val="auto"/>
              </w:rPr>
              <w:t>附录B，本项目主要风险物质</w:t>
            </w:r>
            <w:r>
              <w:rPr>
                <w:rFonts w:hint="eastAsia"/>
                <w:color w:val="auto"/>
                <w:lang w:val="en-US" w:eastAsia="zh-CN"/>
              </w:rPr>
              <w:t>主要为</w:t>
            </w:r>
            <w:r>
              <w:rPr>
                <w:rFonts w:hint="default"/>
                <w:color w:val="auto"/>
              </w:rPr>
              <w:t>废机油，废机油采用专用收集桶收集存放，最大储量为0.</w:t>
            </w:r>
            <w:r>
              <w:rPr>
                <w:rFonts w:hint="eastAsia"/>
                <w:color w:val="auto"/>
                <w:lang w:val="en-US" w:eastAsia="zh-CN"/>
              </w:rPr>
              <w:t>2</w:t>
            </w:r>
            <w:r>
              <w:rPr>
                <w:rFonts w:hint="default"/>
                <w:color w:val="auto"/>
              </w:rPr>
              <w:t>t，临界量均为2500t。</w:t>
            </w:r>
          </w:p>
          <w:p>
            <w:pPr>
              <w:bidi w:val="0"/>
              <w:rPr>
                <w:rFonts w:hint="default"/>
                <w:color w:val="auto"/>
              </w:rPr>
            </w:pPr>
            <w:r>
              <w:rPr>
                <w:rFonts w:hint="eastAsia"/>
                <w:color w:val="auto"/>
                <w:lang w:val="en-US" w:eastAsia="zh-CN"/>
              </w:rPr>
              <w:t>根据</w:t>
            </w:r>
            <w:r>
              <w:rPr>
                <w:rFonts w:hint="default"/>
                <w:color w:val="auto"/>
              </w:rPr>
              <w:t>《建设项目环境风险评价技术导则》（HJ169-2018）附录B中对应的临界量</w:t>
            </w:r>
            <w:r>
              <w:rPr>
                <w:rFonts w:hint="eastAsia"/>
                <w:color w:val="auto"/>
                <w:lang w:eastAsia="zh-CN"/>
              </w:rPr>
              <w:t>，</w:t>
            </w:r>
            <w:r>
              <w:rPr>
                <w:rFonts w:hint="default"/>
                <w:color w:val="auto"/>
              </w:rPr>
              <w:t>按以下公式计算物质数量与其临界量比值（Q）：</w:t>
            </w:r>
          </w:p>
          <w:p>
            <w:pPr>
              <w:bidi w:val="0"/>
              <w:ind w:left="0" w:leftChars="0" w:firstLine="0" w:firstLineChars="0"/>
              <w:jc w:val="center"/>
              <w:rPr>
                <w:rFonts w:hint="default"/>
                <w:color w:val="auto"/>
              </w:rPr>
            </w:pPr>
            <w:r>
              <w:rPr>
                <w:rFonts w:hint="default"/>
                <w:color w:val="auto"/>
              </w:rPr>
              <w:drawing>
                <wp:inline distT="0" distB="0" distL="0" distR="0">
                  <wp:extent cx="1764665" cy="557530"/>
                  <wp:effectExtent l="0" t="0" r="6985" b="1397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1"/>
                          <a:stretch>
                            <a:fillRect/>
                          </a:stretch>
                        </pic:blipFill>
                        <pic:spPr>
                          <a:xfrm>
                            <a:off x="0" y="0"/>
                            <a:ext cx="1764791" cy="557784"/>
                          </a:xfrm>
                          <a:prstGeom prst="rect">
                            <a:avLst/>
                          </a:prstGeom>
                        </pic:spPr>
                      </pic:pic>
                    </a:graphicData>
                  </a:graphic>
                </wp:inline>
              </w:drawing>
            </w:r>
          </w:p>
          <w:p>
            <w:pPr>
              <w:bidi w:val="0"/>
              <w:rPr>
                <w:rFonts w:hint="default"/>
                <w:color w:val="auto"/>
              </w:rPr>
            </w:pPr>
            <w:r>
              <w:rPr>
                <w:rFonts w:hint="default"/>
                <w:color w:val="auto"/>
              </w:rPr>
              <w:t>式中：q</w:t>
            </w:r>
            <w:r>
              <w:rPr>
                <w:rFonts w:hint="default"/>
                <w:color w:val="auto"/>
                <w:vertAlign w:val="subscript"/>
              </w:rPr>
              <w:t>1</w:t>
            </w:r>
            <w:r>
              <w:rPr>
                <w:rFonts w:hint="default"/>
                <w:color w:val="auto"/>
              </w:rPr>
              <w:t>，q</w:t>
            </w:r>
            <w:r>
              <w:rPr>
                <w:rFonts w:hint="default"/>
                <w:color w:val="auto"/>
                <w:vertAlign w:val="subscript"/>
              </w:rPr>
              <w:t>2</w:t>
            </w:r>
            <w:r>
              <w:rPr>
                <w:rFonts w:hint="default"/>
                <w:color w:val="auto"/>
              </w:rPr>
              <w:t>，...，qn——每种环境风险物质的最大存在总量，t；Q</w:t>
            </w:r>
            <w:r>
              <w:rPr>
                <w:rFonts w:hint="default"/>
                <w:color w:val="auto"/>
                <w:vertAlign w:val="subscript"/>
              </w:rPr>
              <w:t>1</w:t>
            </w:r>
            <w:r>
              <w:rPr>
                <w:rFonts w:hint="default"/>
                <w:color w:val="auto"/>
              </w:rPr>
              <w:t>，Q</w:t>
            </w:r>
            <w:r>
              <w:rPr>
                <w:rFonts w:hint="default"/>
                <w:color w:val="auto"/>
                <w:vertAlign w:val="subscript"/>
              </w:rPr>
              <w:t>2</w:t>
            </w:r>
            <w:r>
              <w:rPr>
                <w:rFonts w:hint="default"/>
                <w:color w:val="auto"/>
              </w:rPr>
              <w:t>，...，Q</w:t>
            </w:r>
            <w:r>
              <w:rPr>
                <w:rFonts w:hint="default" w:ascii="Times New Roman" w:hAnsi="Times New Roman" w:eastAsia="宋体" w:cs="Times New Roman"/>
                <w:color w:val="auto"/>
                <w:vertAlign w:val="subscript"/>
              </w:rPr>
              <w:t>n</w:t>
            </w:r>
            <w:r>
              <w:rPr>
                <w:rFonts w:hint="default"/>
                <w:color w:val="auto"/>
              </w:rPr>
              <w:t>——每种环境风险物质的临界量，t。</w:t>
            </w:r>
          </w:p>
          <w:p>
            <w:pPr>
              <w:bidi w:val="0"/>
              <w:ind w:firstLine="960" w:firstLineChars="400"/>
              <w:rPr>
                <w:rFonts w:hint="default"/>
                <w:color w:val="auto"/>
              </w:rPr>
            </w:pPr>
            <w:r>
              <w:rPr>
                <w:rFonts w:hint="default"/>
                <w:color w:val="auto"/>
              </w:rPr>
              <w:t>当Q＜1时，企业直接评为一般环境风险等级，以Q表示。</w:t>
            </w:r>
          </w:p>
          <w:p>
            <w:pPr>
              <w:bidi w:val="0"/>
              <w:ind w:firstLine="960" w:firstLineChars="400"/>
              <w:rPr>
                <w:rFonts w:hint="default"/>
                <w:color w:val="auto"/>
              </w:rPr>
            </w:pPr>
            <w:r>
              <w:rPr>
                <w:rFonts w:hint="default"/>
                <w:color w:val="auto"/>
              </w:rPr>
              <w:t>当Q≥1时，将Q值划分为：1≤Q＜10；10≤Q＜100；Q≥100，分别以Q</w:t>
            </w:r>
            <w:r>
              <w:rPr>
                <w:rFonts w:hint="default"/>
                <w:color w:val="auto"/>
                <w:vertAlign w:val="subscript"/>
              </w:rPr>
              <w:t>1</w:t>
            </w:r>
            <w:r>
              <w:rPr>
                <w:rFonts w:hint="default"/>
                <w:color w:val="auto"/>
              </w:rPr>
              <w:t>、Q</w:t>
            </w:r>
            <w:r>
              <w:rPr>
                <w:rFonts w:hint="default"/>
                <w:color w:val="auto"/>
                <w:vertAlign w:val="subscript"/>
              </w:rPr>
              <w:t>2</w:t>
            </w:r>
            <w:r>
              <w:rPr>
                <w:rFonts w:hint="default"/>
                <w:color w:val="auto"/>
              </w:rPr>
              <w:t>和Q</w:t>
            </w:r>
            <w:r>
              <w:rPr>
                <w:rFonts w:hint="default" w:ascii="Times New Roman" w:hAnsi="Times New Roman" w:eastAsia="宋体" w:cs="Times New Roman"/>
                <w:color w:val="auto"/>
                <w:vertAlign w:val="subscript"/>
              </w:rPr>
              <w:t>3</w:t>
            </w:r>
            <w:r>
              <w:rPr>
                <w:rFonts w:hint="default"/>
                <w:color w:val="auto"/>
              </w:rPr>
              <w:t>表示。</w:t>
            </w:r>
          </w:p>
          <w:p>
            <w:pPr>
              <w:bidi w:val="0"/>
              <w:rPr>
                <w:rFonts w:hint="default"/>
                <w:color w:val="auto"/>
              </w:rPr>
            </w:pPr>
            <w:r>
              <w:rPr>
                <w:rFonts w:hint="default"/>
                <w:color w:val="auto"/>
              </w:rPr>
              <w:t>项目环境风险物质识别结果见下表。</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rPr>
            </w:pPr>
            <w:r>
              <w:rPr>
                <w:rFonts w:hint="default"/>
                <w:color w:val="auto"/>
                <w:sz w:val="24"/>
                <w:szCs w:val="24"/>
              </w:rPr>
              <w:t>表</w:t>
            </w:r>
            <w:r>
              <w:rPr>
                <w:rFonts w:hint="eastAsia"/>
                <w:color w:val="auto"/>
                <w:sz w:val="24"/>
                <w:szCs w:val="24"/>
                <w:lang w:val="en-US" w:eastAsia="zh-CN"/>
              </w:rPr>
              <w:t xml:space="preserve">1-1  </w:t>
            </w:r>
            <w:r>
              <w:rPr>
                <w:rFonts w:hint="default"/>
                <w:color w:val="auto"/>
                <w:sz w:val="24"/>
                <w:szCs w:val="24"/>
              </w:rPr>
              <w:t>环境风险物质识别</w:t>
            </w:r>
          </w:p>
          <w:tbl>
            <w:tblPr>
              <w:tblStyle w:val="13"/>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435"/>
              <w:gridCol w:w="1435"/>
              <w:gridCol w:w="1435"/>
              <w:gridCol w:w="1435"/>
              <w:gridCol w:w="14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31" w:type="pct"/>
                  <w:tcBorders>
                    <w:tl2br w:val="nil"/>
                    <w:tr2bl w:val="nil"/>
                  </w:tcBorders>
                  <w:vAlign w:val="center"/>
                </w:tcPr>
                <w:p>
                  <w:pPr>
                    <w:pStyle w:val="17"/>
                    <w:bidi w:val="0"/>
                    <w:jc w:val="center"/>
                    <w:rPr>
                      <w:rFonts w:hint="default"/>
                      <w:color w:val="auto"/>
                    </w:rPr>
                  </w:pPr>
                  <w:r>
                    <w:rPr>
                      <w:color w:val="auto"/>
                    </w:rPr>
                    <w:t>危险物质名称</w:t>
                  </w:r>
                </w:p>
              </w:tc>
              <w:tc>
                <w:tcPr>
                  <w:tcW w:w="833" w:type="pct"/>
                  <w:tcBorders>
                    <w:tl2br w:val="nil"/>
                    <w:tr2bl w:val="nil"/>
                  </w:tcBorders>
                  <w:vAlign w:val="center"/>
                </w:tcPr>
                <w:p>
                  <w:pPr>
                    <w:pStyle w:val="17"/>
                    <w:bidi w:val="0"/>
                    <w:jc w:val="center"/>
                    <w:rPr>
                      <w:rFonts w:hint="default"/>
                      <w:color w:val="auto"/>
                    </w:rPr>
                  </w:pPr>
                  <w:r>
                    <w:rPr>
                      <w:color w:val="auto"/>
                    </w:rPr>
                    <w:t>CAS号</w:t>
                  </w:r>
                </w:p>
              </w:tc>
              <w:tc>
                <w:tcPr>
                  <w:tcW w:w="833" w:type="pct"/>
                  <w:tcBorders>
                    <w:tl2br w:val="nil"/>
                    <w:tr2bl w:val="nil"/>
                  </w:tcBorders>
                  <w:vAlign w:val="center"/>
                </w:tcPr>
                <w:p>
                  <w:pPr>
                    <w:pStyle w:val="17"/>
                    <w:bidi w:val="0"/>
                    <w:jc w:val="center"/>
                    <w:rPr>
                      <w:rFonts w:hint="default"/>
                      <w:color w:val="auto"/>
                    </w:rPr>
                  </w:pPr>
                  <w:r>
                    <w:rPr>
                      <w:color w:val="auto"/>
                    </w:rPr>
                    <w:t>存储方式</w:t>
                  </w:r>
                </w:p>
              </w:tc>
              <w:tc>
                <w:tcPr>
                  <w:tcW w:w="833" w:type="pct"/>
                  <w:tcBorders>
                    <w:tl2br w:val="nil"/>
                    <w:tr2bl w:val="nil"/>
                  </w:tcBorders>
                  <w:vAlign w:val="center"/>
                </w:tcPr>
                <w:p>
                  <w:pPr>
                    <w:pStyle w:val="17"/>
                    <w:bidi w:val="0"/>
                    <w:jc w:val="center"/>
                    <w:rPr>
                      <w:rFonts w:hint="eastAsia" w:eastAsia="宋体"/>
                      <w:color w:val="auto"/>
                      <w:lang w:eastAsia="zh-CN"/>
                    </w:rPr>
                  </w:pPr>
                  <w:r>
                    <w:rPr>
                      <w:color w:val="auto"/>
                    </w:rPr>
                    <w:t>最大储量</w:t>
                  </w:r>
                  <w:r>
                    <w:rPr>
                      <w:rFonts w:hint="eastAsia"/>
                      <w:color w:val="auto"/>
                      <w:lang w:eastAsia="zh-CN"/>
                    </w:rPr>
                    <w:t>（</w:t>
                  </w:r>
                  <w:r>
                    <w:rPr>
                      <w:color w:val="auto"/>
                    </w:rPr>
                    <w:t>q</w:t>
                  </w:r>
                  <w:r>
                    <w:rPr>
                      <w:rFonts w:hint="eastAsia"/>
                      <w:color w:val="auto"/>
                      <w:lang w:eastAsia="zh-CN"/>
                    </w:rPr>
                    <w:t>）</w:t>
                  </w:r>
                </w:p>
              </w:tc>
              <w:tc>
                <w:tcPr>
                  <w:tcW w:w="833" w:type="pct"/>
                  <w:tcBorders>
                    <w:tl2br w:val="nil"/>
                    <w:tr2bl w:val="nil"/>
                  </w:tcBorders>
                  <w:vAlign w:val="center"/>
                </w:tcPr>
                <w:p>
                  <w:pPr>
                    <w:pStyle w:val="17"/>
                    <w:bidi w:val="0"/>
                    <w:jc w:val="center"/>
                    <w:rPr>
                      <w:rFonts w:hint="eastAsia" w:eastAsia="宋体"/>
                      <w:color w:val="auto"/>
                      <w:lang w:eastAsia="zh-CN"/>
                    </w:rPr>
                  </w:pPr>
                  <w:r>
                    <w:rPr>
                      <w:color w:val="auto"/>
                    </w:rPr>
                    <w:t>临界量</w:t>
                  </w:r>
                  <w:r>
                    <w:rPr>
                      <w:rFonts w:hint="eastAsia"/>
                      <w:color w:val="auto"/>
                      <w:lang w:eastAsia="zh-CN"/>
                    </w:rPr>
                    <w:t>（</w:t>
                  </w:r>
                  <w:r>
                    <w:rPr>
                      <w:color w:val="auto"/>
                    </w:rPr>
                    <w:t>Q</w:t>
                  </w:r>
                  <w:r>
                    <w:rPr>
                      <w:rFonts w:hint="eastAsia"/>
                      <w:color w:val="auto"/>
                      <w:lang w:eastAsia="zh-CN"/>
                    </w:rPr>
                    <w:t>）</w:t>
                  </w:r>
                </w:p>
              </w:tc>
              <w:tc>
                <w:tcPr>
                  <w:tcW w:w="833" w:type="pct"/>
                  <w:tcBorders>
                    <w:tl2br w:val="nil"/>
                    <w:tr2bl w:val="nil"/>
                  </w:tcBorders>
                  <w:vAlign w:val="center"/>
                </w:tcPr>
                <w:p>
                  <w:pPr>
                    <w:pStyle w:val="17"/>
                    <w:bidi w:val="0"/>
                    <w:jc w:val="center"/>
                    <w:rPr>
                      <w:rFonts w:hint="eastAsia" w:eastAsia="宋体"/>
                      <w:color w:val="auto"/>
                      <w:lang w:eastAsia="zh-CN"/>
                    </w:rPr>
                  </w:pPr>
                  <w:r>
                    <w:rPr>
                      <w:color w:val="auto"/>
                    </w:rPr>
                    <w:t>Q</w:t>
                  </w:r>
                  <w:r>
                    <w:rPr>
                      <w:rFonts w:hint="eastAsia"/>
                      <w:color w:val="auto"/>
                      <w:lang w:eastAsia="zh-CN"/>
                    </w:rPr>
                    <w:t>（</w:t>
                  </w:r>
                  <w:r>
                    <w:rPr>
                      <w:color w:val="auto"/>
                    </w:rPr>
                    <w:t>qi/Qi</w:t>
                  </w:r>
                  <w:r>
                    <w:rPr>
                      <w:rFonts w:hint="eastAsia"/>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31" w:type="pct"/>
                  <w:tcBorders>
                    <w:tl2br w:val="nil"/>
                    <w:tr2bl w:val="nil"/>
                  </w:tcBorders>
                  <w:vAlign w:val="center"/>
                </w:tcPr>
                <w:p>
                  <w:pPr>
                    <w:pStyle w:val="17"/>
                    <w:bidi w:val="0"/>
                    <w:jc w:val="center"/>
                    <w:rPr>
                      <w:rFonts w:hint="default"/>
                      <w:color w:val="auto"/>
                    </w:rPr>
                  </w:pPr>
                  <w:r>
                    <w:rPr>
                      <w:color w:val="auto"/>
                    </w:rPr>
                    <w:t>废机油</w:t>
                  </w:r>
                </w:p>
              </w:tc>
              <w:tc>
                <w:tcPr>
                  <w:tcW w:w="833" w:type="pct"/>
                  <w:tcBorders>
                    <w:tl2br w:val="nil"/>
                    <w:tr2bl w:val="nil"/>
                  </w:tcBorders>
                  <w:vAlign w:val="center"/>
                </w:tcPr>
                <w:p>
                  <w:pPr>
                    <w:pStyle w:val="17"/>
                    <w:bidi w:val="0"/>
                    <w:jc w:val="center"/>
                    <w:rPr>
                      <w:rFonts w:hint="default"/>
                      <w:color w:val="auto"/>
                    </w:rPr>
                  </w:pPr>
                  <w:r>
                    <w:rPr>
                      <w:color w:val="auto"/>
                    </w:rPr>
                    <w:t>/</w:t>
                  </w:r>
                </w:p>
              </w:tc>
              <w:tc>
                <w:tcPr>
                  <w:tcW w:w="833" w:type="pct"/>
                  <w:tcBorders>
                    <w:tl2br w:val="nil"/>
                    <w:tr2bl w:val="nil"/>
                  </w:tcBorders>
                  <w:vAlign w:val="center"/>
                </w:tcPr>
                <w:p>
                  <w:pPr>
                    <w:pStyle w:val="17"/>
                    <w:bidi w:val="0"/>
                    <w:jc w:val="center"/>
                    <w:rPr>
                      <w:rFonts w:hint="default"/>
                      <w:color w:val="auto"/>
                    </w:rPr>
                  </w:pPr>
                  <w:r>
                    <w:rPr>
                      <w:color w:val="auto"/>
                    </w:rPr>
                    <w:t>桶装</w:t>
                  </w:r>
                </w:p>
              </w:tc>
              <w:tc>
                <w:tcPr>
                  <w:tcW w:w="833" w:type="pct"/>
                  <w:tcBorders>
                    <w:tl2br w:val="nil"/>
                    <w:tr2bl w:val="nil"/>
                  </w:tcBorders>
                  <w:vAlign w:val="center"/>
                </w:tcPr>
                <w:p>
                  <w:pPr>
                    <w:pStyle w:val="17"/>
                    <w:bidi w:val="0"/>
                    <w:jc w:val="center"/>
                    <w:rPr>
                      <w:rFonts w:hint="default"/>
                      <w:color w:val="auto"/>
                    </w:rPr>
                  </w:pPr>
                  <w:r>
                    <w:rPr>
                      <w:color w:val="auto"/>
                    </w:rPr>
                    <w:t>0.</w:t>
                  </w:r>
                  <w:r>
                    <w:rPr>
                      <w:rFonts w:hint="eastAsia"/>
                      <w:color w:val="auto"/>
                      <w:lang w:val="en-US" w:eastAsia="zh-CN"/>
                    </w:rPr>
                    <w:t>2</w:t>
                  </w:r>
                  <w:r>
                    <w:rPr>
                      <w:color w:val="auto"/>
                    </w:rPr>
                    <w:t>t</w:t>
                  </w:r>
                </w:p>
              </w:tc>
              <w:tc>
                <w:tcPr>
                  <w:tcW w:w="833" w:type="pct"/>
                  <w:tcBorders>
                    <w:tl2br w:val="nil"/>
                    <w:tr2bl w:val="nil"/>
                  </w:tcBorders>
                  <w:vAlign w:val="center"/>
                </w:tcPr>
                <w:p>
                  <w:pPr>
                    <w:pStyle w:val="17"/>
                    <w:bidi w:val="0"/>
                    <w:jc w:val="center"/>
                    <w:rPr>
                      <w:rFonts w:hint="default"/>
                      <w:color w:val="auto"/>
                    </w:rPr>
                  </w:pPr>
                  <w:r>
                    <w:rPr>
                      <w:color w:val="auto"/>
                    </w:rPr>
                    <w:t>2500t</w:t>
                  </w:r>
                </w:p>
              </w:tc>
              <w:tc>
                <w:tcPr>
                  <w:tcW w:w="833" w:type="pct"/>
                  <w:tcBorders>
                    <w:tl2br w:val="nil"/>
                    <w:tr2bl w:val="nil"/>
                  </w:tcBorders>
                  <w:vAlign w:val="center"/>
                </w:tcPr>
                <w:p>
                  <w:pPr>
                    <w:pStyle w:val="17"/>
                    <w:bidi w:val="0"/>
                    <w:jc w:val="center"/>
                    <w:rPr>
                      <w:rFonts w:hint="default" w:eastAsia="宋体"/>
                      <w:color w:val="auto"/>
                      <w:lang w:val="en-US" w:eastAsia="zh-CN"/>
                    </w:rPr>
                  </w:pPr>
                  <w:r>
                    <w:rPr>
                      <w:rFonts w:hint="default" w:ascii="Times New Roman" w:hAnsi="Times New Roman" w:cs="Times New Roman"/>
                      <w:color w:val="auto"/>
                      <w:lang w:val="en-US" w:eastAsia="zh-CN"/>
                    </w:rPr>
                    <w:t>0.8×10</w:t>
                  </w:r>
                  <w:r>
                    <w:rPr>
                      <w:rFonts w:hint="default" w:ascii="Times New Roman" w:hAnsi="Times New Roman" w:cs="Times New Roman"/>
                      <w:color w:val="auto"/>
                      <w:vertAlign w:val="superscript"/>
                      <w:lang w:val="en-US" w:eastAsia="zh-CN"/>
                    </w:rPr>
                    <w:t>-</w:t>
                  </w:r>
                  <w:r>
                    <w:rPr>
                      <w:rFonts w:hint="eastAsia" w:ascii="Times New Roman" w:hAnsi="Times New Roman" w:cs="Times New Roman"/>
                      <w:color w:val="auto"/>
                      <w:vertAlign w:val="superscript"/>
                      <w:lang w:val="en-US" w:eastAsia="zh-CN"/>
                    </w:rPr>
                    <w:t>4</w:t>
                  </w:r>
                </w:p>
              </w:tc>
            </w:tr>
          </w:tbl>
          <w:p>
            <w:pPr>
              <w:bidi w:val="0"/>
              <w:rPr>
                <w:rFonts w:hint="default" w:ascii="Times New Roman" w:hAnsi="Times New Roman" w:eastAsia="宋体" w:cs="Times New Roman"/>
                <w:color w:val="auto"/>
                <w:lang w:val="en-US" w:eastAsia="zh-CN"/>
              </w:rPr>
            </w:pPr>
            <w:r>
              <w:rPr>
                <w:rFonts w:hint="eastAsia"/>
                <w:color w:val="auto"/>
                <w:lang w:val="en-US" w:eastAsia="zh-CN"/>
              </w:rPr>
              <w:t>根</w:t>
            </w:r>
            <w:r>
              <w:rPr>
                <w:rFonts w:hint="eastAsia" w:ascii="Times New Roman" w:hAnsi="Times New Roman" w:eastAsia="宋体" w:cs="Times New Roman"/>
                <w:color w:val="auto"/>
                <w:lang w:val="en-US" w:eastAsia="zh-CN"/>
              </w:rPr>
              <w:t>据上表</w:t>
            </w:r>
            <w:r>
              <w:rPr>
                <w:rFonts w:hint="default" w:ascii="Times New Roman" w:hAnsi="Times New Roman" w:eastAsia="宋体" w:cs="Times New Roman"/>
                <w:color w:val="auto"/>
                <w:lang w:val="en-US" w:eastAsia="zh-CN"/>
              </w:rPr>
              <w:t>计算可知，本项目Q=0.8×10-</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＜1，确定本项目环境风险评价工作等级为简单分析。</w:t>
            </w:r>
          </w:p>
          <w:p>
            <w:pPr>
              <w:bidi w:val="0"/>
              <w:ind w:left="0" w:leftChars="0" w:firstLine="0" w:firstLineChars="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1.2环境风险识别</w:t>
            </w:r>
          </w:p>
          <w:p>
            <w:pPr>
              <w:bidi w:val="0"/>
              <w:ind w:left="0" w:leftChars="0" w:firstLine="0" w:firstLineChars="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1.2.1物质危险性识别</w:t>
            </w:r>
          </w:p>
          <w:p>
            <w:pPr>
              <w:bidi w:val="0"/>
              <w:rPr>
                <w:rFonts w:hint="default"/>
                <w:color w:val="auto"/>
              </w:rPr>
            </w:pPr>
            <w:r>
              <w:rPr>
                <w:rFonts w:hint="default" w:ascii="Times New Roman" w:hAnsi="Times New Roman" w:eastAsia="宋体" w:cs="Times New Roman"/>
                <w:color w:val="auto"/>
                <w:lang w:val="en-US" w:eastAsia="zh-CN"/>
              </w:rPr>
              <w:t>根据《建设项目环</w:t>
            </w:r>
            <w:r>
              <w:rPr>
                <w:rFonts w:hint="default"/>
                <w:color w:val="auto"/>
              </w:rPr>
              <w:t>境风险评价技术导则》</w:t>
            </w:r>
            <w:r>
              <w:rPr>
                <w:rFonts w:hint="eastAsia"/>
                <w:color w:val="auto"/>
                <w:lang w:eastAsia="zh-CN"/>
              </w:rPr>
              <w:t>（</w:t>
            </w:r>
            <w:r>
              <w:rPr>
                <w:rFonts w:hint="default"/>
                <w:color w:val="auto"/>
              </w:rPr>
              <w:t>HJ169-2018</w:t>
            </w:r>
            <w:r>
              <w:rPr>
                <w:rFonts w:hint="eastAsia"/>
                <w:color w:val="auto"/>
                <w:lang w:eastAsia="zh-CN"/>
              </w:rPr>
              <w:t>）</w:t>
            </w:r>
            <w:r>
              <w:rPr>
                <w:rFonts w:hint="default"/>
                <w:color w:val="auto"/>
              </w:rPr>
              <w:t>及《企业突发环境事件风险分级方法》（HJ941-2018），物质危险性识别，包括主要原辅材料、燃料、中间产品、副产品、最终产品、污染物、火灾和爆炸伴生/次生物等。经分析，本项目生产过程中涉及的危险物质主要为废机油，其物化性质和危险特性见表</w:t>
            </w:r>
            <w:r>
              <w:rPr>
                <w:rFonts w:hint="eastAsia"/>
                <w:color w:val="auto"/>
                <w:lang w:val="en-US" w:eastAsia="zh-CN"/>
              </w:rPr>
              <w:t>1-2</w:t>
            </w:r>
            <w:r>
              <w:rPr>
                <w:rFonts w:hint="default"/>
                <w:color w:val="auto"/>
              </w:rPr>
              <w:t>。</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w:t>
            </w:r>
            <w:r>
              <w:rPr>
                <w:rFonts w:hint="eastAsia" w:ascii="Times New Roman" w:hAnsi="Times New Roman" w:cs="Times New Roman"/>
                <w:color w:val="auto"/>
                <w:sz w:val="24"/>
                <w:szCs w:val="24"/>
                <w:lang w:val="en-US" w:eastAsia="zh-CN"/>
              </w:rPr>
              <w:t xml:space="preserve">1-2  </w:t>
            </w:r>
            <w:r>
              <w:rPr>
                <w:rFonts w:hint="default" w:ascii="Times New Roman" w:hAnsi="Times New Roman" w:cs="Times New Roman"/>
                <w:color w:val="auto"/>
                <w:sz w:val="24"/>
                <w:szCs w:val="24"/>
              </w:rPr>
              <w:t>机油的理化特性及危险特性表</w:t>
            </w:r>
          </w:p>
          <w:tbl>
            <w:tblPr>
              <w:tblStyle w:val="1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2210"/>
              <w:gridCol w:w="515"/>
              <w:gridCol w:w="2039"/>
              <w:gridCol w:w="212"/>
              <w:gridCol w:w="25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tcBorders>
                    <w:tl2br w:val="nil"/>
                    <w:tr2bl w:val="nil"/>
                  </w:tcBorders>
                  <w:vAlign w:val="center"/>
                </w:tcPr>
                <w:p>
                  <w:pPr>
                    <w:pStyle w:val="17"/>
                    <w:bidi w:val="0"/>
                    <w:jc w:val="center"/>
                    <w:rPr>
                      <w:rFonts w:hint="default"/>
                      <w:color w:val="auto"/>
                    </w:rPr>
                  </w:pPr>
                  <w:r>
                    <w:rPr>
                      <w:color w:val="auto"/>
                    </w:rPr>
                    <w:t>标识</w:t>
                  </w:r>
                </w:p>
              </w:tc>
              <w:tc>
                <w:tcPr>
                  <w:tcW w:w="2889" w:type="pct"/>
                  <w:gridSpan w:val="4"/>
                  <w:tcBorders>
                    <w:tl2br w:val="nil"/>
                    <w:tr2bl w:val="nil"/>
                  </w:tcBorders>
                  <w:vAlign w:val="center"/>
                </w:tcPr>
                <w:p>
                  <w:pPr>
                    <w:pStyle w:val="17"/>
                    <w:bidi w:val="0"/>
                    <w:jc w:val="center"/>
                    <w:rPr>
                      <w:rFonts w:hint="default"/>
                      <w:color w:val="auto"/>
                    </w:rPr>
                  </w:pPr>
                  <w:r>
                    <w:rPr>
                      <w:color w:val="auto"/>
                    </w:rPr>
                    <w:t>中文名：机油</w:t>
                  </w:r>
                </w:p>
              </w:tc>
              <w:tc>
                <w:tcPr>
                  <w:tcW w:w="1505" w:type="pct"/>
                  <w:tcBorders>
                    <w:tl2br w:val="nil"/>
                    <w:tr2bl w:val="nil"/>
                  </w:tcBorders>
                  <w:vAlign w:val="center"/>
                </w:tcPr>
                <w:p>
                  <w:pPr>
                    <w:pStyle w:val="17"/>
                    <w:bidi w:val="0"/>
                    <w:jc w:val="center"/>
                    <w:rPr>
                      <w:rFonts w:hint="default"/>
                      <w:color w:val="auto"/>
                    </w:rPr>
                  </w:pPr>
                  <w:r>
                    <w:rPr>
                      <w:color w:val="auto"/>
                    </w:rPr>
                    <w:t>英文名：lubricating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vMerge w:val="restart"/>
                  <w:tcBorders>
                    <w:tl2br w:val="nil"/>
                    <w:tr2bl w:val="nil"/>
                  </w:tcBorders>
                  <w:vAlign w:val="center"/>
                </w:tcPr>
                <w:p>
                  <w:pPr>
                    <w:pStyle w:val="17"/>
                    <w:bidi w:val="0"/>
                    <w:jc w:val="center"/>
                    <w:rPr>
                      <w:color w:val="auto"/>
                    </w:rPr>
                  </w:pPr>
                  <w:r>
                    <w:rPr>
                      <w:color w:val="auto"/>
                    </w:rPr>
                    <w:t>理化</w:t>
                  </w:r>
                </w:p>
                <w:p>
                  <w:pPr>
                    <w:pStyle w:val="17"/>
                    <w:bidi w:val="0"/>
                    <w:jc w:val="center"/>
                    <w:rPr>
                      <w:rFonts w:hint="default"/>
                      <w:color w:val="auto"/>
                    </w:rPr>
                  </w:pPr>
                  <w:r>
                    <w:rPr>
                      <w:color w:val="auto"/>
                    </w:rPr>
                    <w:t>性质</w:t>
                  </w:r>
                </w:p>
              </w:tc>
              <w:tc>
                <w:tcPr>
                  <w:tcW w:w="4395" w:type="pct"/>
                  <w:gridSpan w:val="5"/>
                  <w:tcBorders>
                    <w:tl2br w:val="nil"/>
                    <w:tr2bl w:val="nil"/>
                  </w:tcBorders>
                  <w:vAlign w:val="center"/>
                </w:tcPr>
                <w:p>
                  <w:pPr>
                    <w:pStyle w:val="17"/>
                    <w:bidi w:val="0"/>
                    <w:jc w:val="center"/>
                    <w:rPr>
                      <w:rFonts w:hint="default"/>
                      <w:color w:val="auto"/>
                    </w:rPr>
                  </w:pPr>
                  <w:r>
                    <w:rPr>
                      <w:color w:val="auto"/>
                    </w:rPr>
                    <w:t>性状：淡黄色粘稠液体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vMerge w:val="continue"/>
                  <w:tcBorders>
                    <w:tl2br w:val="nil"/>
                    <w:tr2bl w:val="nil"/>
                  </w:tcBorders>
                  <w:vAlign w:val="center"/>
                </w:tcPr>
                <w:p>
                  <w:pPr>
                    <w:pStyle w:val="17"/>
                    <w:bidi w:val="0"/>
                    <w:jc w:val="center"/>
                    <w:rPr>
                      <w:rFonts w:hint="default"/>
                      <w:color w:val="auto"/>
                    </w:rPr>
                  </w:pPr>
                </w:p>
              </w:tc>
              <w:tc>
                <w:tcPr>
                  <w:tcW w:w="4395" w:type="pct"/>
                  <w:gridSpan w:val="5"/>
                  <w:tcBorders>
                    <w:tl2br w:val="nil"/>
                    <w:tr2bl w:val="nil"/>
                  </w:tcBorders>
                  <w:vAlign w:val="center"/>
                </w:tcPr>
                <w:p>
                  <w:pPr>
                    <w:pStyle w:val="17"/>
                    <w:bidi w:val="0"/>
                    <w:jc w:val="center"/>
                    <w:rPr>
                      <w:rFonts w:hint="default"/>
                      <w:color w:val="auto"/>
                    </w:rPr>
                  </w:pPr>
                  <w:r>
                    <w:rPr>
                      <w:color w:val="auto"/>
                    </w:rPr>
                    <w:t>溶解性：溶于苯，乙醇、乙醚、氯仿、丙酮等多数有机溶剂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vMerge w:val="continue"/>
                  <w:tcBorders>
                    <w:tl2br w:val="nil"/>
                    <w:tr2bl w:val="nil"/>
                  </w:tcBorders>
                  <w:vAlign w:val="center"/>
                </w:tcPr>
                <w:p>
                  <w:pPr>
                    <w:pStyle w:val="17"/>
                    <w:bidi w:val="0"/>
                    <w:jc w:val="center"/>
                    <w:rPr>
                      <w:rFonts w:hint="default"/>
                      <w:color w:val="auto"/>
                    </w:rPr>
                  </w:pPr>
                </w:p>
              </w:tc>
              <w:tc>
                <w:tcPr>
                  <w:tcW w:w="1283" w:type="pct"/>
                  <w:tcBorders>
                    <w:tl2br w:val="nil"/>
                    <w:tr2bl w:val="nil"/>
                  </w:tcBorders>
                  <w:vAlign w:val="center"/>
                </w:tcPr>
                <w:p>
                  <w:pPr>
                    <w:pStyle w:val="17"/>
                    <w:bidi w:val="0"/>
                    <w:jc w:val="center"/>
                    <w:rPr>
                      <w:rFonts w:hint="default"/>
                      <w:color w:val="auto"/>
                    </w:rPr>
                  </w:pPr>
                  <w:r>
                    <w:rPr>
                      <w:color w:val="auto"/>
                    </w:rPr>
                    <w:t>熔点</w:t>
                  </w:r>
                  <w:r>
                    <w:rPr>
                      <w:rFonts w:hint="eastAsia"/>
                      <w:color w:val="auto"/>
                      <w:lang w:eastAsia="zh-CN"/>
                    </w:rPr>
                    <w:t>（</w:t>
                  </w:r>
                  <w:r>
                    <w:rPr>
                      <w:color w:val="auto"/>
                    </w:rPr>
                    <w:t>℃</w:t>
                  </w:r>
                  <w:r>
                    <w:rPr>
                      <w:rFonts w:hint="eastAsia"/>
                      <w:color w:val="auto"/>
                      <w:lang w:eastAsia="zh-CN"/>
                    </w:rPr>
                    <w:t>）</w:t>
                  </w:r>
                  <w:r>
                    <w:rPr>
                      <w:color w:val="auto"/>
                    </w:rPr>
                    <w:t>：/</w:t>
                  </w:r>
                </w:p>
              </w:tc>
              <w:tc>
                <w:tcPr>
                  <w:tcW w:w="1483" w:type="pct"/>
                  <w:gridSpan w:val="2"/>
                  <w:tcBorders>
                    <w:tl2br w:val="nil"/>
                    <w:tr2bl w:val="nil"/>
                  </w:tcBorders>
                  <w:vAlign w:val="center"/>
                </w:tcPr>
                <w:p>
                  <w:pPr>
                    <w:pStyle w:val="17"/>
                    <w:bidi w:val="0"/>
                    <w:jc w:val="center"/>
                    <w:rPr>
                      <w:rFonts w:hint="default"/>
                      <w:color w:val="auto"/>
                    </w:rPr>
                  </w:pPr>
                  <w:r>
                    <w:rPr>
                      <w:color w:val="auto"/>
                    </w:rPr>
                    <w:t>沸点</w:t>
                  </w:r>
                  <w:r>
                    <w:rPr>
                      <w:rFonts w:hint="eastAsia"/>
                      <w:color w:val="auto"/>
                      <w:lang w:eastAsia="zh-CN"/>
                    </w:rPr>
                    <w:t>（</w:t>
                  </w:r>
                  <w:r>
                    <w:rPr>
                      <w:color w:val="auto"/>
                    </w:rPr>
                    <w:t>℃</w:t>
                  </w:r>
                  <w:r>
                    <w:rPr>
                      <w:rFonts w:hint="eastAsia"/>
                      <w:color w:val="auto"/>
                      <w:lang w:eastAsia="zh-CN"/>
                    </w:rPr>
                    <w:t>）</w:t>
                  </w:r>
                  <w:r>
                    <w:rPr>
                      <w:color w:val="auto"/>
                    </w:rPr>
                    <w:t>:-161.5</w:t>
                  </w:r>
                </w:p>
              </w:tc>
              <w:tc>
                <w:tcPr>
                  <w:tcW w:w="1628" w:type="pct"/>
                  <w:gridSpan w:val="2"/>
                  <w:tcBorders>
                    <w:tl2br w:val="nil"/>
                    <w:tr2bl w:val="nil"/>
                  </w:tcBorders>
                  <w:vAlign w:val="center"/>
                </w:tcPr>
                <w:p>
                  <w:pPr>
                    <w:pStyle w:val="17"/>
                    <w:bidi w:val="0"/>
                    <w:jc w:val="center"/>
                    <w:rPr>
                      <w:rFonts w:hint="default"/>
                      <w:color w:val="auto"/>
                    </w:rPr>
                  </w:pPr>
                  <w:r>
                    <w:rPr>
                      <w:color w:val="auto"/>
                    </w:rPr>
                    <w:t>相对密度（水=1）：934.8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vMerge w:val="continue"/>
                  <w:tcBorders>
                    <w:tl2br w:val="nil"/>
                    <w:tr2bl w:val="nil"/>
                  </w:tcBorders>
                  <w:vAlign w:val="center"/>
                </w:tcPr>
                <w:p>
                  <w:pPr>
                    <w:pStyle w:val="17"/>
                    <w:bidi w:val="0"/>
                    <w:jc w:val="center"/>
                    <w:rPr>
                      <w:rFonts w:hint="default"/>
                      <w:color w:val="auto"/>
                    </w:rPr>
                  </w:pPr>
                </w:p>
              </w:tc>
              <w:tc>
                <w:tcPr>
                  <w:tcW w:w="1283" w:type="pct"/>
                  <w:tcBorders>
                    <w:tl2br w:val="nil"/>
                    <w:tr2bl w:val="nil"/>
                  </w:tcBorders>
                  <w:vAlign w:val="center"/>
                </w:tcPr>
                <w:p>
                  <w:pPr>
                    <w:pStyle w:val="17"/>
                    <w:bidi w:val="0"/>
                    <w:jc w:val="center"/>
                    <w:rPr>
                      <w:rFonts w:hint="default"/>
                      <w:color w:val="auto"/>
                    </w:rPr>
                  </w:pPr>
                  <w:r>
                    <w:rPr>
                      <w:color w:val="auto"/>
                    </w:rPr>
                    <w:t>相对密度</w:t>
                  </w:r>
                  <w:r>
                    <w:rPr>
                      <w:rFonts w:hint="eastAsia"/>
                      <w:color w:val="auto"/>
                      <w:lang w:eastAsia="zh-CN"/>
                    </w:rPr>
                    <w:t>（</w:t>
                  </w:r>
                  <w:r>
                    <w:rPr>
                      <w:color w:val="auto"/>
                    </w:rPr>
                    <w:t>空气-1</w:t>
                  </w:r>
                  <w:r>
                    <w:rPr>
                      <w:rFonts w:hint="eastAsia"/>
                      <w:color w:val="auto"/>
                      <w:lang w:eastAsia="zh-CN"/>
                    </w:rPr>
                    <w:t>）</w:t>
                  </w:r>
                  <w:r>
                    <w:rPr>
                      <w:color w:val="auto"/>
                    </w:rPr>
                    <w:t>：0.85</w:t>
                  </w:r>
                </w:p>
              </w:tc>
              <w:tc>
                <w:tcPr>
                  <w:tcW w:w="1483" w:type="pct"/>
                  <w:gridSpan w:val="2"/>
                  <w:tcBorders>
                    <w:tl2br w:val="nil"/>
                    <w:tr2bl w:val="nil"/>
                  </w:tcBorders>
                  <w:vAlign w:val="center"/>
                </w:tcPr>
                <w:p>
                  <w:pPr>
                    <w:pStyle w:val="17"/>
                    <w:bidi w:val="0"/>
                    <w:jc w:val="center"/>
                    <w:rPr>
                      <w:rFonts w:hint="default"/>
                      <w:color w:val="auto"/>
                    </w:rPr>
                  </w:pPr>
                  <w:r>
                    <w:rPr>
                      <w:color w:val="auto"/>
                    </w:rPr>
                    <w:t>饱和蒸汽压（KPa）：0.13</w:t>
                  </w:r>
                </w:p>
              </w:tc>
              <w:tc>
                <w:tcPr>
                  <w:tcW w:w="1628" w:type="pct"/>
                  <w:gridSpan w:val="2"/>
                  <w:tcBorders>
                    <w:tl2br w:val="nil"/>
                    <w:tr2bl w:val="nil"/>
                  </w:tcBorders>
                  <w:vAlign w:val="center"/>
                </w:tcPr>
                <w:p>
                  <w:pPr>
                    <w:pStyle w:val="17"/>
                    <w:bidi w:val="0"/>
                    <w:jc w:val="center"/>
                    <w:rPr>
                      <w:rFonts w:hint="default"/>
                      <w:color w:val="auto"/>
                    </w:rPr>
                  </w:pPr>
                  <w:r>
                    <w:rPr>
                      <w:color w:val="auto"/>
                    </w:rPr>
                    <w:t>临界温度</w:t>
                  </w:r>
                  <w:r>
                    <w:rPr>
                      <w:rFonts w:hint="eastAsia"/>
                      <w:color w:val="auto"/>
                      <w:lang w:eastAsia="zh-CN"/>
                    </w:rPr>
                    <w:t>（</w:t>
                  </w:r>
                  <w:r>
                    <w:rPr>
                      <w:color w:val="auto"/>
                    </w:rPr>
                    <w:t>℃</w:t>
                  </w:r>
                  <w:r>
                    <w:rPr>
                      <w:rFonts w:hint="eastAsia"/>
                      <w:color w:val="auto"/>
                      <w:lang w:eastAsia="zh-CN"/>
                    </w:rPr>
                    <w:t>）</w:t>
                  </w:r>
                  <w:r>
                    <w:rPr>
                      <w:color w:val="auto"/>
                    </w:rPr>
                    <w:t>：-82.6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vMerge w:val="restart"/>
                  <w:tcBorders>
                    <w:tl2br w:val="nil"/>
                    <w:tr2bl w:val="nil"/>
                  </w:tcBorders>
                  <w:vAlign w:val="center"/>
                </w:tcPr>
                <w:p>
                  <w:pPr>
                    <w:pStyle w:val="17"/>
                    <w:bidi w:val="0"/>
                    <w:jc w:val="center"/>
                    <w:rPr>
                      <w:rFonts w:hint="default"/>
                      <w:color w:val="auto"/>
                    </w:rPr>
                  </w:pPr>
                  <w:r>
                    <w:rPr>
                      <w:color w:val="auto"/>
                    </w:rPr>
                    <w:t>燃烧爆炸危险性</w:t>
                  </w:r>
                </w:p>
              </w:tc>
              <w:tc>
                <w:tcPr>
                  <w:tcW w:w="1582" w:type="pct"/>
                  <w:gridSpan w:val="2"/>
                  <w:tcBorders>
                    <w:tl2br w:val="nil"/>
                    <w:tr2bl w:val="nil"/>
                  </w:tcBorders>
                  <w:vAlign w:val="center"/>
                </w:tcPr>
                <w:p>
                  <w:pPr>
                    <w:pStyle w:val="17"/>
                    <w:bidi w:val="0"/>
                    <w:jc w:val="center"/>
                    <w:rPr>
                      <w:rFonts w:hint="default"/>
                      <w:color w:val="auto"/>
                    </w:rPr>
                  </w:pPr>
                  <w:r>
                    <w:rPr>
                      <w:color w:val="auto"/>
                    </w:rPr>
                    <w:t>燃烧性：易燃</w:t>
                  </w:r>
                </w:p>
              </w:tc>
              <w:tc>
                <w:tcPr>
                  <w:tcW w:w="2812" w:type="pct"/>
                  <w:gridSpan w:val="3"/>
                  <w:tcBorders>
                    <w:tl2br w:val="nil"/>
                    <w:tr2bl w:val="nil"/>
                  </w:tcBorders>
                  <w:vAlign w:val="center"/>
                </w:tcPr>
                <w:p>
                  <w:pPr>
                    <w:pStyle w:val="17"/>
                    <w:bidi w:val="0"/>
                    <w:jc w:val="center"/>
                    <w:rPr>
                      <w:rFonts w:hint="default"/>
                      <w:color w:val="auto"/>
                    </w:rPr>
                  </w:pPr>
                  <w:r>
                    <w:rPr>
                      <w:color w:val="auto"/>
                    </w:rPr>
                    <w:t>燃烧分解产物：CO、CO2等有毒有害气体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vMerge w:val="continue"/>
                  <w:tcBorders>
                    <w:tl2br w:val="nil"/>
                    <w:tr2bl w:val="nil"/>
                  </w:tcBorders>
                  <w:vAlign w:val="center"/>
                </w:tcPr>
                <w:p>
                  <w:pPr>
                    <w:pStyle w:val="17"/>
                    <w:bidi w:val="0"/>
                    <w:jc w:val="center"/>
                    <w:rPr>
                      <w:rFonts w:hint="default"/>
                      <w:color w:val="auto"/>
                    </w:rPr>
                  </w:pPr>
                </w:p>
              </w:tc>
              <w:tc>
                <w:tcPr>
                  <w:tcW w:w="1582" w:type="pct"/>
                  <w:gridSpan w:val="2"/>
                  <w:tcBorders>
                    <w:tl2br w:val="nil"/>
                    <w:tr2bl w:val="nil"/>
                  </w:tcBorders>
                  <w:vAlign w:val="center"/>
                </w:tcPr>
                <w:p>
                  <w:pPr>
                    <w:pStyle w:val="17"/>
                    <w:bidi w:val="0"/>
                    <w:jc w:val="center"/>
                    <w:rPr>
                      <w:rFonts w:hint="default"/>
                      <w:color w:val="auto"/>
                    </w:rPr>
                  </w:pPr>
                  <w:r>
                    <w:rPr>
                      <w:color w:val="auto"/>
                    </w:rPr>
                    <w:t>稳定性：稳定</w:t>
                  </w:r>
                </w:p>
              </w:tc>
              <w:tc>
                <w:tcPr>
                  <w:tcW w:w="2812" w:type="pct"/>
                  <w:gridSpan w:val="3"/>
                  <w:tcBorders>
                    <w:tl2br w:val="nil"/>
                    <w:tr2bl w:val="nil"/>
                  </w:tcBorders>
                  <w:vAlign w:val="center"/>
                </w:tcPr>
                <w:p>
                  <w:pPr>
                    <w:pStyle w:val="17"/>
                    <w:bidi w:val="0"/>
                    <w:jc w:val="center"/>
                    <w:rPr>
                      <w:rFonts w:hint="default"/>
                      <w:color w:val="auto"/>
                    </w:rPr>
                  </w:pPr>
                  <w:r>
                    <w:rPr>
                      <w:color w:val="auto"/>
                    </w:rPr>
                    <w:t>禁忌物：硝酸等强氧化剂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vMerge w:val="continue"/>
                  <w:tcBorders>
                    <w:tl2br w:val="nil"/>
                    <w:tr2bl w:val="nil"/>
                  </w:tcBorders>
                  <w:vAlign w:val="center"/>
                </w:tcPr>
                <w:p>
                  <w:pPr>
                    <w:pStyle w:val="17"/>
                    <w:bidi w:val="0"/>
                    <w:jc w:val="center"/>
                    <w:rPr>
                      <w:rFonts w:hint="default"/>
                      <w:color w:val="auto"/>
                    </w:rPr>
                  </w:pPr>
                </w:p>
              </w:tc>
              <w:tc>
                <w:tcPr>
                  <w:tcW w:w="4395" w:type="pct"/>
                  <w:gridSpan w:val="5"/>
                  <w:tcBorders>
                    <w:tl2br w:val="nil"/>
                    <w:tr2bl w:val="nil"/>
                  </w:tcBorders>
                  <w:vAlign w:val="center"/>
                </w:tcPr>
                <w:p>
                  <w:pPr>
                    <w:pStyle w:val="17"/>
                    <w:bidi w:val="0"/>
                    <w:jc w:val="center"/>
                    <w:rPr>
                      <w:rFonts w:hint="default"/>
                      <w:color w:val="auto"/>
                    </w:rPr>
                  </w:pPr>
                  <w:r>
                    <w:rPr>
                      <w:color w:val="auto"/>
                    </w:rPr>
                    <w:t>危险特性：可燃液体，火灾危险性为丙B类；遇明火、高热可燃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04" w:type="pct"/>
                  <w:vMerge w:val="continue"/>
                  <w:tcBorders>
                    <w:tl2br w:val="nil"/>
                    <w:tr2bl w:val="nil"/>
                  </w:tcBorders>
                  <w:vAlign w:val="center"/>
                </w:tcPr>
                <w:p>
                  <w:pPr>
                    <w:pStyle w:val="17"/>
                    <w:bidi w:val="0"/>
                    <w:jc w:val="center"/>
                    <w:rPr>
                      <w:rFonts w:hint="default"/>
                      <w:color w:val="auto"/>
                    </w:rPr>
                  </w:pPr>
                </w:p>
              </w:tc>
              <w:tc>
                <w:tcPr>
                  <w:tcW w:w="4395" w:type="pct"/>
                  <w:gridSpan w:val="5"/>
                  <w:tcBorders>
                    <w:tl2br w:val="nil"/>
                    <w:tr2bl w:val="nil"/>
                  </w:tcBorders>
                  <w:vAlign w:val="center"/>
                </w:tcPr>
                <w:p>
                  <w:pPr>
                    <w:pStyle w:val="17"/>
                    <w:bidi w:val="0"/>
                    <w:jc w:val="center"/>
                    <w:rPr>
                      <w:rFonts w:hint="default"/>
                      <w:color w:val="auto"/>
                    </w:rPr>
                  </w:pPr>
                  <w:r>
                    <w:rPr>
                      <w:color w:val="auto"/>
                    </w:rPr>
                    <w:t>消防措施：消防人员佩戴防毒面具、穿全身消防服，可在上风向灭火。尽可能将容器从火场移至空旷处。喷水保持火场容器冷却，直至灭火结束。处在火场中的容器若已变色或从安全泄压装置中产生声音，必须立即撤离。灭火剂：雾状水、泡沫、干粉、二氧化碳、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tcBorders>
                    <w:tl2br w:val="nil"/>
                    <w:tr2bl w:val="nil"/>
                  </w:tcBorders>
                  <w:vAlign w:val="center"/>
                </w:tcPr>
                <w:p>
                  <w:pPr>
                    <w:pStyle w:val="17"/>
                    <w:bidi w:val="0"/>
                    <w:jc w:val="center"/>
                    <w:rPr>
                      <w:rFonts w:hint="default"/>
                      <w:color w:val="auto"/>
                    </w:rPr>
                  </w:pPr>
                  <w:r>
                    <w:rPr>
                      <w:color w:val="auto"/>
                    </w:rPr>
                    <w:t>对人体危害</w:t>
                  </w:r>
                </w:p>
              </w:tc>
              <w:tc>
                <w:tcPr>
                  <w:tcW w:w="4395" w:type="pct"/>
                  <w:gridSpan w:val="5"/>
                  <w:tcBorders>
                    <w:tl2br w:val="nil"/>
                    <w:tr2bl w:val="nil"/>
                  </w:tcBorders>
                  <w:vAlign w:val="center"/>
                </w:tcPr>
                <w:p>
                  <w:pPr>
                    <w:pStyle w:val="17"/>
                    <w:bidi w:val="0"/>
                    <w:jc w:val="left"/>
                    <w:rPr>
                      <w:rFonts w:hint="default"/>
                      <w:color w:val="auto"/>
                    </w:rPr>
                  </w:pPr>
                  <w:r>
                    <w:rPr>
                      <w:color w:val="auto"/>
                    </w:rPr>
                    <w:t>侵入途径：急性吸入健康危害：可出现乏力、头晕、头痛、恶心，严重者可引起油脂性肺炎。慢性接触者，暴露部位可发生油性痤疮和接触性皮炎。可引发神经衰弱综合症，呼吸道和眼刺激症状及慢性油脂性肺炎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40" w:type="dxa"/>
                  <w:tcBorders>
                    <w:tl2br w:val="nil"/>
                    <w:tr2bl w:val="nil"/>
                  </w:tcBorders>
                  <w:vAlign w:val="center"/>
                </w:tcPr>
                <w:p>
                  <w:pPr>
                    <w:pStyle w:val="17"/>
                    <w:bidi w:val="0"/>
                    <w:jc w:val="center"/>
                    <w:rPr>
                      <w:color w:val="auto"/>
                    </w:rPr>
                  </w:pPr>
                  <w:r>
                    <w:rPr>
                      <w:color w:val="auto"/>
                    </w:rPr>
                    <w:t>急救</w:t>
                  </w:r>
                </w:p>
                <w:p>
                  <w:pPr>
                    <w:pStyle w:val="17"/>
                    <w:bidi w:val="0"/>
                    <w:jc w:val="center"/>
                    <w:rPr>
                      <w:color w:val="auto"/>
                    </w:rPr>
                  </w:pPr>
                  <w:r>
                    <w:rPr>
                      <w:color w:val="auto"/>
                    </w:rPr>
                    <w:t>防护</w:t>
                  </w:r>
                </w:p>
              </w:tc>
              <w:tc>
                <w:tcPr>
                  <w:tcW w:w="7559" w:type="dxa"/>
                  <w:gridSpan w:val="5"/>
                  <w:tcBorders>
                    <w:tl2br w:val="nil"/>
                    <w:tr2bl w:val="nil"/>
                  </w:tcBorders>
                  <w:vAlign w:val="center"/>
                </w:tcPr>
                <w:p>
                  <w:pPr>
                    <w:pStyle w:val="17"/>
                    <w:bidi w:val="0"/>
                    <w:jc w:val="left"/>
                    <w:rPr>
                      <w:color w:val="auto"/>
                    </w:rPr>
                  </w:pPr>
                  <w:r>
                    <w:rPr>
                      <w:color w:val="auto"/>
                    </w:rPr>
                    <w:t>皮肤接触：脱去污染的衣着，用大量流动清水清洗，就医。</w:t>
                  </w:r>
                </w:p>
                <w:p>
                  <w:pPr>
                    <w:pStyle w:val="17"/>
                    <w:bidi w:val="0"/>
                    <w:jc w:val="left"/>
                    <w:rPr>
                      <w:color w:val="auto"/>
                    </w:rPr>
                  </w:pPr>
                  <w:r>
                    <w:rPr>
                      <w:color w:val="auto"/>
                    </w:rPr>
                    <w:t>眼接触：提起眼睑，用流动性清水或生理盐水冲洗，就医。</w:t>
                  </w:r>
                </w:p>
                <w:p>
                  <w:pPr>
                    <w:pStyle w:val="17"/>
                    <w:bidi w:val="0"/>
                    <w:jc w:val="left"/>
                    <w:rPr>
                      <w:color w:val="auto"/>
                    </w:rPr>
                  </w:pPr>
                  <w:r>
                    <w:rPr>
                      <w:color w:val="auto"/>
                    </w:rPr>
                    <w:t>吸入：迅速脱离现场至空气新鲜处，保持呼吸畅通，如呼吸困难，给输氧。如呼吸停止，立即进行人工呼吸，就医。</w:t>
                  </w:r>
                </w:p>
                <w:p>
                  <w:pPr>
                    <w:pStyle w:val="17"/>
                    <w:bidi w:val="0"/>
                    <w:jc w:val="left"/>
                    <w:rPr>
                      <w:color w:val="auto"/>
                    </w:rPr>
                  </w:pPr>
                  <w:r>
                    <w:rPr>
                      <w:color w:val="auto"/>
                    </w:rPr>
                    <w:t>食用：饮适量温水，催吐，就医。</w:t>
                  </w:r>
                </w:p>
                <w:p>
                  <w:pPr>
                    <w:pStyle w:val="17"/>
                    <w:bidi w:val="0"/>
                    <w:jc w:val="left"/>
                    <w:rPr>
                      <w:color w:val="auto"/>
                    </w:rPr>
                  </w:pPr>
                  <w:r>
                    <w:rPr>
                      <w:color w:val="auto"/>
                    </w:rPr>
                    <w:t>呼吸系统防护：空气中浓度超标时，必须佩戴自吸过滤式防毒面具（半面罩）；紧急事态抢救或者撤离时，应佩戴空气呼吸器。</w:t>
                  </w:r>
                </w:p>
                <w:p>
                  <w:pPr>
                    <w:pStyle w:val="17"/>
                    <w:bidi w:val="0"/>
                    <w:jc w:val="left"/>
                    <w:rPr>
                      <w:color w:val="auto"/>
                    </w:rPr>
                  </w:pPr>
                  <w:r>
                    <w:rPr>
                      <w:color w:val="auto"/>
                    </w:rPr>
                    <w:t>眼睛防护：戴化学安全防护眼镜。</w:t>
                  </w:r>
                </w:p>
                <w:p>
                  <w:pPr>
                    <w:pStyle w:val="17"/>
                    <w:bidi w:val="0"/>
                    <w:jc w:val="left"/>
                    <w:rPr>
                      <w:color w:val="auto"/>
                    </w:rPr>
                  </w:pPr>
                  <w:r>
                    <w:rPr>
                      <w:color w:val="auto"/>
                    </w:rPr>
                    <w:t>身体防护：穿防毒渗透工作服。</w:t>
                  </w:r>
                </w:p>
                <w:p>
                  <w:pPr>
                    <w:pStyle w:val="17"/>
                    <w:bidi w:val="0"/>
                    <w:jc w:val="left"/>
                    <w:rPr>
                      <w:color w:val="auto"/>
                    </w:rPr>
                  </w:pPr>
                  <w:r>
                    <w:rPr>
                      <w:color w:val="auto"/>
                    </w:rPr>
                    <w:t>手防护：戴橡胶耐油手套。</w:t>
                  </w:r>
                </w:p>
                <w:p>
                  <w:pPr>
                    <w:pStyle w:val="17"/>
                    <w:bidi w:val="0"/>
                    <w:jc w:val="left"/>
                    <w:rPr>
                      <w:color w:val="auto"/>
                    </w:rPr>
                  </w:pPr>
                  <w:r>
                    <w:rPr>
                      <w:color w:val="auto"/>
                    </w:rPr>
                    <w:t>其他：工作现场严禁吸烟，避免长期反复接触。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0" w:type="dxa"/>
                  <w:tcBorders>
                    <w:tl2br w:val="nil"/>
                    <w:tr2bl w:val="nil"/>
                  </w:tcBorders>
                  <w:vAlign w:val="center"/>
                </w:tcPr>
                <w:p>
                  <w:pPr>
                    <w:pStyle w:val="17"/>
                    <w:bidi w:val="0"/>
                    <w:jc w:val="center"/>
                    <w:rPr>
                      <w:color w:val="auto"/>
                    </w:rPr>
                  </w:pPr>
                  <w:r>
                    <w:rPr>
                      <w:color w:val="auto"/>
                    </w:rPr>
                    <w:t>泄漏</w:t>
                  </w:r>
                </w:p>
                <w:p>
                  <w:pPr>
                    <w:pStyle w:val="17"/>
                    <w:bidi w:val="0"/>
                    <w:jc w:val="center"/>
                    <w:rPr>
                      <w:color w:val="auto"/>
                    </w:rPr>
                  </w:pPr>
                  <w:r>
                    <w:rPr>
                      <w:color w:val="auto"/>
                    </w:rPr>
                    <w:t>处理</w:t>
                  </w:r>
                </w:p>
              </w:tc>
              <w:tc>
                <w:tcPr>
                  <w:tcW w:w="7559" w:type="dxa"/>
                  <w:gridSpan w:val="5"/>
                  <w:tcBorders>
                    <w:tl2br w:val="nil"/>
                    <w:tr2bl w:val="nil"/>
                  </w:tcBorders>
                  <w:vAlign w:val="center"/>
                </w:tcPr>
                <w:p>
                  <w:pPr>
                    <w:pStyle w:val="17"/>
                    <w:bidi w:val="0"/>
                    <w:jc w:val="left"/>
                    <w:rPr>
                      <w:color w:val="auto"/>
                    </w:rPr>
                  </w:pPr>
                  <w:r>
                    <w:rPr>
                      <w:color w:val="auto"/>
                    </w:rPr>
                    <w:t>迅速撤离泄露污染区人员至安全区，并进行隔离，严格限制出入。切断火源。建议应急处理人员戴自给正式呼吸器，穿防毒服。尽可能切断泄漏源，防止流入下水道、排洪沟等限制性空间。小量泄漏：用砂土或其他不燃材料吸附或吸收，减少挥发。大量泄漏：构筑围堤或挖坑收容。用泵转移至槽车或专用收集器内，回收或运至废物处理场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40" w:type="dxa"/>
                  <w:tcBorders>
                    <w:tl2br w:val="nil"/>
                    <w:tr2bl w:val="nil"/>
                  </w:tcBorders>
                  <w:vAlign w:val="center"/>
                </w:tcPr>
                <w:p>
                  <w:pPr>
                    <w:pStyle w:val="17"/>
                    <w:bidi w:val="0"/>
                    <w:jc w:val="center"/>
                    <w:rPr>
                      <w:color w:val="auto"/>
                    </w:rPr>
                  </w:pPr>
                  <w:r>
                    <w:rPr>
                      <w:color w:val="auto"/>
                    </w:rPr>
                    <w:t>贮运</w:t>
                  </w:r>
                </w:p>
              </w:tc>
              <w:tc>
                <w:tcPr>
                  <w:tcW w:w="7559" w:type="dxa"/>
                  <w:gridSpan w:val="5"/>
                  <w:tcBorders>
                    <w:tl2br w:val="nil"/>
                    <w:tr2bl w:val="nil"/>
                  </w:tcBorders>
                  <w:vAlign w:val="center"/>
                </w:tcPr>
                <w:p>
                  <w:pPr>
                    <w:pStyle w:val="17"/>
                    <w:bidi w:val="0"/>
                    <w:jc w:val="left"/>
                    <w:rPr>
                      <w:color w:val="auto"/>
                    </w:rPr>
                  </w:pPr>
                  <w:r>
                    <w:rPr>
                      <w:color w:val="auto"/>
                    </w:rPr>
                    <w:t>储运条件：储存在阴凉、通风的库房。远离火种，热源。应与氧化剂分开存放，切忌混储。配备相应品种和数量的消防器材。储区应备有泄漏应急处理设备和合适的收容材料。</w:t>
                  </w:r>
                </w:p>
                <w:p>
                  <w:pPr>
                    <w:pStyle w:val="17"/>
                    <w:bidi w:val="0"/>
                    <w:jc w:val="left"/>
                    <w:rPr>
                      <w:color w:val="auto"/>
                    </w:rPr>
                  </w:pPr>
                  <w:r>
                    <w:rPr>
                      <w:color w:val="auto"/>
                    </w:rPr>
                    <w:t>运输要求：用油罐、油罐车、铁桶、塑料桶等盛装，盛装时切不可装满，要留出必要的安全空间。运输前应先检查包装容器是否完整、密封，运输过程中要确保容器不泄露、不倒塌、不坠落、不损坏。严禁与氧化剂、食用化学品等混装混运。运输车船必须彻底清洗、消毒，否则不得装运其他物品。</w:t>
                  </w:r>
                </w:p>
              </w:tc>
            </w:tr>
          </w:tbl>
          <w:p>
            <w:pPr>
              <w:pStyle w:val="4"/>
              <w:bidi w:val="0"/>
              <w:rPr>
                <w:rFonts w:hint="default"/>
                <w:color w:val="auto"/>
              </w:rPr>
            </w:pPr>
            <w:r>
              <w:rPr>
                <w:rFonts w:hint="default"/>
                <w:color w:val="auto"/>
              </w:rPr>
              <w:t>1.2.2生产设施风险识别</w:t>
            </w:r>
          </w:p>
          <w:p>
            <w:pPr>
              <w:keepNext w:val="0"/>
              <w:keepLines w:val="0"/>
              <w:pageBreakBefore w:val="0"/>
              <w:widowControl w:val="0"/>
              <w:kinsoku/>
              <w:wordWrap/>
              <w:overflowPunct/>
              <w:topLinePunct w:val="0"/>
              <w:autoSpaceDE/>
              <w:autoSpaceDN/>
              <w:bidi w:val="0"/>
              <w:adjustRightInd w:val="0"/>
              <w:snapToGrid w:val="0"/>
              <w:ind w:right="-120" w:rightChars="-50"/>
              <w:textAlignment w:val="auto"/>
              <w:rPr>
                <w:rFonts w:hint="default"/>
                <w:color w:val="auto"/>
              </w:rPr>
            </w:pPr>
            <w:r>
              <w:rPr>
                <w:rFonts w:hint="default"/>
                <w:color w:val="auto"/>
              </w:rPr>
              <w:t>生产系统危险性识别包括主要生产装置、储运设施、公用工程和辅助生产设施，以及环境保护设施等。项目生产过程中的主要环境风险</w:t>
            </w:r>
            <w:r>
              <w:rPr>
                <w:rFonts w:hint="eastAsia"/>
                <w:color w:val="auto"/>
                <w:lang w:val="en-US" w:eastAsia="zh-CN"/>
              </w:rPr>
              <w:t>为</w:t>
            </w:r>
            <w:r>
              <w:rPr>
                <w:rFonts w:hint="default"/>
                <w:color w:val="auto"/>
              </w:rPr>
              <w:t>废机油存储设施泄露风险、施工期的建设风险、运行期风险及索道工程的旅游配套设施建设风险。具体如下：</w:t>
            </w:r>
          </w:p>
          <w:p>
            <w:pPr>
              <w:bidi w:val="0"/>
              <w:rPr>
                <w:rFonts w:hint="default"/>
                <w:color w:val="auto"/>
              </w:rPr>
            </w:pPr>
            <w:r>
              <w:rPr>
                <w:rFonts w:hint="default"/>
                <w:color w:val="auto"/>
              </w:rPr>
              <w:t>①废机油存储设施泄露的风险；泄露后遇到明火有引发火灾爆炸危险；</w:t>
            </w:r>
          </w:p>
          <w:p>
            <w:pPr>
              <w:bidi w:val="0"/>
              <w:rPr>
                <w:rFonts w:hint="default"/>
                <w:color w:val="auto"/>
              </w:rPr>
            </w:pPr>
            <w:r>
              <w:rPr>
                <w:rFonts w:hint="default"/>
                <w:color w:val="auto"/>
              </w:rPr>
              <w:t>②施工期风险主要产生于工程的各个实施工序，如：场地平整、运料、建支架和站点、拉钢缆、装吊厢等，由此可能给施工人员、周围动植物、环境状况和生态系统带来不利后果；</w:t>
            </w:r>
          </w:p>
          <w:p>
            <w:pPr>
              <w:bidi w:val="0"/>
              <w:rPr>
                <w:rFonts w:hint="default"/>
                <w:color w:val="auto"/>
              </w:rPr>
            </w:pPr>
            <w:r>
              <w:rPr>
                <w:rFonts w:hint="default"/>
                <w:color w:val="auto"/>
              </w:rPr>
              <w:t>③运行期风险主要产生于索道运行的各个阶段，如机械或设备运转、系统管理</w:t>
            </w:r>
            <w:r>
              <w:rPr>
                <w:rFonts w:hint="eastAsia"/>
                <w:color w:val="auto"/>
                <w:lang w:eastAsia="zh-CN"/>
              </w:rPr>
              <w:t>（</w:t>
            </w:r>
            <w:r>
              <w:rPr>
                <w:rFonts w:hint="default"/>
                <w:color w:val="auto"/>
              </w:rPr>
              <w:t>企业经营</w:t>
            </w:r>
            <w:r>
              <w:rPr>
                <w:rFonts w:hint="eastAsia"/>
                <w:color w:val="auto"/>
                <w:lang w:eastAsia="zh-CN"/>
              </w:rPr>
              <w:t>）</w:t>
            </w:r>
            <w:r>
              <w:rPr>
                <w:rFonts w:hint="default"/>
                <w:color w:val="auto"/>
              </w:rPr>
              <w:t>、游客活动等，由此对游客、工作人员、周围动植物、环境状况及生态系统可能带来的不利后果；</w:t>
            </w:r>
          </w:p>
          <w:p>
            <w:pPr>
              <w:pStyle w:val="4"/>
              <w:bidi w:val="0"/>
              <w:rPr>
                <w:rFonts w:hint="default"/>
                <w:color w:val="auto"/>
              </w:rPr>
            </w:pPr>
            <w:r>
              <w:rPr>
                <w:rFonts w:hint="default"/>
                <w:color w:val="auto"/>
              </w:rPr>
              <w:t>1.2.3污水处理设施潜在风险识别</w:t>
            </w:r>
          </w:p>
          <w:p>
            <w:pPr>
              <w:bidi w:val="0"/>
              <w:rPr>
                <w:rFonts w:hint="default"/>
                <w:color w:val="auto"/>
              </w:rPr>
            </w:pPr>
            <w:r>
              <w:rPr>
                <w:rFonts w:hint="default"/>
                <w:color w:val="auto"/>
              </w:rPr>
              <w:t>通过对污水处理设施所选用的工艺以及管道完善系统的分析，项目风险污染事故的类型主要反映在污水处理设施非正常运行状况可能发生的污水</w:t>
            </w:r>
            <w:r>
              <w:rPr>
                <w:rFonts w:hint="eastAsia"/>
                <w:color w:val="auto"/>
                <w:lang w:val="en-US" w:eastAsia="zh-CN"/>
              </w:rPr>
              <w:t>外排</w:t>
            </w:r>
            <w:r>
              <w:rPr>
                <w:rFonts w:hint="default"/>
                <w:color w:val="auto"/>
              </w:rPr>
              <w:t>及恶臭物质排放引起的环境问题。风险污染事故发生的主要环节有以下几方面：</w:t>
            </w:r>
          </w:p>
          <w:p>
            <w:pPr>
              <w:bidi w:val="0"/>
              <w:rPr>
                <w:rFonts w:hint="default"/>
                <w:color w:val="auto"/>
              </w:rPr>
            </w:pPr>
            <w:r>
              <w:rPr>
                <w:rFonts w:hint="default"/>
                <w:color w:val="auto"/>
              </w:rPr>
              <w:t>①污水</w:t>
            </w:r>
            <w:r>
              <w:rPr>
                <w:rFonts w:hint="eastAsia"/>
                <w:color w:val="auto"/>
                <w:lang w:val="en-US" w:eastAsia="zh-CN"/>
              </w:rPr>
              <w:t>收集</w:t>
            </w:r>
            <w:r>
              <w:rPr>
                <w:rFonts w:hint="default"/>
                <w:color w:val="auto"/>
              </w:rPr>
              <w:t>管网系统由于管道堵塞、破裂和接头处的破损，会造成大量污水外溢，污染地下水。</w:t>
            </w:r>
          </w:p>
          <w:p>
            <w:pPr>
              <w:bidi w:val="0"/>
              <w:rPr>
                <w:rFonts w:hint="default"/>
                <w:color w:val="auto"/>
              </w:rPr>
            </w:pPr>
            <w:r>
              <w:rPr>
                <w:rFonts w:hint="default"/>
                <w:color w:val="auto"/>
              </w:rPr>
              <w:t>②污水处理设施由于停电、设备损坏、污水处理设施运行不正常、停车检修等造成大量污水出水不稳定。</w:t>
            </w:r>
          </w:p>
          <w:p>
            <w:pPr>
              <w:bidi w:val="0"/>
              <w:rPr>
                <w:rFonts w:hint="default"/>
                <w:color w:val="auto"/>
              </w:rPr>
            </w:pPr>
            <w:r>
              <w:rPr>
                <w:rFonts w:hint="default"/>
                <w:color w:val="auto"/>
              </w:rPr>
              <w:t>③由于发生地震等自然灾害致使污水管道、处理构筑物损坏，污水溢流于项目区及附近地区和水域，噪声严重的局部污染。</w:t>
            </w:r>
          </w:p>
          <w:p>
            <w:pPr>
              <w:bidi w:val="0"/>
              <w:rPr>
                <w:rFonts w:hint="eastAsia" w:eastAsia="宋体"/>
                <w:color w:val="auto"/>
                <w:lang w:eastAsia="zh-CN"/>
              </w:rPr>
            </w:pPr>
            <w:r>
              <w:rPr>
                <w:rFonts w:hint="default"/>
                <w:color w:val="auto"/>
              </w:rPr>
              <w:t>④产臭装置密封性遭破坏导致恶臭气体逸散。恶臭气体主要污染物为硫化氢、氨、臭气浓度</w:t>
            </w:r>
            <w:r>
              <w:rPr>
                <w:rFonts w:hint="eastAsia"/>
                <w:color w:val="auto"/>
                <w:lang w:eastAsia="zh-CN"/>
              </w:rPr>
              <w:t>。</w:t>
            </w:r>
          </w:p>
          <w:p>
            <w:pPr>
              <w:pStyle w:val="4"/>
              <w:bidi w:val="0"/>
              <w:rPr>
                <w:rFonts w:hint="default"/>
                <w:color w:val="auto"/>
              </w:rPr>
            </w:pPr>
            <w:r>
              <w:rPr>
                <w:rFonts w:hint="default"/>
                <w:color w:val="auto"/>
              </w:rPr>
              <w:t>1.3环境风险防范措施</w:t>
            </w:r>
          </w:p>
          <w:p>
            <w:pPr>
              <w:pStyle w:val="4"/>
              <w:bidi w:val="0"/>
              <w:rPr>
                <w:rFonts w:hint="default"/>
                <w:color w:val="auto"/>
              </w:rPr>
            </w:pPr>
            <w:r>
              <w:rPr>
                <w:rFonts w:hint="default"/>
                <w:color w:val="auto"/>
              </w:rPr>
              <w:t>1.3.1废机油泄露风险防范措施</w:t>
            </w:r>
          </w:p>
          <w:p>
            <w:pPr>
              <w:bidi w:val="0"/>
              <w:rPr>
                <w:rFonts w:hint="default"/>
                <w:color w:val="auto"/>
              </w:rPr>
            </w:pPr>
            <w:r>
              <w:rPr>
                <w:rFonts w:hint="default"/>
                <w:color w:val="auto"/>
              </w:rPr>
              <w:t>（1）</w:t>
            </w:r>
            <w:r>
              <w:rPr>
                <w:rFonts w:hint="eastAsia"/>
                <w:color w:val="auto"/>
                <w:lang w:val="en-US" w:eastAsia="zh-CN"/>
              </w:rPr>
              <w:t>废机油所在</w:t>
            </w:r>
            <w:r>
              <w:rPr>
                <w:rFonts w:hint="default"/>
                <w:color w:val="auto"/>
              </w:rPr>
              <w:t>危废暂存间地面须采取硬化防渗、防腐措施，各类危险化学品应分类贮存并张贴相应的危化品标识，健全库管制度，建立进出库台账记录；</w:t>
            </w:r>
          </w:p>
          <w:p>
            <w:pPr>
              <w:bidi w:val="0"/>
              <w:rPr>
                <w:rFonts w:hint="default"/>
                <w:color w:val="auto"/>
              </w:rPr>
            </w:pPr>
            <w:r>
              <w:rPr>
                <w:rFonts w:hint="default"/>
                <w:color w:val="auto"/>
              </w:rPr>
              <w:t>（2）危</w:t>
            </w:r>
            <w:r>
              <w:rPr>
                <w:rFonts w:hint="eastAsia"/>
                <w:color w:val="auto"/>
                <w:lang w:val="en-US" w:eastAsia="zh-CN"/>
              </w:rPr>
              <w:t>废</w:t>
            </w:r>
            <w:r>
              <w:rPr>
                <w:rFonts w:hint="default"/>
                <w:color w:val="auto"/>
              </w:rPr>
              <w:t>入库后，在贮存期内，定期检查，发现其包装破损、渗漏等应及时处理；</w:t>
            </w:r>
          </w:p>
          <w:p>
            <w:pPr>
              <w:bidi w:val="0"/>
              <w:rPr>
                <w:rFonts w:hint="default"/>
                <w:color w:val="auto"/>
              </w:rPr>
            </w:pPr>
            <w:r>
              <w:rPr>
                <w:rFonts w:hint="default"/>
                <w:color w:val="auto"/>
              </w:rPr>
              <w:t>（</w:t>
            </w:r>
            <w:r>
              <w:rPr>
                <w:rFonts w:hint="eastAsia"/>
                <w:color w:val="auto"/>
                <w:lang w:val="en-US" w:eastAsia="zh-CN"/>
              </w:rPr>
              <w:t>3</w:t>
            </w:r>
            <w:r>
              <w:rPr>
                <w:rFonts w:hint="default"/>
                <w:color w:val="auto"/>
              </w:rPr>
              <w:t>）危险废物应严格按照《危险废物贮存控制标准》</w:t>
            </w:r>
            <w:r>
              <w:rPr>
                <w:rFonts w:hint="eastAsia" w:ascii="Times New Roman" w:hAnsi="Times New Roman" w:eastAsia="宋体" w:cs="Times New Roman"/>
                <w:color w:val="auto"/>
                <w:lang w:eastAsia="zh-CN"/>
              </w:rPr>
              <w:t>（GB18597-20</w:t>
            </w:r>
            <w:r>
              <w:rPr>
                <w:rFonts w:hint="eastAsia" w:ascii="Times New Roman" w:hAnsi="Times New Roman" w:eastAsia="宋体" w:cs="Times New Roman"/>
                <w:color w:val="auto"/>
                <w:lang w:val="en-US" w:eastAsia="zh-CN"/>
              </w:rPr>
              <w:t>23</w:t>
            </w:r>
            <w:r>
              <w:rPr>
                <w:rFonts w:hint="eastAsia" w:ascii="Times New Roman" w:hAnsi="Times New Roman" w:eastAsia="宋体" w:cs="Times New Roman"/>
                <w:color w:val="auto"/>
                <w:lang w:eastAsia="zh-CN"/>
              </w:rPr>
              <w:t>）</w:t>
            </w:r>
            <w:r>
              <w:rPr>
                <w:rFonts w:hint="default"/>
                <w:color w:val="auto"/>
              </w:rPr>
              <w:t>进行储存，交由有危险废物处置资质的单位定期进行回收处理。</w:t>
            </w:r>
          </w:p>
          <w:p>
            <w:pPr>
              <w:bidi w:val="0"/>
              <w:rPr>
                <w:rFonts w:hint="default"/>
                <w:color w:val="auto"/>
              </w:rPr>
            </w:pPr>
            <w:r>
              <w:rPr>
                <w:rFonts w:hint="default"/>
                <w:color w:val="auto"/>
              </w:rPr>
              <w:t>（</w:t>
            </w:r>
            <w:r>
              <w:rPr>
                <w:rFonts w:hint="eastAsia"/>
                <w:color w:val="auto"/>
                <w:lang w:val="en-US" w:eastAsia="zh-CN"/>
              </w:rPr>
              <w:t>4</w:t>
            </w:r>
            <w:r>
              <w:rPr>
                <w:rFonts w:hint="default"/>
                <w:color w:val="auto"/>
              </w:rPr>
              <w:t>）危险废物暂存间要防风、防雨、防晒、防渗，不得堆放在露天场地，避免遭受雨淋水浸；不得存放在阳光直接照射、高温及潮湿的地方；</w:t>
            </w:r>
          </w:p>
          <w:p>
            <w:pPr>
              <w:bidi w:val="0"/>
              <w:rPr>
                <w:rFonts w:hint="default"/>
                <w:color w:val="auto"/>
              </w:rPr>
            </w:pPr>
            <w:r>
              <w:rPr>
                <w:rFonts w:hint="default"/>
                <w:color w:val="auto"/>
              </w:rPr>
              <w:t>（</w:t>
            </w:r>
            <w:r>
              <w:rPr>
                <w:rFonts w:hint="eastAsia"/>
                <w:color w:val="auto"/>
                <w:lang w:val="en-US" w:eastAsia="zh-CN"/>
              </w:rPr>
              <w:t>5</w:t>
            </w:r>
            <w:r>
              <w:rPr>
                <w:rFonts w:hint="default"/>
                <w:color w:val="auto"/>
              </w:rPr>
              <w:t>）危废暂存间应做地面防渗处理，</w:t>
            </w:r>
            <w:r>
              <w:rPr>
                <w:rFonts w:hint="eastAsia"/>
                <w:color w:val="auto"/>
                <w:lang w:eastAsia="zh-CN"/>
              </w:rPr>
              <w:t>防渗层为至少1m厚粘土层（渗透系数≤10</w:t>
            </w:r>
            <w:r>
              <w:rPr>
                <w:rFonts w:hint="eastAsia"/>
                <w:color w:val="auto"/>
                <w:vertAlign w:val="superscript"/>
                <w:lang w:eastAsia="zh-CN"/>
              </w:rPr>
              <w:t>-7</w:t>
            </w:r>
            <w:r>
              <w:rPr>
                <w:rFonts w:hint="eastAsia"/>
                <w:color w:val="auto"/>
                <w:lang w:eastAsia="zh-CN"/>
              </w:rPr>
              <w:t>cm/s），或2mm厚高密度聚乙烯，或至少2mm厚的其它人工材料，渗透系数≤10</w:t>
            </w:r>
            <w:r>
              <w:rPr>
                <w:rFonts w:hint="eastAsia" w:ascii="Times New Roman" w:hAnsi="Times New Roman" w:eastAsia="宋体" w:cs="Times New Roman"/>
                <w:color w:val="auto"/>
                <w:vertAlign w:val="superscript"/>
                <w:lang w:eastAsia="zh-CN"/>
              </w:rPr>
              <w:t>-10</w:t>
            </w:r>
            <w:r>
              <w:rPr>
                <w:rFonts w:hint="eastAsia"/>
                <w:color w:val="auto"/>
                <w:lang w:eastAsia="zh-CN"/>
              </w:rPr>
              <w:t>cm/s。</w:t>
            </w:r>
          </w:p>
          <w:p>
            <w:pPr>
              <w:bidi w:val="0"/>
              <w:rPr>
                <w:rFonts w:hint="default"/>
                <w:color w:val="auto"/>
              </w:rPr>
            </w:pPr>
            <w:r>
              <w:rPr>
                <w:rFonts w:hint="default"/>
                <w:color w:val="auto"/>
              </w:rPr>
              <w:t>（</w:t>
            </w:r>
            <w:r>
              <w:rPr>
                <w:rFonts w:hint="eastAsia"/>
                <w:color w:val="auto"/>
                <w:lang w:val="en-US" w:eastAsia="zh-CN"/>
              </w:rPr>
              <w:t>6</w:t>
            </w:r>
            <w:r>
              <w:rPr>
                <w:rFonts w:hint="default"/>
                <w:color w:val="auto"/>
              </w:rPr>
              <w:t>）危险废物暂存间应设专人管理，管理人员须具备相关方面的专业知识，并定期组织应急演练，了解消防、环保常识。</w:t>
            </w:r>
          </w:p>
          <w:p>
            <w:pPr>
              <w:bidi w:val="0"/>
              <w:rPr>
                <w:rFonts w:hint="default" w:ascii="Times New Roman" w:hAnsi="Times New Roman" w:eastAsia="宋体" w:cs="Times New Roman"/>
                <w:color w:val="auto"/>
              </w:rPr>
            </w:pPr>
            <w:r>
              <w:rPr>
                <w:rFonts w:hint="default"/>
                <w:color w:val="auto"/>
              </w:rPr>
              <w:t>（</w:t>
            </w:r>
            <w:r>
              <w:rPr>
                <w:rFonts w:hint="eastAsia"/>
                <w:color w:val="auto"/>
                <w:lang w:val="en-US" w:eastAsia="zh-CN"/>
              </w:rPr>
              <w:t>7</w:t>
            </w:r>
            <w:r>
              <w:rPr>
                <w:rFonts w:hint="default"/>
                <w:color w:val="auto"/>
              </w:rPr>
              <w:t>）存放至危险废物暂存间的危险废物需进行登记，严格填写危险废物贮存台账，注明名称、来源、数量、特性</w:t>
            </w:r>
            <w:r>
              <w:rPr>
                <w:rFonts w:hint="default" w:ascii="Times New Roman" w:hAnsi="Times New Roman" w:eastAsia="宋体" w:cs="Times New Roman"/>
                <w:color w:val="auto"/>
              </w:rPr>
              <w:t>和包装容器的类别、入库日期、存放库位、废物出库日期及接收单位名称，危险废物处置建立健全转移联单制度。</w:t>
            </w:r>
          </w:p>
          <w:p>
            <w:pPr>
              <w:bidi w:val="0"/>
              <w:ind w:left="0" w:leftChars="0" w:firstLine="0" w:firstLineChars="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1.3.2污水处理设施的风险事故防范措施</w:t>
            </w:r>
          </w:p>
          <w:p>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（1）建立可靠的污水处理设施运行监控系统，设置备用风机和水泵，一旦发生事故，及时更换。</w:t>
            </w:r>
          </w:p>
          <w:p>
            <w:pPr>
              <w:bidi w:val="0"/>
              <w:rPr>
                <w:rFonts w:hint="default"/>
                <w:color w:val="auto"/>
              </w:rPr>
            </w:pPr>
            <w:r>
              <w:rPr>
                <w:rFonts w:hint="default"/>
                <w:color w:val="auto"/>
              </w:rPr>
              <w:t>（2）加强管理和设备维护工作，保持设备的完好率和处理的高效率，关键设备应留足备件，电源应采取双回路供电。备用设备或替换下来的设备及时检修，并定期检查使其在需要时及时使用。</w:t>
            </w:r>
          </w:p>
          <w:p>
            <w:pPr>
              <w:bidi w:val="0"/>
              <w:rPr>
                <w:rFonts w:hint="default" w:ascii="Times New Roman" w:hAnsi="Times New Roman" w:eastAsia="宋体" w:cs="Times New Roman"/>
                <w:color w:val="auto"/>
              </w:rPr>
            </w:pPr>
            <w:r>
              <w:rPr>
                <w:rFonts w:hint="default"/>
                <w:color w:val="auto"/>
              </w:rPr>
              <w:t>（3）管道破裂造成污水外流一般是由于其它工程开挖或管线寄出隐患等造成的，这类事故发生后，管线</w:t>
            </w:r>
            <w:r>
              <w:rPr>
                <w:rFonts w:hint="default" w:ascii="Times New Roman" w:hAnsi="Times New Roman" w:eastAsia="宋体" w:cs="Times New Roman"/>
                <w:color w:val="auto"/>
              </w:rPr>
              <w:t>内污水外溢。一旦发生此类事故要及时抢修，尽可能减少污水外溢量及对周围环境的影响。另外，废水收集管网应采用防渗防漏防腐设施，减少污水外溢时对环境的影响。</w:t>
            </w:r>
          </w:p>
          <w:p>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（4）设备的检修时间要精心安排，最好在水量较小、水质较好的季节或时间进行。</w:t>
            </w:r>
          </w:p>
          <w:p>
            <w:pPr>
              <w:bidi w:val="0"/>
              <w:ind w:left="0" w:leftChars="0" w:firstLine="0" w:firstLineChars="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1.3.3生态风险防范措施</w:t>
            </w:r>
          </w:p>
          <w:p>
            <w:pPr>
              <w:bidi w:val="0"/>
              <w:rPr>
                <w:rFonts w:hint="default"/>
                <w:color w:val="auto"/>
              </w:rPr>
            </w:pPr>
            <w:r>
              <w:rPr>
                <w:rFonts w:hint="eastAsia" w:ascii="Times New Roman" w:hAnsi="Times New Roman" w:eastAsia="宋体" w:cs="Times New Roman"/>
                <w:color w:val="auto"/>
                <w:lang w:val="en-US" w:eastAsia="zh-CN"/>
              </w:rPr>
              <w:t>旅游项目、以及</w:t>
            </w:r>
            <w:r>
              <w:rPr>
                <w:rFonts w:hint="default" w:ascii="Times New Roman" w:hAnsi="Times New Roman" w:eastAsia="宋体" w:cs="Times New Roman"/>
                <w:color w:val="auto"/>
              </w:rPr>
              <w:t>索道建设及运营存在多</w:t>
            </w:r>
            <w:r>
              <w:rPr>
                <w:rFonts w:hint="default"/>
                <w:color w:val="auto"/>
              </w:rPr>
              <w:t>方面社会经济和生态风险，全面辨识这些风险的来源、性质、大小，充分正视其不利性，并积极寻求防范措施。建议应采取如下措施：</w:t>
            </w:r>
          </w:p>
          <w:p>
            <w:pPr>
              <w:bidi w:val="0"/>
              <w:rPr>
                <w:rFonts w:hint="default"/>
                <w:color w:val="auto"/>
              </w:rPr>
            </w:pPr>
            <w:r>
              <w:rPr>
                <w:rFonts w:hint="default"/>
                <w:color w:val="auto"/>
              </w:rPr>
              <w:t>（1）借鉴并提高</w:t>
            </w:r>
            <w:r>
              <w:rPr>
                <w:rFonts w:hint="default"/>
                <w:color w:val="auto"/>
                <w:lang w:eastAsia="zh-CN"/>
              </w:rPr>
              <w:t>景区</w:t>
            </w:r>
            <w:r>
              <w:rPr>
                <w:rFonts w:hint="default"/>
                <w:color w:val="auto"/>
              </w:rPr>
              <w:t>在基础建设方面的管理经验，加强管理，精心施工，确保设计、施工过程中尽力保护</w:t>
            </w:r>
            <w:r>
              <w:rPr>
                <w:rFonts w:hint="eastAsia"/>
                <w:color w:val="auto"/>
                <w:lang w:eastAsia="zh-CN"/>
              </w:rPr>
              <w:t>果赛</w:t>
            </w:r>
            <w:r>
              <w:rPr>
                <w:rFonts w:hint="eastAsia"/>
                <w:color w:val="auto"/>
                <w:lang w:val="en-US" w:eastAsia="zh-CN"/>
              </w:rPr>
              <w:t>景区</w:t>
            </w:r>
            <w:r>
              <w:rPr>
                <w:rFonts w:hint="default"/>
                <w:color w:val="auto"/>
              </w:rPr>
              <w:t>一草一木；</w:t>
            </w:r>
          </w:p>
          <w:p>
            <w:pPr>
              <w:bidi w:val="0"/>
              <w:rPr>
                <w:rFonts w:hint="default"/>
                <w:color w:val="auto"/>
              </w:rPr>
            </w:pPr>
            <w:r>
              <w:rPr>
                <w:rFonts w:hint="default"/>
                <w:color w:val="auto"/>
              </w:rPr>
              <w:t>（2）</w:t>
            </w:r>
            <w:r>
              <w:rPr>
                <w:rFonts w:hint="eastAsia"/>
                <w:color w:val="auto"/>
                <w:lang w:val="en-US" w:eastAsia="zh-CN"/>
              </w:rPr>
              <w:t>索道在</w:t>
            </w:r>
            <w:r>
              <w:rPr>
                <w:rFonts w:hint="default"/>
                <w:color w:val="auto"/>
              </w:rPr>
              <w:t>支架台基施工时，配料</w:t>
            </w:r>
            <w:r>
              <w:rPr>
                <w:rFonts w:hint="eastAsia"/>
                <w:color w:val="auto"/>
                <w:lang w:eastAsia="zh-CN"/>
              </w:rPr>
              <w:t>（</w:t>
            </w:r>
            <w:r>
              <w:rPr>
                <w:rFonts w:hint="default"/>
                <w:color w:val="auto"/>
              </w:rPr>
              <w:t>如混凝土</w:t>
            </w:r>
            <w:r>
              <w:rPr>
                <w:rFonts w:hint="eastAsia"/>
                <w:color w:val="auto"/>
                <w:lang w:eastAsia="zh-CN"/>
              </w:rPr>
              <w:t>）</w:t>
            </w:r>
            <w:r>
              <w:rPr>
                <w:rFonts w:hint="default"/>
                <w:color w:val="auto"/>
              </w:rPr>
              <w:t>工序最好在山下，或适当的裸露地面进行，避免在台基周围的植被茂密地块进行。大型施工设施</w:t>
            </w:r>
            <w:r>
              <w:rPr>
                <w:rFonts w:hint="eastAsia"/>
                <w:color w:val="auto"/>
                <w:lang w:eastAsia="zh-CN"/>
              </w:rPr>
              <w:t>（</w:t>
            </w:r>
            <w:r>
              <w:rPr>
                <w:rFonts w:hint="default"/>
                <w:color w:val="auto"/>
              </w:rPr>
              <w:t>如拌料机等</w:t>
            </w:r>
            <w:r>
              <w:rPr>
                <w:rFonts w:hint="eastAsia"/>
                <w:color w:val="auto"/>
                <w:lang w:eastAsia="zh-CN"/>
              </w:rPr>
              <w:t>）</w:t>
            </w:r>
            <w:r>
              <w:rPr>
                <w:rFonts w:hint="default"/>
                <w:color w:val="auto"/>
              </w:rPr>
              <w:t>最好放在山下操作，减少设施对自然生态系统影响。</w:t>
            </w:r>
          </w:p>
          <w:p>
            <w:pPr>
              <w:bidi w:val="0"/>
              <w:rPr>
                <w:rFonts w:hint="default"/>
                <w:color w:val="auto"/>
              </w:rPr>
            </w:pPr>
            <w:r>
              <w:rPr>
                <w:rFonts w:hint="default"/>
                <w:color w:val="auto"/>
              </w:rPr>
              <w:t>（3）在需要重点保护的植物地方建立篱笆，以防止游客进入，加强宣传标识，提醒游客不得离开规定的游览路线和景点。</w:t>
            </w:r>
          </w:p>
          <w:p>
            <w:pPr>
              <w:bidi w:val="0"/>
              <w:rPr>
                <w:rFonts w:hint="default"/>
                <w:color w:val="auto"/>
              </w:rPr>
            </w:pPr>
            <w:r>
              <w:rPr>
                <w:rFonts w:hint="default"/>
                <w:color w:val="auto"/>
              </w:rPr>
              <w:t>（4）完善火灾监管系统，对重要全部旅游景点，以及游客偏好的游憩地段进行严密监查和巡视，杜绝火灾发生。</w:t>
            </w:r>
          </w:p>
          <w:p>
            <w:pPr>
              <w:bidi w:val="0"/>
              <w:rPr>
                <w:rFonts w:hint="default"/>
                <w:color w:val="auto"/>
              </w:rPr>
            </w:pPr>
            <w:r>
              <w:rPr>
                <w:rFonts w:hint="default"/>
                <w:color w:val="auto"/>
              </w:rPr>
              <w:t>（5）严格控制游客随时随地乱扔剩余食物和包装物等，在</w:t>
            </w:r>
            <w:r>
              <w:rPr>
                <w:rFonts w:hint="eastAsia"/>
                <w:color w:val="auto"/>
                <w:lang w:val="en-US" w:eastAsia="zh-CN"/>
              </w:rPr>
              <w:t>各地块</w:t>
            </w:r>
            <w:r>
              <w:rPr>
                <w:rFonts w:hint="default"/>
                <w:color w:val="auto"/>
              </w:rPr>
              <w:t>及</w:t>
            </w:r>
            <w:r>
              <w:rPr>
                <w:rFonts w:hint="eastAsia"/>
                <w:color w:val="auto"/>
                <w:lang w:val="en-US" w:eastAsia="zh-CN"/>
              </w:rPr>
              <w:t>游览路线</w:t>
            </w:r>
            <w:r>
              <w:rPr>
                <w:rFonts w:hint="default"/>
                <w:color w:val="auto"/>
              </w:rPr>
              <w:t>旁，在适当距离设置与周围景观相协调的垃圾箱，及时收集处理，以截断游客可能带来的外来有害物种或外来病害的侵入。</w:t>
            </w:r>
          </w:p>
          <w:p>
            <w:pPr>
              <w:bidi w:val="0"/>
              <w:rPr>
                <w:rFonts w:hint="default"/>
                <w:color w:val="auto"/>
              </w:rPr>
            </w:pPr>
            <w:r>
              <w:rPr>
                <w:rFonts w:hint="default"/>
                <w:color w:val="auto"/>
              </w:rPr>
              <w:t>（6）在施工期，禁止通过</w:t>
            </w:r>
            <w:r>
              <w:rPr>
                <w:rFonts w:hint="eastAsia"/>
                <w:color w:val="auto"/>
                <w:lang w:eastAsia="zh-CN"/>
              </w:rPr>
              <w:t>“</w:t>
            </w:r>
            <w:r>
              <w:rPr>
                <w:rFonts w:hint="default"/>
                <w:color w:val="auto"/>
              </w:rPr>
              <w:t>开山炸石</w:t>
            </w:r>
            <w:r>
              <w:rPr>
                <w:rFonts w:hint="eastAsia"/>
                <w:color w:val="auto"/>
                <w:lang w:eastAsia="zh-CN"/>
              </w:rPr>
              <w:t>”</w:t>
            </w:r>
            <w:r>
              <w:rPr>
                <w:rFonts w:hint="default"/>
                <w:color w:val="auto"/>
              </w:rPr>
              <w:t>来就地取石，不得用炸药进行爆破。</w:t>
            </w:r>
          </w:p>
          <w:p>
            <w:pPr>
              <w:bidi w:val="0"/>
              <w:rPr>
                <w:rFonts w:hint="default"/>
                <w:color w:val="auto"/>
              </w:rPr>
            </w:pPr>
            <w:r>
              <w:rPr>
                <w:rFonts w:hint="default"/>
                <w:color w:val="auto"/>
              </w:rPr>
              <w:t>（7）在施工前，对施工期运料方式及线路，应进行详尽的勘察和论证，减少施工对地表及植被的破坏。</w:t>
            </w:r>
          </w:p>
          <w:p>
            <w:pPr>
              <w:bidi w:val="0"/>
              <w:rPr>
                <w:rFonts w:hint="default"/>
                <w:color w:val="auto"/>
              </w:rPr>
            </w:pPr>
            <w:r>
              <w:rPr>
                <w:rFonts w:hint="default"/>
                <w:color w:val="auto"/>
              </w:rPr>
              <w:t>（8）为加强</w:t>
            </w:r>
            <w:r>
              <w:rPr>
                <w:rFonts w:hint="eastAsia"/>
                <w:color w:val="auto"/>
                <w:lang w:val="en-US" w:eastAsia="zh-CN"/>
              </w:rPr>
              <w:t>项目营运系统管理，尤其是索道</w:t>
            </w:r>
            <w:r>
              <w:rPr>
                <w:rFonts w:hint="default"/>
                <w:color w:val="auto"/>
              </w:rPr>
              <w:t>系统管理，工作人员在上岗前，需要进行适当的职业技能培训，完善现有的工作规程和工作制度，运营期索道禁止违反设计容量要求，任意超载乘客。</w:t>
            </w:r>
          </w:p>
          <w:p>
            <w:pPr>
              <w:bidi w:val="0"/>
              <w:rPr>
                <w:rFonts w:hint="default"/>
                <w:color w:val="auto"/>
              </w:rPr>
            </w:pPr>
            <w:r>
              <w:rPr>
                <w:rFonts w:hint="default"/>
                <w:color w:val="auto"/>
              </w:rPr>
              <w:t>（9）对建设工程施工区及邻近地段可能出现的国家保护动植物应密切关注，要尽快实施其生境及种群保护方案。</w:t>
            </w:r>
          </w:p>
          <w:p>
            <w:pPr>
              <w:bidi w:val="0"/>
              <w:rPr>
                <w:rFonts w:hint="default"/>
                <w:color w:val="auto"/>
              </w:rPr>
            </w:pPr>
            <w:r>
              <w:rPr>
                <w:rFonts w:hint="default"/>
                <w:color w:val="auto"/>
              </w:rPr>
              <w:t>（10）加强生活垃圾收集及污水处理，生活垃圾应按照现行管理模式配备相关人员进行收集处理，生活污水则应进入拟建的</w:t>
            </w:r>
            <w:r>
              <w:rPr>
                <w:rFonts w:hint="eastAsia"/>
                <w:color w:val="auto"/>
                <w:lang w:eastAsia="zh-CN"/>
              </w:rPr>
              <w:t>“</w:t>
            </w:r>
            <w:r>
              <w:rPr>
                <w:rFonts w:hint="default"/>
                <w:color w:val="auto"/>
              </w:rPr>
              <w:t>地埋式一体化污水处理设施</w:t>
            </w:r>
            <w:r>
              <w:rPr>
                <w:rFonts w:hint="eastAsia"/>
                <w:color w:val="auto"/>
                <w:lang w:eastAsia="zh-CN"/>
              </w:rPr>
              <w:t>”</w:t>
            </w:r>
            <w:r>
              <w:rPr>
                <w:rFonts w:hint="default"/>
                <w:color w:val="auto"/>
              </w:rPr>
              <w:t>，经处理后</w:t>
            </w:r>
            <w:r>
              <w:rPr>
                <w:rFonts w:hint="eastAsia"/>
                <w:color w:val="auto"/>
                <w:lang w:val="en-US" w:eastAsia="zh-CN"/>
              </w:rPr>
              <w:t>由吸污车清运至当地污水处理厂处理，待</w:t>
            </w:r>
            <w:r>
              <w:rPr>
                <w:rFonts w:cs="Times New Roman"/>
                <w:kern w:val="0"/>
                <w:szCs w:val="24"/>
              </w:rPr>
              <w:t>果</w:t>
            </w:r>
            <w:r>
              <w:rPr>
                <w:rFonts w:hint="eastAsia" w:cs="Times New Roman"/>
                <w:kern w:val="0"/>
                <w:szCs w:val="24"/>
                <w:lang w:val="en-US" w:eastAsia="zh-CN"/>
              </w:rPr>
              <w:t>赛</w:t>
            </w:r>
            <w:r>
              <w:rPr>
                <w:rFonts w:cs="Times New Roman"/>
                <w:kern w:val="0"/>
                <w:szCs w:val="24"/>
              </w:rPr>
              <w:t>景区</w:t>
            </w:r>
            <w:r>
              <w:rPr>
                <w:rFonts w:hint="eastAsia" w:cs="Times New Roman"/>
                <w:kern w:val="0"/>
                <w:szCs w:val="24"/>
                <w:lang w:val="en-US" w:eastAsia="zh-CN"/>
              </w:rPr>
              <w:t>污水处理厂建成后运至景区污水处理厂处理</w:t>
            </w:r>
            <w:r>
              <w:rPr>
                <w:rFonts w:hint="default"/>
                <w:color w:val="auto"/>
              </w:rPr>
              <w:t>。</w:t>
            </w:r>
          </w:p>
          <w:p>
            <w:pPr>
              <w:bidi w:val="0"/>
              <w:rPr>
                <w:rFonts w:hint="default"/>
                <w:color w:val="auto"/>
              </w:rPr>
            </w:pPr>
            <w:r>
              <w:rPr>
                <w:rFonts w:hint="default"/>
                <w:color w:val="auto"/>
              </w:rPr>
              <w:t>（11）在大风、雨雪等不利天气条件下，索道应该考虑关闭或在保证安全前提下方可运营，索道设计时，应根据</w:t>
            </w:r>
            <w:r>
              <w:rPr>
                <w:rFonts w:hint="eastAsia"/>
                <w:color w:val="auto"/>
                <w:lang w:eastAsia="zh-CN"/>
              </w:rPr>
              <w:t>果赛</w:t>
            </w:r>
            <w:r>
              <w:rPr>
                <w:rFonts w:hint="eastAsia"/>
                <w:color w:val="auto"/>
                <w:lang w:val="en-US" w:eastAsia="zh-CN"/>
              </w:rPr>
              <w:t>景区</w:t>
            </w:r>
            <w:r>
              <w:rPr>
                <w:rFonts w:hint="default"/>
                <w:color w:val="auto"/>
              </w:rPr>
              <w:t>大风、雨雪等历史记录，做好防风防雨雪设计。</w:t>
            </w:r>
          </w:p>
          <w:p>
            <w:pPr>
              <w:bidi w:val="0"/>
              <w:rPr>
                <w:rFonts w:hint="default"/>
                <w:color w:val="auto"/>
              </w:rPr>
            </w:pPr>
            <w:r>
              <w:rPr>
                <w:rFonts w:hint="default"/>
                <w:color w:val="auto"/>
              </w:rPr>
              <w:t>综上所述，</w:t>
            </w:r>
            <w:r>
              <w:rPr>
                <w:rFonts w:hint="eastAsia"/>
                <w:color w:val="auto"/>
                <w:lang w:val="en-US" w:eastAsia="zh-CN"/>
              </w:rPr>
              <w:t>本项目</w:t>
            </w:r>
            <w:r>
              <w:rPr>
                <w:rFonts w:hint="default"/>
                <w:color w:val="auto"/>
              </w:rPr>
              <w:t>虽然具有一定的风险，在加强管理，提高警惕，严格落实各项风险防范措施的前提下，本项目风险是能够控制住可接受的范围内。</w:t>
            </w:r>
          </w:p>
          <w:p>
            <w:pPr>
              <w:bidi w:val="0"/>
              <w:ind w:left="0" w:leftChars="0" w:firstLine="0" w:firstLineChars="0"/>
              <w:rPr>
                <w:rFonts w:hint="default"/>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69" w:hRule="atLeast"/>
          <w:jc w:val="center"/>
        </w:trPr>
        <w:tc>
          <w:tcPr>
            <w:tcW w:w="460" w:type="dxa"/>
            <w:noWrap w:val="0"/>
            <w:tcMar>
              <w:left w:w="28" w:type="dxa"/>
              <w:right w:w="28" w:type="dxa"/>
            </w:tcMar>
            <w:vAlign w:val="center"/>
          </w:tcPr>
          <w:p>
            <w:pPr>
              <w:pStyle w:val="17"/>
              <w:bidi w:val="0"/>
              <w:rPr>
                <w:rFonts w:hint="default"/>
                <w:color w:val="auto"/>
                <w:sz w:val="24"/>
                <w:szCs w:val="24"/>
              </w:rPr>
            </w:pPr>
            <w:r>
              <w:rPr>
                <w:rFonts w:hint="default"/>
                <w:color w:val="auto"/>
                <w:sz w:val="24"/>
                <w:szCs w:val="24"/>
              </w:rPr>
              <w:t>环保投资</w:t>
            </w:r>
          </w:p>
        </w:tc>
        <w:tc>
          <w:tcPr>
            <w:tcW w:w="8825" w:type="dxa"/>
            <w:noWrap w:val="0"/>
            <w:vAlign w:val="top"/>
          </w:tcPr>
          <w:p>
            <w:pPr>
              <w:bidi w:val="0"/>
              <w:rPr>
                <w:rFonts w:hint="default"/>
                <w:color w:val="auto"/>
              </w:rPr>
            </w:pPr>
            <w:r>
              <w:rPr>
                <w:rFonts w:hint="default"/>
                <w:color w:val="auto"/>
              </w:rPr>
              <w:t>本项目总投资</w:t>
            </w:r>
            <w:r>
              <w:rPr>
                <w:rFonts w:hint="eastAsia" w:cs="Times New Roman"/>
                <w:color w:val="auto"/>
                <w:sz w:val="24"/>
                <w:szCs w:val="24"/>
                <w:lang w:val="en-US" w:eastAsia="zh-CN"/>
              </w:rPr>
              <w:t>74100</w:t>
            </w:r>
            <w:r>
              <w:rPr>
                <w:rFonts w:hint="default"/>
                <w:color w:val="auto"/>
              </w:rPr>
              <w:t>万元，环保投资总计</w:t>
            </w:r>
            <w:r>
              <w:rPr>
                <w:rFonts w:hint="eastAsia"/>
                <w:color w:val="auto"/>
                <w:lang w:val="en-US" w:eastAsia="zh-CN"/>
              </w:rPr>
              <w:t>271</w:t>
            </w:r>
            <w:r>
              <w:rPr>
                <w:rFonts w:hint="default"/>
                <w:color w:val="auto"/>
              </w:rPr>
              <w:t>万元，占总投资的</w:t>
            </w:r>
            <w:r>
              <w:rPr>
                <w:rFonts w:hint="eastAsia"/>
                <w:color w:val="auto"/>
                <w:lang w:val="en-US" w:eastAsia="zh-CN"/>
              </w:rPr>
              <w:t>0.37</w:t>
            </w:r>
            <w:r>
              <w:rPr>
                <w:rFonts w:hint="default"/>
                <w:color w:val="auto"/>
              </w:rPr>
              <w:t>%。主要环保投资见表</w:t>
            </w:r>
            <w:r>
              <w:rPr>
                <w:rFonts w:hint="eastAsia"/>
                <w:color w:val="auto"/>
                <w:lang w:val="en-US" w:eastAsia="zh-CN"/>
              </w:rPr>
              <w:t>1</w:t>
            </w:r>
            <w:r>
              <w:rPr>
                <w:rFonts w:hint="default"/>
                <w:color w:val="auto"/>
              </w:rPr>
              <w:t>。</w:t>
            </w:r>
          </w:p>
          <w:p>
            <w:pPr>
              <w:pStyle w:val="3"/>
              <w:keepNext/>
              <w:keepLines w:val="0"/>
              <w:pageBreakBefore w:val="0"/>
              <w:widowControl w:val="0"/>
              <w:kinsoku/>
              <w:wordWrap/>
              <w:overflowPunct w:val="0"/>
              <w:topLinePunct w:val="0"/>
              <w:autoSpaceDE/>
              <w:autoSpaceDN/>
              <w:bidi w:val="0"/>
              <w:adjustRightInd w:val="0"/>
              <w:snapToGrid w:val="0"/>
              <w:spacing w:before="0" w:beforeLines="0" w:after="0" w:afterLines="0"/>
              <w:textAlignment w:val="auto"/>
              <w:rPr>
                <w:rFonts w:hint="default"/>
                <w:color w:val="auto"/>
                <w:sz w:val="24"/>
                <w:szCs w:val="24"/>
              </w:rPr>
            </w:pPr>
            <w:r>
              <w:rPr>
                <w:rFonts w:hint="default"/>
                <w:color w:val="auto"/>
                <w:sz w:val="24"/>
                <w:szCs w:val="24"/>
              </w:rPr>
              <w:t>表</w:t>
            </w:r>
            <w:r>
              <w:rPr>
                <w:rFonts w:hint="eastAsia"/>
                <w:color w:val="auto"/>
                <w:sz w:val="24"/>
                <w:szCs w:val="24"/>
                <w:lang w:val="en-US" w:eastAsia="zh-CN"/>
              </w:rPr>
              <w:t xml:space="preserve">1     </w:t>
            </w:r>
            <w:r>
              <w:rPr>
                <w:rFonts w:hint="default"/>
                <w:color w:val="auto"/>
                <w:sz w:val="24"/>
                <w:szCs w:val="24"/>
              </w:rPr>
              <w:t>环保投资一览表</w:t>
            </w:r>
          </w:p>
          <w:tbl>
            <w:tblPr>
              <w:tblStyle w:val="1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978"/>
              <w:gridCol w:w="4377"/>
              <w:gridCol w:w="15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Borders>
                    <w:tl2br w:val="nil"/>
                    <w:tr2bl w:val="nil"/>
                  </w:tcBorders>
                  <w:vAlign w:val="center"/>
                </w:tcPr>
                <w:p>
                  <w:pPr>
                    <w:pStyle w:val="17"/>
                    <w:bidi w:val="0"/>
                    <w:jc w:val="center"/>
                    <w:rPr>
                      <w:rFonts w:hint="default"/>
                      <w:color w:val="auto"/>
                    </w:rPr>
                  </w:pPr>
                  <w:r>
                    <w:rPr>
                      <w:color w:val="auto"/>
                    </w:rPr>
                    <w:t>时段</w:t>
                  </w:r>
                </w:p>
              </w:tc>
              <w:tc>
                <w:tcPr>
                  <w:tcW w:w="1978" w:type="dxa"/>
                  <w:tcBorders>
                    <w:tl2br w:val="nil"/>
                    <w:tr2bl w:val="nil"/>
                  </w:tcBorders>
                  <w:vAlign w:val="center"/>
                </w:tcPr>
                <w:p>
                  <w:pPr>
                    <w:pStyle w:val="17"/>
                    <w:bidi w:val="0"/>
                    <w:jc w:val="center"/>
                    <w:rPr>
                      <w:rFonts w:hint="default"/>
                      <w:color w:val="auto"/>
                    </w:rPr>
                  </w:pPr>
                  <w:r>
                    <w:rPr>
                      <w:color w:val="auto"/>
                    </w:rPr>
                    <w:t>治理项目</w:t>
                  </w:r>
                </w:p>
              </w:tc>
              <w:tc>
                <w:tcPr>
                  <w:tcW w:w="4377" w:type="dxa"/>
                  <w:tcBorders>
                    <w:tl2br w:val="nil"/>
                    <w:tr2bl w:val="nil"/>
                  </w:tcBorders>
                  <w:vAlign w:val="center"/>
                </w:tcPr>
                <w:p>
                  <w:pPr>
                    <w:pStyle w:val="17"/>
                    <w:bidi w:val="0"/>
                    <w:jc w:val="center"/>
                    <w:rPr>
                      <w:rFonts w:hint="default"/>
                      <w:color w:val="auto"/>
                    </w:rPr>
                  </w:pPr>
                  <w:r>
                    <w:rPr>
                      <w:color w:val="auto"/>
                    </w:rPr>
                    <w:t>环保措施</w:t>
                  </w:r>
                </w:p>
              </w:tc>
              <w:tc>
                <w:tcPr>
                  <w:tcW w:w="1535" w:type="dxa"/>
                  <w:tcBorders>
                    <w:tl2br w:val="nil"/>
                    <w:tr2bl w:val="nil"/>
                  </w:tcBorders>
                  <w:vAlign w:val="center"/>
                </w:tcPr>
                <w:p>
                  <w:pPr>
                    <w:pStyle w:val="17"/>
                    <w:bidi w:val="0"/>
                    <w:jc w:val="center"/>
                    <w:rPr>
                      <w:rFonts w:hint="default"/>
                      <w:color w:val="auto"/>
                    </w:rPr>
                  </w:pPr>
                  <w:r>
                    <w:rPr>
                      <w:color w:val="auto"/>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vAlign w:val="center"/>
                </w:tcPr>
                <w:p>
                  <w:pPr>
                    <w:pStyle w:val="17"/>
                    <w:bidi w:val="0"/>
                    <w:jc w:val="center"/>
                    <w:rPr>
                      <w:color w:val="auto"/>
                    </w:rPr>
                  </w:pPr>
                  <w:r>
                    <w:rPr>
                      <w:color w:val="auto"/>
                    </w:rPr>
                    <w:t>施</w:t>
                  </w:r>
                </w:p>
                <w:p>
                  <w:pPr>
                    <w:pStyle w:val="17"/>
                    <w:bidi w:val="0"/>
                    <w:jc w:val="center"/>
                    <w:rPr>
                      <w:color w:val="auto"/>
                    </w:rPr>
                  </w:pPr>
                  <w:r>
                    <w:rPr>
                      <w:color w:val="auto"/>
                    </w:rPr>
                    <w:t>工</w:t>
                  </w:r>
                </w:p>
                <w:p>
                  <w:pPr>
                    <w:pStyle w:val="17"/>
                    <w:bidi w:val="0"/>
                    <w:jc w:val="center"/>
                    <w:rPr>
                      <w:rFonts w:hint="default"/>
                      <w:color w:val="auto"/>
                    </w:rPr>
                  </w:pPr>
                  <w:r>
                    <w:rPr>
                      <w:color w:val="auto"/>
                    </w:rPr>
                    <w:t>期</w:t>
                  </w:r>
                </w:p>
              </w:tc>
              <w:tc>
                <w:tcPr>
                  <w:tcW w:w="1978" w:type="dxa"/>
                  <w:tcBorders>
                    <w:tl2br w:val="nil"/>
                    <w:tr2bl w:val="nil"/>
                  </w:tcBorders>
                  <w:vAlign w:val="center"/>
                </w:tcPr>
                <w:p>
                  <w:pPr>
                    <w:pStyle w:val="17"/>
                    <w:bidi w:val="0"/>
                    <w:jc w:val="center"/>
                    <w:rPr>
                      <w:rFonts w:hint="default"/>
                      <w:color w:val="auto"/>
                    </w:rPr>
                  </w:pPr>
                  <w:r>
                    <w:rPr>
                      <w:color w:val="auto"/>
                    </w:rPr>
                    <w:t>扬尘治理</w:t>
                  </w:r>
                </w:p>
              </w:tc>
              <w:tc>
                <w:tcPr>
                  <w:tcW w:w="4377" w:type="dxa"/>
                  <w:tcBorders>
                    <w:tl2br w:val="nil"/>
                    <w:tr2bl w:val="nil"/>
                  </w:tcBorders>
                  <w:vAlign w:val="center"/>
                </w:tcPr>
                <w:p>
                  <w:pPr>
                    <w:pStyle w:val="17"/>
                    <w:bidi w:val="0"/>
                    <w:jc w:val="center"/>
                    <w:rPr>
                      <w:rFonts w:hint="default"/>
                      <w:color w:val="auto"/>
                    </w:rPr>
                  </w:pPr>
                  <w:r>
                    <w:rPr>
                      <w:rFonts w:hint="eastAsia"/>
                      <w:color w:val="auto"/>
                      <w:lang w:val="en-US" w:eastAsia="zh-CN"/>
                    </w:rPr>
                    <w:t>施工区设置围挡、</w:t>
                  </w:r>
                  <w:r>
                    <w:rPr>
                      <w:color w:val="auto"/>
                    </w:rPr>
                    <w:t>洒水降尘、易起尘的建筑材料应加盖蓬布；运输时要对车厢密闭</w:t>
                  </w:r>
                </w:p>
              </w:tc>
              <w:tc>
                <w:tcPr>
                  <w:tcW w:w="1535" w:type="dxa"/>
                  <w:tcBorders>
                    <w:tl2br w:val="nil"/>
                    <w:tr2bl w:val="nil"/>
                  </w:tcBorders>
                  <w:vAlign w:val="center"/>
                </w:tcPr>
                <w:p>
                  <w:pPr>
                    <w:pStyle w:val="17"/>
                    <w:bidi w:val="0"/>
                    <w:jc w:val="center"/>
                    <w:rPr>
                      <w:rFonts w:hint="default" w:eastAsia="宋体"/>
                      <w:color w:val="auto"/>
                      <w:lang w:val="en-US" w:eastAsia="zh-CN"/>
                    </w:rPr>
                  </w:pPr>
                  <w:r>
                    <w:rPr>
                      <w:color w:val="auto"/>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9" w:type="dxa"/>
                  <w:vMerge w:val="continue"/>
                  <w:tcBorders>
                    <w:tl2br w:val="nil"/>
                    <w:tr2bl w:val="nil"/>
                  </w:tcBorders>
                  <w:vAlign w:val="center"/>
                </w:tcPr>
                <w:p>
                  <w:pPr>
                    <w:pStyle w:val="17"/>
                    <w:bidi w:val="0"/>
                    <w:jc w:val="center"/>
                    <w:rPr>
                      <w:rFonts w:hint="default"/>
                      <w:color w:val="auto"/>
                    </w:rPr>
                  </w:pPr>
                </w:p>
              </w:tc>
              <w:tc>
                <w:tcPr>
                  <w:tcW w:w="1978" w:type="dxa"/>
                  <w:tcBorders>
                    <w:tl2br w:val="nil"/>
                    <w:tr2bl w:val="nil"/>
                  </w:tcBorders>
                  <w:vAlign w:val="center"/>
                </w:tcPr>
                <w:p>
                  <w:pPr>
                    <w:pStyle w:val="17"/>
                    <w:bidi w:val="0"/>
                    <w:jc w:val="center"/>
                    <w:rPr>
                      <w:rFonts w:hint="default"/>
                      <w:color w:val="auto"/>
                    </w:rPr>
                  </w:pPr>
                  <w:r>
                    <w:rPr>
                      <w:color w:val="auto"/>
                    </w:rPr>
                    <w:t>废水治理</w:t>
                  </w:r>
                </w:p>
              </w:tc>
              <w:tc>
                <w:tcPr>
                  <w:tcW w:w="4377" w:type="dxa"/>
                  <w:tcBorders>
                    <w:tl2br w:val="nil"/>
                    <w:tr2bl w:val="nil"/>
                  </w:tcBorders>
                  <w:vAlign w:val="center"/>
                </w:tcPr>
                <w:p>
                  <w:pPr>
                    <w:pStyle w:val="17"/>
                    <w:bidi w:val="0"/>
                    <w:jc w:val="center"/>
                    <w:rPr>
                      <w:color w:val="auto"/>
                    </w:rPr>
                  </w:pPr>
                  <w:r>
                    <w:rPr>
                      <w:color w:val="auto"/>
                    </w:rPr>
                    <w:t>生产废水经沉砂池处理后用于项目区洒水降</w:t>
                  </w:r>
                </w:p>
                <w:p>
                  <w:pPr>
                    <w:pStyle w:val="17"/>
                    <w:bidi w:val="0"/>
                    <w:jc w:val="center"/>
                    <w:rPr>
                      <w:rFonts w:hint="default" w:eastAsia="宋体"/>
                      <w:color w:val="auto"/>
                      <w:lang w:val="en-US" w:eastAsia="zh-CN"/>
                    </w:rPr>
                  </w:pPr>
                  <w:r>
                    <w:rPr>
                      <w:color w:val="auto"/>
                    </w:rPr>
                    <w:t>尘；施工期生活污水</w:t>
                  </w:r>
                  <w:r>
                    <w:rPr>
                      <w:rFonts w:hint="eastAsia"/>
                      <w:color w:val="auto"/>
                      <w:lang w:val="en-US" w:eastAsia="zh-CN"/>
                    </w:rPr>
                    <w:t>采用生态厕所</w:t>
                  </w:r>
                </w:p>
              </w:tc>
              <w:tc>
                <w:tcPr>
                  <w:tcW w:w="1535" w:type="dxa"/>
                  <w:tcBorders>
                    <w:tl2br w:val="nil"/>
                    <w:tr2bl w:val="nil"/>
                  </w:tcBorders>
                  <w:vAlign w:val="center"/>
                </w:tcPr>
                <w:p>
                  <w:pPr>
                    <w:pStyle w:val="17"/>
                    <w:bidi w:val="0"/>
                    <w:jc w:val="center"/>
                    <w:rPr>
                      <w:rFonts w:hint="default" w:eastAsia="宋体"/>
                      <w:color w:val="auto"/>
                      <w:lang w:val="en-US" w:eastAsia="zh-CN"/>
                    </w:rPr>
                  </w:pPr>
                  <w:r>
                    <w:rPr>
                      <w:color w:val="auto"/>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9" w:type="dxa"/>
                  <w:vMerge w:val="continue"/>
                  <w:tcBorders>
                    <w:tl2br w:val="nil"/>
                    <w:tr2bl w:val="nil"/>
                  </w:tcBorders>
                  <w:vAlign w:val="center"/>
                </w:tcPr>
                <w:p>
                  <w:pPr>
                    <w:pStyle w:val="17"/>
                    <w:bidi w:val="0"/>
                    <w:jc w:val="center"/>
                    <w:rPr>
                      <w:rFonts w:hint="default"/>
                      <w:color w:val="auto"/>
                    </w:rPr>
                  </w:pPr>
                </w:p>
              </w:tc>
              <w:tc>
                <w:tcPr>
                  <w:tcW w:w="1978" w:type="dxa"/>
                  <w:tcBorders>
                    <w:tl2br w:val="nil"/>
                    <w:tr2bl w:val="nil"/>
                  </w:tcBorders>
                  <w:vAlign w:val="center"/>
                </w:tcPr>
                <w:p>
                  <w:pPr>
                    <w:pStyle w:val="17"/>
                    <w:bidi w:val="0"/>
                    <w:jc w:val="center"/>
                    <w:rPr>
                      <w:rFonts w:hint="default"/>
                      <w:color w:val="auto"/>
                    </w:rPr>
                  </w:pPr>
                  <w:r>
                    <w:rPr>
                      <w:color w:val="auto"/>
                    </w:rPr>
                    <w:t>固废治理</w:t>
                  </w:r>
                </w:p>
              </w:tc>
              <w:tc>
                <w:tcPr>
                  <w:tcW w:w="4377" w:type="dxa"/>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临时堆土苫盖、建筑垃圾苫盖、生活垃圾设垃圾箱收集</w:t>
                  </w:r>
                </w:p>
              </w:tc>
              <w:tc>
                <w:tcPr>
                  <w:tcW w:w="1535" w:type="dxa"/>
                  <w:tcBorders>
                    <w:tl2br w:val="nil"/>
                    <w:tr2bl w:val="nil"/>
                  </w:tcBorders>
                  <w:vAlign w:val="center"/>
                </w:tcPr>
                <w:p>
                  <w:pPr>
                    <w:pStyle w:val="17"/>
                    <w:bidi w:val="0"/>
                    <w:jc w:val="center"/>
                    <w:rPr>
                      <w:rFonts w:hint="default" w:eastAsia="宋体"/>
                      <w:color w:val="auto"/>
                      <w:lang w:val="en-US" w:eastAsia="zh-CN"/>
                    </w:rPr>
                  </w:pPr>
                  <w:r>
                    <w:rPr>
                      <w:color w:val="auto"/>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9" w:type="dxa"/>
                  <w:vMerge w:val="continue"/>
                  <w:tcBorders>
                    <w:tl2br w:val="nil"/>
                    <w:tr2bl w:val="nil"/>
                  </w:tcBorders>
                  <w:vAlign w:val="center"/>
                </w:tcPr>
                <w:p>
                  <w:pPr>
                    <w:pStyle w:val="17"/>
                    <w:bidi w:val="0"/>
                    <w:jc w:val="center"/>
                    <w:rPr>
                      <w:rFonts w:hint="default"/>
                      <w:color w:val="auto"/>
                    </w:rPr>
                  </w:pPr>
                </w:p>
              </w:tc>
              <w:tc>
                <w:tcPr>
                  <w:tcW w:w="1978" w:type="dxa"/>
                  <w:tcBorders>
                    <w:tl2br w:val="nil"/>
                    <w:tr2bl w:val="nil"/>
                  </w:tcBorders>
                  <w:vAlign w:val="center"/>
                </w:tcPr>
                <w:p>
                  <w:pPr>
                    <w:pStyle w:val="17"/>
                    <w:bidi w:val="0"/>
                    <w:jc w:val="center"/>
                    <w:rPr>
                      <w:rFonts w:hint="default"/>
                      <w:color w:val="auto"/>
                    </w:rPr>
                  </w:pPr>
                  <w:r>
                    <w:rPr>
                      <w:color w:val="auto"/>
                    </w:rPr>
                    <w:t>生态环境保护措施</w:t>
                  </w:r>
                </w:p>
              </w:tc>
              <w:tc>
                <w:tcPr>
                  <w:tcW w:w="4377" w:type="dxa"/>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施工前表土剥离、</w:t>
                  </w:r>
                  <w:r>
                    <w:rPr>
                      <w:color w:val="auto"/>
                    </w:rPr>
                    <w:t>施工后</w:t>
                  </w:r>
                  <w:r>
                    <w:rPr>
                      <w:rFonts w:hint="eastAsia"/>
                      <w:color w:val="auto"/>
                      <w:lang w:val="en-US" w:eastAsia="zh-CN"/>
                    </w:rPr>
                    <w:t>裸露地表进行</w:t>
                  </w:r>
                  <w:r>
                    <w:rPr>
                      <w:color w:val="auto"/>
                    </w:rPr>
                    <w:t>植被恢复；占用草地补偿费；</w:t>
                  </w:r>
                  <w:r>
                    <w:rPr>
                      <w:rFonts w:hint="eastAsia"/>
                      <w:color w:val="auto"/>
                      <w:lang w:val="en-US" w:eastAsia="zh-CN"/>
                    </w:rPr>
                    <w:t>水土保持措施实施</w:t>
                  </w:r>
                </w:p>
              </w:tc>
              <w:tc>
                <w:tcPr>
                  <w:tcW w:w="1535" w:type="dxa"/>
                  <w:tcBorders>
                    <w:tl2br w:val="nil"/>
                    <w:tr2bl w:val="nil"/>
                  </w:tcBorders>
                  <w:vAlign w:val="center"/>
                </w:tcPr>
                <w:p>
                  <w:pPr>
                    <w:pStyle w:val="17"/>
                    <w:bidi w:val="0"/>
                    <w:jc w:val="center"/>
                    <w:rPr>
                      <w:rFonts w:hint="default"/>
                      <w:color w:val="auto"/>
                    </w:rPr>
                  </w:pPr>
                  <w:r>
                    <w:rPr>
                      <w:color w:val="auto"/>
                    </w:rPr>
                    <w:t>2</w:t>
                  </w:r>
                  <w:r>
                    <w:rPr>
                      <w:rFonts w:hint="eastAsia"/>
                      <w:color w:val="auto"/>
                      <w:lang w:val="en-US" w:eastAsia="zh-CN"/>
                    </w:rPr>
                    <w:t>0</w:t>
                  </w:r>
                  <w:r>
                    <w:rPr>
                      <w:color w:val="auto"/>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vAlign w:val="center"/>
                </w:tcPr>
                <w:p>
                  <w:pPr>
                    <w:pStyle w:val="17"/>
                    <w:bidi w:val="0"/>
                    <w:jc w:val="center"/>
                    <w:rPr>
                      <w:color w:val="auto"/>
                    </w:rPr>
                  </w:pPr>
                  <w:r>
                    <w:rPr>
                      <w:color w:val="auto"/>
                    </w:rPr>
                    <w:t>运</w:t>
                  </w:r>
                </w:p>
                <w:p>
                  <w:pPr>
                    <w:pStyle w:val="17"/>
                    <w:bidi w:val="0"/>
                    <w:jc w:val="center"/>
                    <w:rPr>
                      <w:color w:val="auto"/>
                    </w:rPr>
                  </w:pPr>
                  <w:r>
                    <w:rPr>
                      <w:color w:val="auto"/>
                    </w:rPr>
                    <w:t>营</w:t>
                  </w:r>
                </w:p>
                <w:p>
                  <w:pPr>
                    <w:pStyle w:val="17"/>
                    <w:bidi w:val="0"/>
                    <w:jc w:val="center"/>
                    <w:rPr>
                      <w:rFonts w:hint="default"/>
                      <w:color w:val="auto"/>
                    </w:rPr>
                  </w:pPr>
                  <w:r>
                    <w:rPr>
                      <w:color w:val="auto"/>
                    </w:rPr>
                    <w:t>期</w:t>
                  </w:r>
                </w:p>
              </w:tc>
              <w:tc>
                <w:tcPr>
                  <w:tcW w:w="1978" w:type="dxa"/>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废气治理</w:t>
                  </w:r>
                </w:p>
              </w:tc>
              <w:tc>
                <w:tcPr>
                  <w:tcW w:w="4377" w:type="dxa"/>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饮食油烟净化装置、污水处理设施地埋密闭设置</w:t>
                  </w:r>
                </w:p>
              </w:tc>
              <w:tc>
                <w:tcPr>
                  <w:tcW w:w="1535" w:type="dxa"/>
                  <w:tcBorders>
                    <w:tl2br w:val="nil"/>
                    <w:tr2bl w:val="nil"/>
                  </w:tcBorders>
                  <w:vAlign w:val="center"/>
                </w:tcPr>
                <w:p>
                  <w:pPr>
                    <w:pStyle w:val="17"/>
                    <w:bidi w:val="0"/>
                    <w:jc w:val="center"/>
                    <w:rPr>
                      <w:rFonts w:hint="default"/>
                      <w:color w:val="auto"/>
                      <w:lang w:val="en-US" w:eastAsia="zh-CN"/>
                    </w:rPr>
                  </w:pPr>
                  <w:r>
                    <w:rPr>
                      <w:rFonts w:hint="eastAsia"/>
                      <w:color w:val="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vAlign w:val="center"/>
                </w:tcPr>
                <w:p>
                  <w:pPr>
                    <w:pStyle w:val="17"/>
                    <w:bidi w:val="0"/>
                    <w:jc w:val="center"/>
                    <w:rPr>
                      <w:rFonts w:hint="default"/>
                      <w:color w:val="auto"/>
                    </w:rPr>
                  </w:pPr>
                </w:p>
              </w:tc>
              <w:tc>
                <w:tcPr>
                  <w:tcW w:w="1978" w:type="dxa"/>
                  <w:tcBorders>
                    <w:tl2br w:val="nil"/>
                    <w:tr2bl w:val="nil"/>
                  </w:tcBorders>
                  <w:vAlign w:val="center"/>
                </w:tcPr>
                <w:p>
                  <w:pPr>
                    <w:pStyle w:val="17"/>
                    <w:bidi w:val="0"/>
                    <w:jc w:val="center"/>
                    <w:rPr>
                      <w:rFonts w:hint="default"/>
                      <w:color w:val="auto"/>
                      <w:lang w:val="en-US"/>
                    </w:rPr>
                  </w:pPr>
                  <w:r>
                    <w:rPr>
                      <w:rFonts w:hint="eastAsia"/>
                      <w:color w:val="auto"/>
                      <w:lang w:val="en-US" w:eastAsia="zh-CN"/>
                    </w:rPr>
                    <w:t>废水治理</w:t>
                  </w:r>
                </w:p>
              </w:tc>
              <w:tc>
                <w:tcPr>
                  <w:tcW w:w="4377" w:type="dxa"/>
                  <w:tcBorders>
                    <w:tl2br w:val="nil"/>
                    <w:tr2bl w:val="nil"/>
                  </w:tcBorders>
                  <w:vAlign w:val="center"/>
                </w:tcPr>
                <w:p>
                  <w:pPr>
                    <w:pStyle w:val="17"/>
                    <w:bidi w:val="0"/>
                    <w:jc w:val="center"/>
                    <w:rPr>
                      <w:rFonts w:hint="default"/>
                      <w:color w:val="auto"/>
                      <w:lang w:val="en-US"/>
                    </w:rPr>
                  </w:pPr>
                  <w:r>
                    <w:rPr>
                      <w:color w:val="auto"/>
                    </w:rPr>
                    <w:t>地埋式一体化污水处理设施</w:t>
                  </w:r>
                  <w:r>
                    <w:rPr>
                      <w:rFonts w:hint="eastAsia"/>
                      <w:color w:val="auto"/>
                      <w:lang w:eastAsia="zh-CN"/>
                    </w:rPr>
                    <w:t>、</w:t>
                  </w:r>
                  <w:r>
                    <w:rPr>
                      <w:rFonts w:hint="eastAsia"/>
                      <w:color w:val="auto"/>
                      <w:lang w:val="en-US" w:eastAsia="zh-CN"/>
                    </w:rPr>
                    <w:t>吸污车清运</w:t>
                  </w:r>
                </w:p>
              </w:tc>
              <w:tc>
                <w:tcPr>
                  <w:tcW w:w="1535" w:type="dxa"/>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709" w:type="dxa"/>
                  <w:vMerge w:val="continue"/>
                  <w:tcBorders>
                    <w:tl2br w:val="nil"/>
                    <w:tr2bl w:val="nil"/>
                  </w:tcBorders>
                  <w:vAlign w:val="center"/>
                </w:tcPr>
                <w:p>
                  <w:pPr>
                    <w:pStyle w:val="17"/>
                    <w:bidi w:val="0"/>
                    <w:jc w:val="center"/>
                    <w:rPr>
                      <w:rFonts w:hint="default"/>
                      <w:color w:val="auto"/>
                    </w:rPr>
                  </w:pPr>
                </w:p>
              </w:tc>
              <w:tc>
                <w:tcPr>
                  <w:tcW w:w="1978" w:type="dxa"/>
                  <w:tcBorders>
                    <w:tl2br w:val="nil"/>
                    <w:tr2bl w:val="nil"/>
                  </w:tcBorders>
                  <w:vAlign w:val="center"/>
                </w:tcPr>
                <w:p>
                  <w:pPr>
                    <w:pStyle w:val="17"/>
                    <w:bidi w:val="0"/>
                    <w:jc w:val="center"/>
                    <w:rPr>
                      <w:rFonts w:hint="default"/>
                      <w:color w:val="auto"/>
                    </w:rPr>
                  </w:pPr>
                  <w:r>
                    <w:rPr>
                      <w:color w:val="auto"/>
                    </w:rPr>
                    <w:t>噪声治理</w:t>
                  </w:r>
                </w:p>
              </w:tc>
              <w:tc>
                <w:tcPr>
                  <w:tcW w:w="4377" w:type="dxa"/>
                  <w:tcBorders>
                    <w:tl2br w:val="nil"/>
                    <w:tr2bl w:val="nil"/>
                  </w:tcBorders>
                  <w:vAlign w:val="center"/>
                </w:tcPr>
                <w:p>
                  <w:pPr>
                    <w:pStyle w:val="17"/>
                    <w:bidi w:val="0"/>
                    <w:jc w:val="center"/>
                    <w:rPr>
                      <w:rFonts w:hint="default"/>
                      <w:color w:val="auto"/>
                    </w:rPr>
                  </w:pPr>
                  <w:r>
                    <w:rPr>
                      <w:color w:val="auto"/>
                    </w:rPr>
                    <w:t>隔声、降噪、防震等</w:t>
                  </w:r>
                </w:p>
              </w:tc>
              <w:tc>
                <w:tcPr>
                  <w:tcW w:w="1535" w:type="dxa"/>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9" w:type="dxa"/>
                  <w:vMerge w:val="continue"/>
                  <w:tcBorders>
                    <w:tl2br w:val="nil"/>
                    <w:tr2bl w:val="nil"/>
                  </w:tcBorders>
                  <w:vAlign w:val="center"/>
                </w:tcPr>
                <w:p>
                  <w:pPr>
                    <w:pStyle w:val="17"/>
                    <w:bidi w:val="0"/>
                    <w:jc w:val="center"/>
                    <w:rPr>
                      <w:rFonts w:hint="default"/>
                      <w:color w:val="auto"/>
                    </w:rPr>
                  </w:pPr>
                </w:p>
              </w:tc>
              <w:tc>
                <w:tcPr>
                  <w:tcW w:w="1978" w:type="dxa"/>
                  <w:tcBorders>
                    <w:tl2br w:val="nil"/>
                    <w:tr2bl w:val="nil"/>
                  </w:tcBorders>
                  <w:vAlign w:val="center"/>
                </w:tcPr>
                <w:p>
                  <w:pPr>
                    <w:pStyle w:val="17"/>
                    <w:bidi w:val="0"/>
                    <w:jc w:val="center"/>
                    <w:rPr>
                      <w:rFonts w:hint="default"/>
                      <w:color w:val="auto"/>
                    </w:rPr>
                  </w:pPr>
                  <w:r>
                    <w:rPr>
                      <w:color w:val="auto"/>
                    </w:rPr>
                    <w:t>固废治理</w:t>
                  </w:r>
                </w:p>
              </w:tc>
              <w:tc>
                <w:tcPr>
                  <w:tcW w:w="4377" w:type="dxa"/>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生活</w:t>
                  </w:r>
                  <w:r>
                    <w:rPr>
                      <w:color w:val="auto"/>
                    </w:rPr>
                    <w:t>垃圾桶</w:t>
                  </w:r>
                  <w:r>
                    <w:rPr>
                      <w:rFonts w:hint="eastAsia"/>
                      <w:color w:val="auto"/>
                      <w:lang w:eastAsia="zh-CN"/>
                    </w:rPr>
                    <w:t>、</w:t>
                  </w:r>
                  <w:r>
                    <w:rPr>
                      <w:color w:val="auto"/>
                    </w:rPr>
                    <w:t>污泥经脱水处理</w:t>
                  </w:r>
                  <w:r>
                    <w:rPr>
                      <w:rFonts w:hint="eastAsia"/>
                      <w:color w:val="auto"/>
                      <w:lang w:val="en-US" w:eastAsia="zh-CN"/>
                    </w:rPr>
                    <w:t>，</w:t>
                  </w:r>
                  <w:r>
                    <w:rPr>
                      <w:rFonts w:hint="eastAsia" w:ascii="Times New Roman" w:hAnsi="Times New Roman" w:eastAsia="宋体" w:cs="Times New Roman"/>
                      <w:color w:val="auto"/>
                      <w:lang w:eastAsia="zh-CN"/>
                    </w:rPr>
                    <w:t>由景区环卫部门统一运至果赛景区垃圾收集站</w:t>
                  </w:r>
                  <w:r>
                    <w:rPr>
                      <w:rFonts w:hint="eastAsia"/>
                      <w:color w:val="auto"/>
                      <w:lang w:eastAsia="zh-CN"/>
                    </w:rPr>
                    <w:t>、</w:t>
                  </w:r>
                  <w:r>
                    <w:rPr>
                      <w:rFonts w:hint="eastAsia"/>
                      <w:color w:val="auto"/>
                      <w:lang w:val="en-US" w:eastAsia="zh-CN"/>
                    </w:rPr>
                    <w:t>废机油</w:t>
                  </w:r>
                  <w:r>
                    <w:rPr>
                      <w:color w:val="auto"/>
                    </w:rPr>
                    <w:t>采用专用收集桶收集后暂存于危废暂存间，定期交由有资质的单位</w:t>
                  </w:r>
                  <w:r>
                    <w:rPr>
                      <w:rFonts w:hint="eastAsia"/>
                      <w:color w:val="auto"/>
                      <w:lang w:val="en-US" w:eastAsia="zh-CN"/>
                    </w:rPr>
                    <w:t>外运</w:t>
                  </w:r>
                  <w:r>
                    <w:rPr>
                      <w:color w:val="auto"/>
                    </w:rPr>
                    <w:t>处理</w:t>
                  </w:r>
                </w:p>
              </w:tc>
              <w:tc>
                <w:tcPr>
                  <w:tcW w:w="1535" w:type="dxa"/>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9" w:type="dxa"/>
                  <w:vMerge w:val="continue"/>
                  <w:tcBorders>
                    <w:tl2br w:val="nil"/>
                    <w:tr2bl w:val="nil"/>
                  </w:tcBorders>
                  <w:vAlign w:val="center"/>
                </w:tcPr>
                <w:p>
                  <w:pPr>
                    <w:pStyle w:val="17"/>
                    <w:bidi w:val="0"/>
                    <w:jc w:val="center"/>
                    <w:rPr>
                      <w:rFonts w:hint="default"/>
                      <w:color w:val="auto"/>
                    </w:rPr>
                  </w:pPr>
                </w:p>
              </w:tc>
              <w:tc>
                <w:tcPr>
                  <w:tcW w:w="1978" w:type="dxa"/>
                  <w:tcBorders>
                    <w:tl2br w:val="nil"/>
                    <w:tr2bl w:val="nil"/>
                  </w:tcBorders>
                  <w:vAlign w:val="center"/>
                </w:tcPr>
                <w:p>
                  <w:pPr>
                    <w:pStyle w:val="17"/>
                    <w:bidi w:val="0"/>
                    <w:jc w:val="center"/>
                    <w:rPr>
                      <w:rFonts w:hint="eastAsia" w:eastAsia="宋体"/>
                      <w:color w:val="auto"/>
                      <w:lang w:eastAsia="zh-CN"/>
                    </w:rPr>
                  </w:pPr>
                  <w:r>
                    <w:rPr>
                      <w:rFonts w:hint="eastAsia"/>
                      <w:color w:val="auto"/>
                      <w:lang w:val="en-US" w:eastAsia="zh-CN"/>
                    </w:rPr>
                    <w:t>环境管理</w:t>
                  </w:r>
                </w:p>
              </w:tc>
              <w:tc>
                <w:tcPr>
                  <w:tcW w:w="4377" w:type="dxa"/>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景区内警示牌、</w:t>
                  </w:r>
                  <w:r>
                    <w:rPr>
                      <w:rFonts w:hint="eastAsia" w:ascii="Times New Roman" w:hAnsi="Times New Roman" w:eastAsia="宋体" w:cs="Times New Roman"/>
                      <w:color w:val="auto"/>
                      <w:szCs w:val="21"/>
                      <w:highlight w:val="none"/>
                      <w:lang w:eastAsia="zh-CN"/>
                    </w:rPr>
                    <w:t>竣工</w:t>
                  </w:r>
                  <w:r>
                    <w:rPr>
                      <w:rFonts w:hint="eastAsia" w:ascii="Times New Roman" w:hAnsi="Times New Roman" w:eastAsia="宋体" w:cs="Times New Roman"/>
                      <w:color w:val="auto"/>
                      <w:szCs w:val="21"/>
                      <w:highlight w:val="none"/>
                      <w:lang w:val="en-US" w:eastAsia="zh-CN"/>
                    </w:rPr>
                    <w:t>环保</w:t>
                  </w:r>
                  <w:r>
                    <w:rPr>
                      <w:rFonts w:hint="eastAsia" w:ascii="Times New Roman" w:hAnsi="Times New Roman" w:eastAsia="宋体" w:cs="Times New Roman"/>
                      <w:color w:val="auto"/>
                      <w:szCs w:val="21"/>
                      <w:highlight w:val="none"/>
                      <w:lang w:eastAsia="zh-CN"/>
                    </w:rPr>
                    <w:t>验收费和宣传培训费</w:t>
                  </w:r>
                </w:p>
              </w:tc>
              <w:tc>
                <w:tcPr>
                  <w:tcW w:w="1535" w:type="dxa"/>
                  <w:tcBorders>
                    <w:tl2br w:val="nil"/>
                    <w:tr2bl w:val="nil"/>
                  </w:tcBorders>
                  <w:vAlign w:val="center"/>
                </w:tcPr>
                <w:p>
                  <w:pPr>
                    <w:pStyle w:val="17"/>
                    <w:bidi w:val="0"/>
                    <w:jc w:val="center"/>
                    <w:rPr>
                      <w:rFonts w:hint="default" w:eastAsia="宋体"/>
                      <w:color w:val="auto"/>
                      <w:lang w:val="en-US" w:eastAsia="zh-CN"/>
                    </w:rPr>
                  </w:pPr>
                  <w:r>
                    <w:rPr>
                      <w:color w:val="auto"/>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9" w:type="dxa"/>
                  <w:tcBorders>
                    <w:tl2br w:val="nil"/>
                    <w:tr2bl w:val="nil"/>
                  </w:tcBorders>
                  <w:vAlign w:val="center"/>
                </w:tcPr>
                <w:p>
                  <w:pPr>
                    <w:pStyle w:val="17"/>
                    <w:bidi w:val="0"/>
                    <w:jc w:val="center"/>
                    <w:rPr>
                      <w:rFonts w:hint="default"/>
                      <w:color w:val="auto"/>
                    </w:rPr>
                  </w:pPr>
                  <w:r>
                    <w:rPr>
                      <w:color w:val="auto"/>
                    </w:rPr>
                    <w:t>合计</w:t>
                  </w:r>
                </w:p>
              </w:tc>
              <w:tc>
                <w:tcPr>
                  <w:tcW w:w="1978" w:type="dxa"/>
                  <w:tcBorders>
                    <w:tl2br w:val="nil"/>
                    <w:tr2bl w:val="nil"/>
                  </w:tcBorders>
                  <w:vAlign w:val="center"/>
                </w:tcPr>
                <w:p>
                  <w:pPr>
                    <w:pStyle w:val="17"/>
                    <w:bidi w:val="0"/>
                    <w:jc w:val="center"/>
                    <w:rPr>
                      <w:rFonts w:hint="default"/>
                      <w:color w:val="auto"/>
                    </w:rPr>
                  </w:pPr>
                </w:p>
              </w:tc>
              <w:tc>
                <w:tcPr>
                  <w:tcW w:w="4377" w:type="dxa"/>
                  <w:tcBorders>
                    <w:tl2br w:val="nil"/>
                    <w:tr2bl w:val="nil"/>
                  </w:tcBorders>
                  <w:vAlign w:val="center"/>
                </w:tcPr>
                <w:p>
                  <w:pPr>
                    <w:pStyle w:val="17"/>
                    <w:bidi w:val="0"/>
                    <w:jc w:val="center"/>
                    <w:rPr>
                      <w:rFonts w:hint="default"/>
                      <w:color w:val="auto"/>
                    </w:rPr>
                  </w:pPr>
                </w:p>
              </w:tc>
              <w:tc>
                <w:tcPr>
                  <w:tcW w:w="1535" w:type="dxa"/>
                  <w:tcBorders>
                    <w:tl2br w:val="nil"/>
                    <w:tr2bl w:val="nil"/>
                  </w:tcBorders>
                  <w:vAlign w:val="center"/>
                </w:tcPr>
                <w:p>
                  <w:pPr>
                    <w:pStyle w:val="17"/>
                    <w:bidi w:val="0"/>
                    <w:jc w:val="center"/>
                    <w:rPr>
                      <w:rFonts w:hint="default" w:eastAsia="宋体"/>
                      <w:color w:val="auto"/>
                      <w:lang w:val="en-US" w:eastAsia="zh-CN"/>
                    </w:rPr>
                  </w:pPr>
                  <w:r>
                    <w:rPr>
                      <w:rFonts w:hint="eastAsia"/>
                      <w:color w:val="auto"/>
                      <w:lang w:val="en-US" w:eastAsia="zh-CN"/>
                    </w:rPr>
                    <w:t>271</w:t>
                  </w:r>
                </w:p>
              </w:tc>
            </w:tr>
          </w:tbl>
          <w:p>
            <w:pPr>
              <w:bidi w:val="0"/>
              <w:rPr>
                <w:rFonts w:hint="default"/>
                <w:color w:val="auto"/>
              </w:rPr>
            </w:pPr>
          </w:p>
          <w:p>
            <w:pPr>
              <w:bidi w:val="0"/>
              <w:rPr>
                <w:rFonts w:hint="default"/>
                <w:color w:val="auto"/>
              </w:rPr>
            </w:pPr>
          </w:p>
          <w:p>
            <w:pPr>
              <w:bidi w:val="0"/>
              <w:rPr>
                <w:rFonts w:hint="default"/>
                <w:color w:val="auto"/>
              </w:rPr>
            </w:pPr>
          </w:p>
          <w:p>
            <w:pPr>
              <w:bidi w:val="0"/>
              <w:rPr>
                <w:rFonts w:hint="default"/>
                <w:color w:val="auto"/>
              </w:rPr>
            </w:pPr>
          </w:p>
          <w:p>
            <w:pPr>
              <w:bidi w:val="0"/>
              <w:rPr>
                <w:rFonts w:hint="default"/>
                <w:color w:val="auto"/>
              </w:rPr>
            </w:pPr>
          </w:p>
          <w:p>
            <w:pPr>
              <w:bidi w:val="0"/>
              <w:rPr>
                <w:rFonts w:hint="default"/>
                <w:color w:val="auto"/>
              </w:rPr>
            </w:pPr>
          </w:p>
          <w:p>
            <w:pPr>
              <w:bidi w:val="0"/>
              <w:ind w:left="0" w:leftChars="0" w:firstLine="0" w:firstLineChars="0"/>
              <w:rPr>
                <w:rFonts w:hint="default"/>
                <w:color w:val="auto"/>
              </w:rPr>
            </w:pPr>
          </w:p>
        </w:tc>
      </w:tr>
    </w:tbl>
    <w:p>
      <w:pPr>
        <w:rPr>
          <w:rFonts w:hint="default" w:ascii="Times New Roman" w:hAnsi="Times New Roman" w:cs="Times New Roman"/>
          <w:color w:val="auto"/>
        </w:r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720" w:num="1"/>
          <w:docGrid w:linePitch="312" w:charSpace="0"/>
        </w:sectPr>
      </w:pPr>
    </w:p>
    <w:p>
      <w:pPr>
        <w:jc w:val="center"/>
        <w:outlineLvl w:val="0"/>
        <w:rPr>
          <w:rFonts w:hint="default" w:ascii="Times New Roman" w:hAnsi="Times New Roman" w:eastAsia="黑体" w:cs="Times New Roman"/>
          <w:snapToGrid w:val="0"/>
          <w:color w:val="auto"/>
          <w:sz w:val="30"/>
          <w:szCs w:val="30"/>
        </w:rPr>
      </w:pPr>
      <w:bookmarkStart w:id="11" w:name="_Toc2732"/>
      <w:r>
        <w:rPr>
          <w:rFonts w:hint="default" w:ascii="Times New Roman" w:hAnsi="Times New Roman" w:eastAsia="黑体" w:cs="Times New Roman"/>
          <w:snapToGrid w:val="0"/>
          <w:color w:val="auto"/>
          <w:sz w:val="30"/>
          <w:szCs w:val="30"/>
        </w:rPr>
        <w:t>六、生态环境保护措施监督检查清单</w:t>
      </w:r>
      <w:bookmarkEnd w:id="11"/>
    </w:p>
    <w:tbl>
      <w:tblPr>
        <w:tblStyle w:val="19"/>
        <w:tblW w:w="85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2430"/>
        <w:gridCol w:w="1646"/>
        <w:gridCol w:w="1692"/>
        <w:gridCol w:w="15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171" w:type="dxa"/>
            <w:vMerge w:val="restart"/>
            <w:tcBorders>
              <w:top w:val="single" w:color="000000" w:sz="6" w:space="0"/>
              <w:left w:val="single" w:color="000000" w:sz="6" w:space="0"/>
              <w:bottom w:val="nil"/>
              <w:tl2br w:val="single" w:color="000000" w:sz="4" w:space="0"/>
            </w:tcBorders>
            <w:vAlign w:val="center"/>
          </w:tcPr>
          <w:p>
            <w:pPr>
              <w:pStyle w:val="17"/>
              <w:bidi w:val="0"/>
              <w:jc w:val="center"/>
              <w:rPr>
                <w:rFonts w:hint="default"/>
                <w:color w:val="auto"/>
                <w:sz w:val="21"/>
                <w:szCs w:val="21"/>
              </w:rPr>
            </w:pPr>
            <w:r>
              <w:rPr>
                <w:rFonts w:hint="eastAsia"/>
                <w:color w:val="auto"/>
                <w:sz w:val="21"/>
                <w:szCs w:val="21"/>
                <w:lang w:val="en-US" w:eastAsia="zh-CN"/>
              </w:rPr>
              <w:t xml:space="preserve">     </w:t>
            </w:r>
            <w:r>
              <w:rPr>
                <w:rFonts w:hint="default"/>
                <w:color w:val="auto"/>
                <w:sz w:val="21"/>
                <w:szCs w:val="21"/>
              </w:rPr>
              <w:t>内容</w:t>
            </w:r>
          </w:p>
          <w:p>
            <w:pPr>
              <w:pStyle w:val="17"/>
              <w:bidi w:val="0"/>
              <w:jc w:val="center"/>
              <w:rPr>
                <w:rFonts w:hint="default"/>
                <w:color w:val="auto"/>
                <w:sz w:val="21"/>
                <w:szCs w:val="21"/>
              </w:rPr>
            </w:pPr>
          </w:p>
          <w:p>
            <w:pPr>
              <w:pStyle w:val="17"/>
              <w:bidi w:val="0"/>
              <w:jc w:val="both"/>
              <w:rPr>
                <w:rFonts w:hint="default"/>
                <w:color w:val="auto"/>
                <w:sz w:val="21"/>
                <w:szCs w:val="21"/>
              </w:rPr>
            </w:pPr>
            <w:r>
              <w:rPr>
                <w:rFonts w:hint="default"/>
                <w:color w:val="auto"/>
                <w:sz w:val="21"/>
                <w:szCs w:val="21"/>
              </w:rPr>
              <w:t>要素</w:t>
            </w:r>
          </w:p>
        </w:tc>
        <w:tc>
          <w:tcPr>
            <w:tcW w:w="4076" w:type="dxa"/>
            <w:gridSpan w:val="2"/>
            <w:tcBorders>
              <w:top w:val="single" w:color="000000" w:sz="6" w:space="0"/>
            </w:tcBorders>
            <w:vAlign w:val="center"/>
          </w:tcPr>
          <w:p>
            <w:pPr>
              <w:pStyle w:val="17"/>
              <w:bidi w:val="0"/>
              <w:jc w:val="center"/>
              <w:rPr>
                <w:rFonts w:hint="default"/>
                <w:color w:val="auto"/>
                <w:sz w:val="21"/>
                <w:szCs w:val="21"/>
              </w:rPr>
            </w:pPr>
            <w:r>
              <w:rPr>
                <w:rFonts w:hint="default"/>
                <w:color w:val="auto"/>
                <w:sz w:val="21"/>
                <w:szCs w:val="21"/>
              </w:rPr>
              <w:t>施工期</w:t>
            </w:r>
          </w:p>
        </w:tc>
        <w:tc>
          <w:tcPr>
            <w:tcW w:w="3279" w:type="dxa"/>
            <w:gridSpan w:val="2"/>
            <w:tcBorders>
              <w:top w:val="single" w:color="000000" w:sz="6" w:space="0"/>
              <w:right w:val="single" w:color="000000" w:sz="6" w:space="0"/>
            </w:tcBorders>
            <w:vAlign w:val="center"/>
          </w:tcPr>
          <w:p>
            <w:pPr>
              <w:pStyle w:val="17"/>
              <w:bidi w:val="0"/>
              <w:jc w:val="center"/>
              <w:rPr>
                <w:rFonts w:hint="default"/>
                <w:color w:val="auto"/>
                <w:sz w:val="21"/>
                <w:szCs w:val="21"/>
              </w:rPr>
            </w:pPr>
            <w:r>
              <w:rPr>
                <w:rFonts w:hint="default"/>
                <w:color w:val="auto"/>
                <w:sz w:val="21"/>
                <w:szCs w:val="21"/>
              </w:rPr>
              <w:t>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171" w:type="dxa"/>
            <w:vMerge w:val="continue"/>
            <w:tcBorders>
              <w:top w:val="nil"/>
              <w:left w:val="single" w:color="000000" w:sz="6" w:space="0"/>
              <w:tl2br w:val="single" w:color="000000" w:sz="4" w:space="0"/>
            </w:tcBorders>
            <w:vAlign w:val="center"/>
          </w:tcPr>
          <w:p>
            <w:pPr>
              <w:pStyle w:val="17"/>
              <w:bidi w:val="0"/>
              <w:jc w:val="center"/>
              <w:rPr>
                <w:rFonts w:hint="default"/>
                <w:color w:val="auto"/>
                <w:sz w:val="21"/>
                <w:szCs w:val="21"/>
              </w:rPr>
            </w:pPr>
          </w:p>
        </w:tc>
        <w:tc>
          <w:tcPr>
            <w:tcW w:w="2430" w:type="dxa"/>
            <w:vAlign w:val="center"/>
          </w:tcPr>
          <w:p>
            <w:pPr>
              <w:pStyle w:val="17"/>
              <w:bidi w:val="0"/>
              <w:jc w:val="both"/>
              <w:rPr>
                <w:rFonts w:hint="default" w:ascii="Times New Roman" w:hAnsi="Times New Roman" w:eastAsia="宋体" w:cs="Times New Roman"/>
                <w:snapToGrid w:val="0"/>
                <w:color w:val="auto"/>
                <w:kern w:val="0"/>
                <w:sz w:val="21"/>
                <w:szCs w:val="21"/>
                <w:lang w:val="zh-CN" w:eastAsia="zh-CN" w:bidi="ar-SA"/>
              </w:rPr>
            </w:pPr>
            <w:r>
              <w:rPr>
                <w:rFonts w:hint="default" w:ascii="Times New Roman" w:hAnsi="Times New Roman" w:eastAsia="宋体" w:cs="Times New Roman"/>
                <w:snapToGrid w:val="0"/>
                <w:color w:val="auto"/>
                <w:kern w:val="0"/>
                <w:sz w:val="21"/>
                <w:szCs w:val="21"/>
                <w:lang w:val="zh-CN" w:eastAsia="zh-CN" w:bidi="ar-SA"/>
              </w:rPr>
              <w:t>环境保护措施</w:t>
            </w:r>
          </w:p>
        </w:tc>
        <w:tc>
          <w:tcPr>
            <w:tcW w:w="1646" w:type="dxa"/>
            <w:vAlign w:val="center"/>
          </w:tcPr>
          <w:p>
            <w:pPr>
              <w:pStyle w:val="17"/>
              <w:bidi w:val="0"/>
              <w:jc w:val="center"/>
              <w:rPr>
                <w:rFonts w:hint="default"/>
                <w:color w:val="auto"/>
                <w:sz w:val="21"/>
                <w:szCs w:val="21"/>
              </w:rPr>
            </w:pPr>
            <w:r>
              <w:rPr>
                <w:rFonts w:hint="default"/>
                <w:color w:val="auto"/>
                <w:sz w:val="21"/>
                <w:szCs w:val="21"/>
              </w:rPr>
              <w:t>验收要求</w:t>
            </w:r>
          </w:p>
        </w:tc>
        <w:tc>
          <w:tcPr>
            <w:tcW w:w="1692" w:type="dxa"/>
            <w:vAlign w:val="center"/>
          </w:tcPr>
          <w:p>
            <w:pPr>
              <w:pStyle w:val="17"/>
              <w:bidi w:val="0"/>
              <w:jc w:val="center"/>
              <w:rPr>
                <w:rFonts w:hint="default"/>
                <w:color w:val="auto"/>
                <w:sz w:val="21"/>
                <w:szCs w:val="21"/>
              </w:rPr>
            </w:pPr>
            <w:r>
              <w:rPr>
                <w:rFonts w:hint="default"/>
                <w:color w:val="auto"/>
                <w:sz w:val="21"/>
                <w:szCs w:val="21"/>
              </w:rPr>
              <w:t>环境保护措施</w:t>
            </w:r>
          </w:p>
        </w:tc>
        <w:tc>
          <w:tcPr>
            <w:tcW w:w="1587" w:type="dxa"/>
            <w:tcBorders>
              <w:right w:val="single" w:color="000000" w:sz="6" w:space="0"/>
            </w:tcBorders>
            <w:vAlign w:val="center"/>
          </w:tcPr>
          <w:p>
            <w:pPr>
              <w:pStyle w:val="17"/>
              <w:bidi w:val="0"/>
              <w:jc w:val="center"/>
              <w:rPr>
                <w:rFonts w:hint="default"/>
                <w:color w:val="auto"/>
                <w:sz w:val="21"/>
                <w:szCs w:val="21"/>
              </w:rPr>
            </w:pPr>
            <w:r>
              <w:rPr>
                <w:rFonts w:hint="default"/>
                <w:color w:val="auto"/>
                <w:sz w:val="21"/>
                <w:szCs w:val="21"/>
              </w:rPr>
              <w:t>验收要求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5" w:hRule="atLeast"/>
        </w:trPr>
        <w:tc>
          <w:tcPr>
            <w:tcW w:w="1171" w:type="dxa"/>
            <w:tcBorders>
              <w:left w:val="single" w:color="000000" w:sz="6" w:space="0"/>
            </w:tcBorders>
            <w:vAlign w:val="center"/>
          </w:tcPr>
          <w:p>
            <w:pPr>
              <w:pStyle w:val="17"/>
              <w:bidi w:val="0"/>
              <w:jc w:val="center"/>
              <w:rPr>
                <w:rFonts w:hint="default"/>
                <w:color w:val="auto"/>
                <w:sz w:val="21"/>
                <w:szCs w:val="21"/>
              </w:rPr>
            </w:pPr>
            <w:r>
              <w:rPr>
                <w:rFonts w:hint="default"/>
                <w:color w:val="auto"/>
                <w:sz w:val="21"/>
                <w:szCs w:val="21"/>
              </w:rPr>
              <w:t>陆生生态</w:t>
            </w:r>
          </w:p>
        </w:tc>
        <w:tc>
          <w:tcPr>
            <w:tcW w:w="2430" w:type="dxa"/>
            <w:vAlign w:val="center"/>
          </w:tcPr>
          <w:p>
            <w:pPr>
              <w:pStyle w:val="17"/>
              <w:bidi w:val="0"/>
              <w:jc w:val="center"/>
              <w:rPr>
                <w:rFonts w:hint="eastAsia"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zh-CN" w:eastAsia="zh-CN"/>
              </w:rPr>
              <w:t>施工期间，严格控制施工作业范围，</w:t>
            </w:r>
            <w:r>
              <w:rPr>
                <w:rFonts w:hint="eastAsia" w:ascii="Times New Roman" w:hAnsi="Times New Roman" w:eastAsia="宋体" w:cs="Times New Roman"/>
                <w:color w:val="auto"/>
                <w:sz w:val="21"/>
                <w:szCs w:val="21"/>
                <w:lang w:val="en-US" w:eastAsia="zh-CN"/>
              </w:rPr>
              <w:t>施工场地必要时采取围挡、封闭施工，</w:t>
            </w:r>
            <w:r>
              <w:rPr>
                <w:rFonts w:hint="eastAsia" w:ascii="Times New Roman" w:hAnsi="Times New Roman" w:eastAsia="宋体" w:cs="Times New Roman"/>
                <w:color w:val="auto"/>
                <w:sz w:val="21"/>
                <w:szCs w:val="21"/>
                <w:lang w:val="zh-CN" w:eastAsia="zh-CN"/>
              </w:rPr>
              <w:t>施工单位应加强对施工人员的管理，严令禁止到非施工区活动，</w:t>
            </w:r>
            <w:r>
              <w:rPr>
                <w:rFonts w:hint="eastAsia" w:ascii="Times New Roman" w:hAnsi="Times New Roman" w:eastAsia="宋体" w:cs="Times New Roman"/>
                <w:color w:val="auto"/>
                <w:sz w:val="21"/>
                <w:szCs w:val="21"/>
                <w:lang w:val="en-US" w:eastAsia="zh-CN"/>
              </w:rPr>
              <w:t>施工过程应进行洒水降尘</w:t>
            </w:r>
            <w:r>
              <w:rPr>
                <w:rFonts w:hint="eastAsia" w:ascii="Times New Roman" w:hAnsi="Times New Roman" w:eastAsia="宋体" w:cs="Times New Roman"/>
                <w:color w:val="auto"/>
                <w:sz w:val="21"/>
                <w:szCs w:val="21"/>
                <w:lang w:val="zh-CN" w:eastAsia="zh-CN"/>
              </w:rPr>
              <w:t>。</w:t>
            </w:r>
          </w:p>
          <w:p>
            <w:pPr>
              <w:pStyle w:val="17"/>
              <w:bidi w:val="0"/>
              <w:jc w:val="center"/>
              <w:rPr>
                <w:rFonts w:hint="eastAsia"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zh-CN" w:eastAsia="zh-CN"/>
              </w:rPr>
              <w:t>教育施工人员，禁止捕食</w:t>
            </w:r>
            <w:r>
              <w:rPr>
                <w:rFonts w:hint="eastAsia" w:ascii="Times New Roman" w:hAnsi="Times New Roman" w:eastAsia="宋体" w:cs="Times New Roman"/>
                <w:color w:val="auto"/>
                <w:sz w:val="21"/>
                <w:szCs w:val="21"/>
                <w:lang w:val="en-US" w:eastAsia="zh-CN"/>
              </w:rPr>
              <w:t>野生动物</w:t>
            </w:r>
            <w:r>
              <w:rPr>
                <w:rFonts w:hint="eastAsia" w:ascii="Times New Roman" w:hAnsi="Times New Roman" w:eastAsia="宋体" w:cs="Times New Roman"/>
                <w:color w:val="auto"/>
                <w:sz w:val="21"/>
                <w:szCs w:val="21"/>
                <w:lang w:val="zh-CN" w:eastAsia="zh-CN"/>
              </w:rPr>
              <w:t>，以减轻施工对陆生动物的影响。</w:t>
            </w:r>
          </w:p>
          <w:p>
            <w:pPr>
              <w:pStyle w:val="17"/>
              <w:bidi w:val="0"/>
              <w:jc w:val="center"/>
              <w:rPr>
                <w:rFonts w:hint="eastAsia"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val="zh-CN" w:eastAsia="zh-CN"/>
              </w:rPr>
              <w:t>施工期施工建设单位应加强</w:t>
            </w:r>
            <w:r>
              <w:rPr>
                <w:rFonts w:hint="eastAsia" w:ascii="Times New Roman" w:hAnsi="Times New Roman" w:eastAsia="宋体" w:cs="Times New Roman"/>
                <w:color w:val="auto"/>
                <w:sz w:val="21"/>
                <w:szCs w:val="21"/>
                <w:lang w:val="en-US" w:eastAsia="zh-CN"/>
              </w:rPr>
              <w:t>临时占地</w:t>
            </w:r>
            <w:r>
              <w:rPr>
                <w:rFonts w:hint="eastAsia" w:ascii="Times New Roman" w:hAnsi="Times New Roman" w:eastAsia="宋体" w:cs="Times New Roman"/>
                <w:color w:val="auto"/>
                <w:sz w:val="21"/>
                <w:szCs w:val="21"/>
                <w:lang w:val="zh-CN" w:eastAsia="zh-CN"/>
              </w:rPr>
              <w:t>植被的恢复，保证</w:t>
            </w:r>
            <w:r>
              <w:rPr>
                <w:rFonts w:hint="eastAsia" w:ascii="Times New Roman" w:hAnsi="Times New Roman" w:eastAsia="宋体" w:cs="Times New Roman"/>
                <w:color w:val="auto"/>
                <w:sz w:val="21"/>
                <w:szCs w:val="21"/>
                <w:lang w:val="en-US" w:eastAsia="zh-CN"/>
              </w:rPr>
              <w:t>工程与果赛景区</w:t>
            </w:r>
            <w:r>
              <w:rPr>
                <w:rFonts w:hint="eastAsia" w:ascii="Times New Roman" w:hAnsi="Times New Roman" w:eastAsia="宋体" w:cs="Times New Roman"/>
                <w:color w:val="auto"/>
                <w:sz w:val="21"/>
                <w:szCs w:val="21"/>
                <w:lang w:val="zh-CN" w:eastAsia="zh-CN"/>
              </w:rPr>
              <w:t>生态完整性和协调性。</w:t>
            </w:r>
          </w:p>
          <w:p>
            <w:pPr>
              <w:pStyle w:val="17"/>
              <w:bidi w:val="0"/>
              <w:jc w:val="center"/>
              <w:rPr>
                <w:rFonts w:hint="default" w:ascii="Times New Roman" w:hAnsi="Times New Roman" w:eastAsia="宋体" w:cs="Times New Roman"/>
                <w:color w:val="auto"/>
                <w:sz w:val="21"/>
                <w:szCs w:val="21"/>
                <w:lang w:val="zh-CN" w:eastAsia="zh-CN"/>
              </w:rPr>
            </w:pP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val="zh-CN" w:eastAsia="zh-CN"/>
              </w:rPr>
              <w:t>施工前期将荒草地表层的</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val="zh-CN" w:eastAsia="zh-CN"/>
              </w:rPr>
              <w:t>0-40cm含肥力较高的土壤首先进行剥离，</w:t>
            </w:r>
            <w:r>
              <w:rPr>
                <w:rFonts w:hint="eastAsia" w:ascii="Times New Roman" w:hAnsi="Times New Roman" w:eastAsia="宋体" w:cs="Times New Roman"/>
                <w:color w:val="auto"/>
                <w:sz w:val="21"/>
                <w:szCs w:val="21"/>
                <w:lang w:val="en-US" w:eastAsia="zh-CN"/>
              </w:rPr>
              <w:t>一般临时堆土进行苫盖，表土堆存期间边坡进行撒播草籽。</w:t>
            </w:r>
          </w:p>
        </w:tc>
        <w:tc>
          <w:tcPr>
            <w:tcW w:w="1646" w:type="dxa"/>
            <w:vAlign w:val="center"/>
          </w:tcPr>
          <w:p>
            <w:pPr>
              <w:pStyle w:val="17"/>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w:t>
            </w:r>
            <w:r>
              <w:rPr>
                <w:rFonts w:hint="eastAsia" w:ascii="Times New Roman" w:hAnsi="Times New Roman" w:eastAsia="宋体" w:cs="Times New Roman"/>
                <w:color w:val="auto"/>
                <w:sz w:val="21"/>
                <w:szCs w:val="21"/>
                <w:lang w:eastAsia="zh-CN"/>
              </w:rPr>
              <w:t>风景区</w:t>
            </w:r>
            <w:r>
              <w:rPr>
                <w:rFonts w:hint="default" w:ascii="Times New Roman" w:hAnsi="Times New Roman" w:eastAsia="宋体" w:cs="Times New Roman"/>
                <w:color w:val="auto"/>
                <w:sz w:val="21"/>
                <w:szCs w:val="21"/>
              </w:rPr>
              <w:t>内生态和景观环境</w:t>
            </w:r>
          </w:p>
        </w:tc>
        <w:tc>
          <w:tcPr>
            <w:tcW w:w="1692" w:type="dxa"/>
            <w:vAlign w:val="center"/>
          </w:tcPr>
          <w:p>
            <w:pPr>
              <w:pStyle w:val="17"/>
              <w:bidi w:val="0"/>
              <w:jc w:val="center"/>
              <w:rPr>
                <w:rFonts w:hint="default"/>
                <w:color w:val="auto"/>
                <w:sz w:val="21"/>
                <w:szCs w:val="21"/>
              </w:rPr>
            </w:pPr>
            <w:r>
              <w:rPr>
                <w:rFonts w:hint="default"/>
                <w:color w:val="auto"/>
                <w:sz w:val="21"/>
                <w:szCs w:val="21"/>
              </w:rPr>
              <w:t>加强管理和宣传，禁止滥砍滥伐；加强管理和教育，倡导文明旅游，杜绝破坏景观，污染环境等行为</w:t>
            </w:r>
          </w:p>
        </w:tc>
        <w:tc>
          <w:tcPr>
            <w:tcW w:w="1587" w:type="dxa"/>
            <w:tcBorders>
              <w:right w:val="single" w:color="000000" w:sz="6" w:space="0"/>
            </w:tcBorders>
            <w:vAlign w:val="center"/>
          </w:tcPr>
          <w:p>
            <w:pPr>
              <w:pStyle w:val="17"/>
              <w:bidi w:val="0"/>
              <w:jc w:val="center"/>
              <w:rPr>
                <w:rFonts w:hint="default"/>
                <w:color w:val="auto"/>
                <w:sz w:val="21"/>
                <w:szCs w:val="21"/>
              </w:rPr>
            </w:pPr>
            <w:r>
              <w:rPr>
                <w:rFonts w:hint="default"/>
                <w:color w:val="auto"/>
                <w:sz w:val="21"/>
                <w:szCs w:val="21"/>
              </w:rPr>
              <w:t>防止游客和工作人员毁坏沿线植被；保护</w:t>
            </w:r>
            <w:r>
              <w:rPr>
                <w:rFonts w:hint="eastAsia"/>
                <w:color w:val="auto"/>
                <w:sz w:val="21"/>
                <w:szCs w:val="21"/>
                <w:lang w:eastAsia="zh-CN"/>
              </w:rPr>
              <w:t>风景区</w:t>
            </w:r>
            <w:r>
              <w:rPr>
                <w:rFonts w:hint="default"/>
                <w:color w:val="auto"/>
                <w:sz w:val="21"/>
                <w:szCs w:val="21"/>
              </w:rPr>
              <w:t>内生态和景观环境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171" w:type="dxa"/>
            <w:tcBorders>
              <w:left w:val="single" w:color="000000" w:sz="6" w:space="0"/>
            </w:tcBorders>
            <w:vAlign w:val="center"/>
          </w:tcPr>
          <w:p>
            <w:pPr>
              <w:pStyle w:val="17"/>
              <w:bidi w:val="0"/>
              <w:jc w:val="center"/>
              <w:rPr>
                <w:rFonts w:hint="default"/>
                <w:color w:val="auto"/>
                <w:sz w:val="21"/>
                <w:szCs w:val="21"/>
              </w:rPr>
            </w:pPr>
            <w:r>
              <w:rPr>
                <w:rFonts w:hint="default"/>
                <w:color w:val="auto"/>
                <w:sz w:val="21"/>
                <w:szCs w:val="21"/>
              </w:rPr>
              <w:t>水生生态</w:t>
            </w:r>
          </w:p>
        </w:tc>
        <w:tc>
          <w:tcPr>
            <w:tcW w:w="2430" w:type="dxa"/>
            <w:vAlign w:val="center"/>
          </w:tcPr>
          <w:p>
            <w:pPr>
              <w:pStyle w:val="17"/>
              <w:bidi w:val="0"/>
              <w:jc w:val="center"/>
              <w:rPr>
                <w:rFonts w:hint="default"/>
                <w:color w:val="auto"/>
                <w:sz w:val="21"/>
                <w:szCs w:val="21"/>
              </w:rPr>
            </w:pPr>
            <w:r>
              <w:rPr>
                <w:rFonts w:hint="default"/>
                <w:color w:val="auto"/>
                <w:sz w:val="21"/>
                <w:szCs w:val="21"/>
              </w:rPr>
              <w:t>/</w:t>
            </w:r>
          </w:p>
        </w:tc>
        <w:tc>
          <w:tcPr>
            <w:tcW w:w="1646" w:type="dxa"/>
            <w:vAlign w:val="center"/>
          </w:tcPr>
          <w:p>
            <w:pPr>
              <w:pStyle w:val="17"/>
              <w:bidi w:val="0"/>
              <w:jc w:val="center"/>
              <w:rPr>
                <w:rFonts w:hint="default"/>
                <w:color w:val="auto"/>
                <w:sz w:val="21"/>
                <w:szCs w:val="21"/>
              </w:rPr>
            </w:pPr>
            <w:r>
              <w:rPr>
                <w:rFonts w:hint="default"/>
                <w:color w:val="auto"/>
                <w:sz w:val="21"/>
                <w:szCs w:val="21"/>
              </w:rPr>
              <w:t>/</w:t>
            </w:r>
          </w:p>
        </w:tc>
        <w:tc>
          <w:tcPr>
            <w:tcW w:w="1692" w:type="dxa"/>
            <w:vAlign w:val="center"/>
          </w:tcPr>
          <w:p>
            <w:pPr>
              <w:pStyle w:val="17"/>
              <w:bidi w:val="0"/>
              <w:jc w:val="center"/>
              <w:rPr>
                <w:rFonts w:hint="default"/>
                <w:color w:val="auto"/>
                <w:sz w:val="21"/>
                <w:szCs w:val="21"/>
              </w:rPr>
            </w:pPr>
            <w:r>
              <w:rPr>
                <w:rFonts w:hint="default"/>
                <w:color w:val="auto"/>
                <w:sz w:val="21"/>
                <w:szCs w:val="21"/>
              </w:rPr>
              <w:t>/</w:t>
            </w:r>
          </w:p>
        </w:tc>
        <w:tc>
          <w:tcPr>
            <w:tcW w:w="1587" w:type="dxa"/>
            <w:tcBorders>
              <w:right w:val="single" w:color="000000" w:sz="6" w:space="0"/>
            </w:tcBorders>
            <w:vAlign w:val="center"/>
          </w:tcPr>
          <w:p>
            <w:pPr>
              <w:pStyle w:val="17"/>
              <w:bidi w:val="0"/>
              <w:jc w:val="center"/>
              <w:rPr>
                <w:rFonts w:hint="default"/>
                <w:color w:val="auto"/>
                <w:sz w:val="21"/>
                <w:szCs w:val="21"/>
              </w:rPr>
            </w:pPr>
            <w:r>
              <w:rPr>
                <w:rFonts w:hint="default"/>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171" w:type="dxa"/>
            <w:tcBorders>
              <w:left w:val="single" w:color="000000" w:sz="6" w:space="0"/>
            </w:tcBorders>
            <w:vAlign w:val="center"/>
          </w:tcPr>
          <w:p>
            <w:pPr>
              <w:pStyle w:val="17"/>
              <w:bidi w:val="0"/>
              <w:jc w:val="center"/>
              <w:rPr>
                <w:rFonts w:hint="default"/>
                <w:color w:val="auto"/>
                <w:sz w:val="21"/>
                <w:szCs w:val="21"/>
              </w:rPr>
            </w:pPr>
            <w:r>
              <w:rPr>
                <w:rFonts w:hint="default"/>
                <w:color w:val="auto"/>
                <w:sz w:val="21"/>
                <w:szCs w:val="21"/>
              </w:rPr>
              <w:t>地表水环境</w:t>
            </w:r>
          </w:p>
        </w:tc>
        <w:tc>
          <w:tcPr>
            <w:tcW w:w="2430" w:type="dxa"/>
            <w:vAlign w:val="center"/>
          </w:tcPr>
          <w:p>
            <w:pPr>
              <w:pStyle w:val="17"/>
              <w:bidi w:val="0"/>
              <w:ind w:firstLine="0" w:firstLineChars="0"/>
              <w:jc w:val="center"/>
              <w:rPr>
                <w:rFonts w:hint="default"/>
                <w:color w:val="auto"/>
                <w:sz w:val="21"/>
                <w:szCs w:val="21"/>
              </w:rPr>
            </w:pPr>
            <w:r>
              <w:rPr>
                <w:rFonts w:hint="default"/>
                <w:color w:val="auto"/>
                <w:sz w:val="21"/>
                <w:szCs w:val="21"/>
              </w:rPr>
              <w:t>施工人员生活污水定期拉运至景区现有污水处理站处理；施工废水经沉砂池处理后，回用于场地洒水降尘</w:t>
            </w:r>
          </w:p>
        </w:tc>
        <w:tc>
          <w:tcPr>
            <w:tcW w:w="1646" w:type="dxa"/>
            <w:vAlign w:val="center"/>
          </w:tcPr>
          <w:p>
            <w:pPr>
              <w:pStyle w:val="17"/>
              <w:bidi w:val="0"/>
              <w:ind w:firstLine="0" w:firstLineChars="0"/>
              <w:jc w:val="center"/>
              <w:rPr>
                <w:rFonts w:hint="default"/>
                <w:color w:val="auto"/>
                <w:sz w:val="21"/>
                <w:szCs w:val="21"/>
              </w:rPr>
            </w:pP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污水综合排放标准</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GB</w:t>
            </w:r>
            <w:r>
              <w:rPr>
                <w:rFonts w:hint="eastAsia" w:ascii="Times New Roman" w:hAnsi="Times New Roman" w:eastAsia="宋体" w:cs="Times New Roman"/>
                <w:color w:val="auto"/>
                <w:kern w:val="2"/>
                <w:sz w:val="21"/>
                <w:szCs w:val="21"/>
                <w:lang w:val="en-US" w:eastAsia="zh-CN" w:bidi="ar-SA"/>
              </w:rPr>
              <w:t>8978</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1996）三级标准</w:t>
            </w:r>
          </w:p>
        </w:tc>
        <w:tc>
          <w:tcPr>
            <w:tcW w:w="1692" w:type="dxa"/>
            <w:vAlign w:val="center"/>
          </w:tcPr>
          <w:p>
            <w:pPr>
              <w:pStyle w:val="17"/>
              <w:bidi w:val="0"/>
              <w:ind w:firstLine="0" w:firstLineChars="0"/>
              <w:jc w:val="center"/>
              <w:rPr>
                <w:rFonts w:hint="default"/>
                <w:color w:val="auto"/>
                <w:sz w:val="21"/>
                <w:szCs w:val="21"/>
              </w:rPr>
            </w:pPr>
            <w:r>
              <w:rPr>
                <w:rFonts w:hint="default"/>
                <w:color w:val="auto"/>
                <w:sz w:val="21"/>
                <w:szCs w:val="21"/>
              </w:rPr>
              <w:t>生活污水经拟建</w:t>
            </w:r>
            <w:r>
              <w:rPr>
                <w:rFonts w:hint="eastAsia"/>
                <w:color w:val="auto"/>
                <w:sz w:val="21"/>
                <w:szCs w:val="21"/>
                <w:lang w:eastAsia="zh-CN"/>
              </w:rPr>
              <w:t>“</w:t>
            </w:r>
            <w:r>
              <w:rPr>
                <w:rFonts w:hint="default"/>
                <w:color w:val="auto"/>
                <w:sz w:val="21"/>
                <w:szCs w:val="21"/>
              </w:rPr>
              <w:t>地埋式一体化污水处理设施</w:t>
            </w:r>
            <w:r>
              <w:rPr>
                <w:rFonts w:hint="eastAsia"/>
                <w:color w:val="auto"/>
                <w:sz w:val="21"/>
                <w:szCs w:val="21"/>
                <w:lang w:eastAsia="zh-CN"/>
              </w:rPr>
              <w:t>”</w:t>
            </w:r>
            <w:r>
              <w:rPr>
                <w:rFonts w:hint="default"/>
                <w:color w:val="auto"/>
                <w:sz w:val="21"/>
                <w:szCs w:val="21"/>
              </w:rPr>
              <w:t>处理后</w:t>
            </w:r>
            <w:r>
              <w:rPr>
                <w:rFonts w:hint="eastAsia"/>
                <w:color w:val="auto"/>
                <w:sz w:val="21"/>
                <w:szCs w:val="21"/>
                <w:lang w:val="en-US" w:eastAsia="zh-CN"/>
              </w:rPr>
              <w:t>定期由吸污车清运至当地生活污水处理厂处理，待</w:t>
            </w:r>
            <w:r>
              <w:rPr>
                <w:rFonts w:cs="Times New Roman"/>
                <w:kern w:val="0"/>
                <w:szCs w:val="24"/>
              </w:rPr>
              <w:t>果</w:t>
            </w:r>
            <w:r>
              <w:rPr>
                <w:rFonts w:hint="eastAsia" w:cs="Times New Roman"/>
                <w:kern w:val="0"/>
                <w:szCs w:val="24"/>
                <w:lang w:val="en-US" w:eastAsia="zh-CN"/>
              </w:rPr>
              <w:t>赛</w:t>
            </w:r>
            <w:r>
              <w:rPr>
                <w:rFonts w:cs="Times New Roman"/>
                <w:kern w:val="0"/>
                <w:szCs w:val="24"/>
              </w:rPr>
              <w:t>景区</w:t>
            </w:r>
            <w:r>
              <w:rPr>
                <w:rFonts w:hint="eastAsia" w:cs="Times New Roman"/>
                <w:kern w:val="0"/>
                <w:szCs w:val="24"/>
                <w:lang w:val="en-US" w:eastAsia="zh-CN"/>
              </w:rPr>
              <w:t>污水处理厂建成后运至景区污水处理厂处理</w:t>
            </w:r>
          </w:p>
        </w:tc>
        <w:tc>
          <w:tcPr>
            <w:tcW w:w="1587" w:type="dxa"/>
            <w:tcBorders>
              <w:right w:val="single" w:color="000000" w:sz="6" w:space="0"/>
            </w:tcBorders>
            <w:vAlign w:val="center"/>
          </w:tcPr>
          <w:p>
            <w:pPr>
              <w:pStyle w:val="17"/>
              <w:bidi w:val="0"/>
              <w:ind w:firstLine="0" w:firstLineChars="0"/>
              <w:jc w:val="center"/>
              <w:rPr>
                <w:rFonts w:hint="default"/>
                <w:color w:val="auto"/>
                <w:sz w:val="21"/>
                <w:szCs w:val="21"/>
              </w:rPr>
            </w:pP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污水综合排放标准</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GB</w:t>
            </w:r>
            <w:r>
              <w:rPr>
                <w:rFonts w:hint="eastAsia" w:ascii="Times New Roman" w:hAnsi="Times New Roman" w:eastAsia="宋体" w:cs="Times New Roman"/>
                <w:color w:val="auto"/>
                <w:kern w:val="2"/>
                <w:sz w:val="21"/>
                <w:szCs w:val="21"/>
                <w:lang w:val="en-US" w:eastAsia="zh-CN" w:bidi="ar-SA"/>
              </w:rPr>
              <w:t>8978</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1996）三级标准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171" w:type="dxa"/>
            <w:tcBorders>
              <w:left w:val="single" w:color="000000" w:sz="6" w:space="0"/>
            </w:tcBorders>
            <w:vAlign w:val="center"/>
          </w:tcPr>
          <w:p>
            <w:pPr>
              <w:pStyle w:val="17"/>
              <w:bidi w:val="0"/>
              <w:jc w:val="center"/>
              <w:rPr>
                <w:rFonts w:hint="default"/>
                <w:color w:val="auto"/>
                <w:sz w:val="21"/>
                <w:szCs w:val="21"/>
              </w:rPr>
            </w:pPr>
            <w:r>
              <w:rPr>
                <w:rFonts w:hint="default"/>
                <w:color w:val="auto"/>
                <w:sz w:val="21"/>
                <w:szCs w:val="21"/>
              </w:rPr>
              <w:t>地下水及土壤环境</w:t>
            </w:r>
          </w:p>
        </w:tc>
        <w:tc>
          <w:tcPr>
            <w:tcW w:w="2430" w:type="dxa"/>
            <w:vAlign w:val="top"/>
          </w:tcPr>
          <w:p>
            <w:pPr>
              <w:pStyle w:val="17"/>
              <w:bidi w:val="0"/>
              <w:ind w:left="0" w:leftChars="0" w:right="0" w:rightChars="0" w:firstLine="0" w:firstLine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①加强施工期管理，加强对运输车辆、施工机械设备定期检修保养，避免在施工过程中燃油、机油的跑、冒、滴、漏污染土壤和地下水环境。</w:t>
            </w:r>
          </w:p>
          <w:p>
            <w:pPr>
              <w:pStyle w:val="17"/>
              <w:bidi w:val="0"/>
              <w:ind w:left="0" w:leftChars="0" w:right="0" w:rightChars="0" w:firstLine="0" w:firstLine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②严禁施工废水随意排放，污染土壤和地下水环境。</w:t>
            </w:r>
          </w:p>
          <w:p>
            <w:pPr>
              <w:pStyle w:val="17"/>
              <w:bidi w:val="0"/>
              <w:ind w:left="0" w:leftChars="0" w:right="0" w:rightChars="0" w:firstLine="0" w:firstLine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③在施工前期将占地表层的</w:t>
            </w:r>
            <w:r>
              <w:rPr>
                <w:rFonts w:hint="default" w:ascii="Times New Roman" w:hAnsi="Times New Roman" w:eastAsia="宋体" w:cs="Times New Roman"/>
                <w:color w:val="auto"/>
                <w:sz w:val="21"/>
                <w:szCs w:val="21"/>
                <w:lang w:val="en-US" w:eastAsia="zh-CN"/>
              </w:rPr>
              <w:t>30-</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0cm</w:t>
            </w:r>
            <w:r>
              <w:rPr>
                <w:rFonts w:hint="eastAsia" w:ascii="Times New Roman" w:hAnsi="Times New Roman" w:eastAsia="宋体" w:cs="Times New Roman"/>
                <w:color w:val="auto"/>
                <w:sz w:val="21"/>
                <w:szCs w:val="21"/>
                <w:lang w:val="en-US" w:eastAsia="zh-CN"/>
              </w:rPr>
              <w:t>含肥力较高的土壤首先进行剥离，并单独存放，要求采取临时拦挡和苫盖措施，施工结束后对地表进行平整处理时尽快将这部分表层土壤回覆，能够在一定程度上恢复原先的土壤肥力。</w:t>
            </w:r>
          </w:p>
        </w:tc>
        <w:tc>
          <w:tcPr>
            <w:tcW w:w="1646" w:type="dxa"/>
            <w:vAlign w:val="center"/>
          </w:tcPr>
          <w:p>
            <w:pPr>
              <w:pStyle w:val="17"/>
              <w:bidi w:val="0"/>
              <w:jc w:val="center"/>
              <w:rPr>
                <w:rFonts w:hint="eastAsia" w:ascii="Times New Roman" w:hAnsi="Times New Roman" w:eastAsia="宋体" w:cs="Times New Roman"/>
                <w:color w:val="auto"/>
                <w:sz w:val="21"/>
                <w:szCs w:val="21"/>
                <w:lang w:val="en-US" w:eastAsia="zh-CN"/>
              </w:rPr>
            </w:pPr>
            <w:r>
              <w:rPr>
                <w:rFonts w:hint="eastAsia" w:ascii="宋体" w:hAnsi="宋体" w:cs="宋体"/>
                <w:color w:val="auto"/>
                <w:szCs w:val="21"/>
                <w:highlight w:val="none"/>
                <w:lang w:eastAsia="zh-CN"/>
              </w:rPr>
              <w:t>相关措施落实、对周围</w:t>
            </w:r>
            <w:r>
              <w:rPr>
                <w:rFonts w:hint="eastAsia" w:ascii="宋体" w:hAnsi="宋体" w:cs="宋体"/>
                <w:color w:val="auto"/>
                <w:szCs w:val="21"/>
                <w:highlight w:val="none"/>
                <w:lang w:val="en-US" w:eastAsia="zh-CN"/>
              </w:rPr>
              <w:t>地下水及土壤</w:t>
            </w:r>
            <w:r>
              <w:rPr>
                <w:rFonts w:hint="eastAsia" w:ascii="宋体" w:hAnsi="宋体" w:cs="宋体"/>
                <w:color w:val="auto"/>
                <w:szCs w:val="21"/>
                <w:highlight w:val="none"/>
                <w:lang w:eastAsia="zh-CN"/>
              </w:rPr>
              <w:t>环境无影响。</w:t>
            </w:r>
          </w:p>
        </w:tc>
        <w:tc>
          <w:tcPr>
            <w:tcW w:w="1692" w:type="dxa"/>
            <w:vAlign w:val="center"/>
          </w:tcPr>
          <w:p>
            <w:pPr>
              <w:pStyle w:val="17"/>
              <w:bidi w:val="0"/>
              <w:jc w:val="center"/>
              <w:rPr>
                <w:rFonts w:hint="default" w:eastAsia="宋体"/>
                <w:color w:val="auto"/>
                <w:sz w:val="21"/>
                <w:szCs w:val="21"/>
                <w:lang w:val="en-US" w:eastAsia="zh-CN"/>
              </w:rPr>
            </w:pPr>
            <w:r>
              <w:rPr>
                <w:rFonts w:hint="eastAsia"/>
                <w:color w:val="auto"/>
                <w:sz w:val="21"/>
                <w:szCs w:val="21"/>
                <w:lang w:val="en-US" w:eastAsia="zh-CN"/>
              </w:rPr>
              <w:t xml:space="preserve">污水处理设施及危废暂存间进行防渗处理。 </w:t>
            </w:r>
          </w:p>
        </w:tc>
        <w:tc>
          <w:tcPr>
            <w:tcW w:w="1587" w:type="dxa"/>
            <w:tcBorders>
              <w:right w:val="single" w:color="000000" w:sz="6" w:space="0"/>
            </w:tcBorders>
            <w:vAlign w:val="center"/>
          </w:tcPr>
          <w:p>
            <w:pPr>
              <w:pStyle w:val="17"/>
              <w:bidi w:val="0"/>
              <w:jc w:val="center"/>
              <w:rPr>
                <w:rFonts w:hint="default" w:eastAsia="宋体"/>
                <w:color w:val="auto"/>
                <w:sz w:val="21"/>
                <w:szCs w:val="21"/>
                <w:lang w:val="en-US" w:eastAsia="zh-CN"/>
              </w:rPr>
            </w:pPr>
            <w:r>
              <w:rPr>
                <w:rFonts w:hint="eastAsia" w:ascii="宋体" w:hAnsi="宋体" w:cs="宋体"/>
                <w:color w:val="auto"/>
                <w:szCs w:val="21"/>
                <w:highlight w:val="none"/>
                <w:lang w:eastAsia="zh-CN"/>
              </w:rPr>
              <w:t>相关措施落实、对周围</w:t>
            </w:r>
            <w:r>
              <w:rPr>
                <w:rFonts w:hint="eastAsia" w:ascii="宋体" w:hAnsi="宋体" w:cs="宋体"/>
                <w:color w:val="auto"/>
                <w:szCs w:val="21"/>
                <w:highlight w:val="none"/>
                <w:lang w:val="en-US" w:eastAsia="zh-CN"/>
              </w:rPr>
              <w:t>地下水及土壤</w:t>
            </w:r>
            <w:r>
              <w:rPr>
                <w:rFonts w:hint="eastAsia" w:ascii="宋体" w:hAnsi="宋体" w:cs="宋体"/>
                <w:color w:val="auto"/>
                <w:szCs w:val="21"/>
                <w:highlight w:val="none"/>
                <w:lang w:eastAsia="zh-CN"/>
              </w:rPr>
              <w:t>环境无影响。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1171" w:type="dxa"/>
            <w:tcBorders>
              <w:left w:val="single" w:color="000000" w:sz="6" w:space="0"/>
            </w:tcBorders>
            <w:vAlign w:val="center"/>
          </w:tcPr>
          <w:p>
            <w:pPr>
              <w:pStyle w:val="17"/>
              <w:bidi w:val="0"/>
              <w:jc w:val="center"/>
              <w:rPr>
                <w:rFonts w:hint="default"/>
                <w:color w:val="auto"/>
                <w:sz w:val="21"/>
                <w:szCs w:val="21"/>
              </w:rPr>
            </w:pPr>
            <w:r>
              <w:rPr>
                <w:rFonts w:hint="default"/>
                <w:color w:val="auto"/>
                <w:sz w:val="21"/>
                <w:szCs w:val="21"/>
              </w:rPr>
              <w:t>声环境</w:t>
            </w:r>
          </w:p>
        </w:tc>
        <w:tc>
          <w:tcPr>
            <w:tcW w:w="2430" w:type="dxa"/>
            <w:vAlign w:val="center"/>
          </w:tcPr>
          <w:p>
            <w:pPr>
              <w:adjustRightInd w:val="0"/>
              <w:snapToGrid w:val="0"/>
              <w:ind w:left="0" w:leftChars="0" w:firstLine="0" w:firstLineChars="0"/>
              <w:jc w:val="both"/>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合理安排施工设备和时间</w:t>
            </w:r>
            <w:r>
              <w:rPr>
                <w:rFonts w:hint="eastAsia" w:ascii="Times New Roman" w:hAnsi="Times New Roman" w:eastAsia="宋体" w:cs="Times New Roman"/>
                <w:snapToGrid w:val="0"/>
                <w:color w:val="auto"/>
                <w:kern w:val="0"/>
                <w:sz w:val="21"/>
                <w:szCs w:val="21"/>
                <w:lang w:val="en-US" w:eastAsia="zh-CN" w:bidi="ar-SA"/>
              </w:rPr>
              <w:t xml:space="preserve">，优先选用低噪声施工机械设备和运输车辆，对强噪声施工机械设备采取临时性的噪声隔挡措施。 </w:t>
            </w:r>
          </w:p>
        </w:tc>
        <w:tc>
          <w:tcPr>
            <w:tcW w:w="1646" w:type="dxa"/>
            <w:vAlign w:val="center"/>
          </w:tcPr>
          <w:p>
            <w:pPr>
              <w:pStyle w:val="17"/>
              <w:bidi w:val="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施工场界达到《建筑施工场界环境噪声排放标准》（GB12523-2011）</w:t>
            </w:r>
          </w:p>
        </w:tc>
        <w:tc>
          <w:tcPr>
            <w:tcW w:w="1692" w:type="dxa"/>
            <w:vAlign w:val="center"/>
          </w:tcPr>
          <w:p>
            <w:pPr>
              <w:pStyle w:val="17"/>
              <w:bidi w:val="0"/>
              <w:jc w:val="center"/>
              <w:rPr>
                <w:rFonts w:hint="default"/>
                <w:color w:val="auto"/>
                <w:sz w:val="21"/>
                <w:szCs w:val="21"/>
              </w:rPr>
            </w:pPr>
            <w:r>
              <w:rPr>
                <w:rFonts w:hint="default"/>
                <w:color w:val="auto"/>
                <w:sz w:val="21"/>
                <w:szCs w:val="21"/>
              </w:rPr>
              <w:t>设备噪声采用建筑隔声、减震等措施</w:t>
            </w:r>
          </w:p>
        </w:tc>
        <w:tc>
          <w:tcPr>
            <w:tcW w:w="1587" w:type="dxa"/>
            <w:tcBorders>
              <w:right w:val="single" w:color="000000" w:sz="6" w:space="0"/>
            </w:tcBorders>
            <w:vAlign w:val="center"/>
          </w:tcPr>
          <w:p>
            <w:pPr>
              <w:pStyle w:val="17"/>
              <w:bidi w:val="0"/>
              <w:jc w:val="center"/>
              <w:rPr>
                <w:rFonts w:hint="eastAsia" w:eastAsia="宋体"/>
                <w:color w:val="auto"/>
                <w:sz w:val="21"/>
                <w:szCs w:val="21"/>
                <w:lang w:eastAsia="zh-CN"/>
              </w:rPr>
            </w:pPr>
            <w:r>
              <w:rPr>
                <w:rFonts w:hint="eastAsia"/>
                <w:color w:val="auto"/>
                <w:sz w:val="21"/>
                <w:szCs w:val="21"/>
                <w:lang w:eastAsia="zh-CN"/>
              </w:rPr>
              <w:t>《</w:t>
            </w:r>
            <w:r>
              <w:rPr>
                <w:rFonts w:hint="eastAsia"/>
                <w:color w:val="auto"/>
                <w:sz w:val="21"/>
                <w:szCs w:val="21"/>
                <w:lang w:val="en-US" w:eastAsia="zh-CN"/>
              </w:rPr>
              <w:t>社会生活环境噪声排放标准</w:t>
            </w:r>
            <w:r>
              <w:rPr>
                <w:rFonts w:hint="eastAsia"/>
                <w:color w:val="auto"/>
                <w:sz w:val="21"/>
                <w:szCs w:val="21"/>
                <w:lang w:eastAsia="zh-CN"/>
              </w:rPr>
              <w:t>》（GB</w:t>
            </w:r>
            <w:r>
              <w:rPr>
                <w:rFonts w:hint="eastAsia"/>
                <w:color w:val="auto"/>
                <w:sz w:val="21"/>
                <w:szCs w:val="21"/>
                <w:lang w:val="en-US" w:eastAsia="zh-CN"/>
              </w:rPr>
              <w:t>22337</w:t>
            </w:r>
            <w:r>
              <w:rPr>
                <w:rFonts w:hint="eastAsia"/>
                <w:color w:val="auto"/>
                <w:sz w:val="21"/>
                <w:szCs w:val="21"/>
                <w:lang w:eastAsia="zh-CN"/>
              </w:rPr>
              <w:t>-2008）中</w:t>
            </w:r>
            <w:r>
              <w:rPr>
                <w:rFonts w:hint="eastAsia" w:ascii="Times New Roman" w:hAnsi="Times New Roman" w:eastAsia="宋体" w:cs="Times New Roman"/>
                <w:color w:val="auto"/>
                <w:sz w:val="21"/>
                <w:szCs w:val="21"/>
                <w:lang w:val="en-US" w:eastAsia="zh-CN"/>
              </w:rPr>
              <w:t>2类和4类</w:t>
            </w:r>
            <w:r>
              <w:rPr>
                <w:rFonts w:hint="default" w:ascii="Times New Roman" w:hAnsi="Times New Roman" w:eastAsia="宋体" w:cs="Times New Roman"/>
                <w:color w:val="auto"/>
                <w:sz w:val="21"/>
                <w:szCs w:val="21"/>
                <w:lang w:val="en-US" w:eastAsia="zh-CN"/>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171" w:type="dxa"/>
            <w:tcBorders>
              <w:left w:val="single" w:color="000000" w:sz="6" w:space="0"/>
            </w:tcBorders>
            <w:vAlign w:val="center"/>
          </w:tcPr>
          <w:p>
            <w:pPr>
              <w:pStyle w:val="17"/>
              <w:bidi w:val="0"/>
              <w:jc w:val="center"/>
              <w:rPr>
                <w:rFonts w:hint="default"/>
                <w:color w:val="auto"/>
                <w:sz w:val="21"/>
                <w:szCs w:val="21"/>
              </w:rPr>
            </w:pPr>
            <w:r>
              <w:rPr>
                <w:rFonts w:hint="default"/>
                <w:color w:val="auto"/>
                <w:sz w:val="21"/>
                <w:szCs w:val="21"/>
              </w:rPr>
              <w:t>振动</w:t>
            </w:r>
          </w:p>
        </w:tc>
        <w:tc>
          <w:tcPr>
            <w:tcW w:w="2430" w:type="dxa"/>
            <w:vAlign w:val="center"/>
          </w:tcPr>
          <w:p>
            <w:pPr>
              <w:pStyle w:val="17"/>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46" w:type="dxa"/>
            <w:vAlign w:val="center"/>
          </w:tcPr>
          <w:p>
            <w:pPr>
              <w:pStyle w:val="17"/>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92" w:type="dxa"/>
            <w:vAlign w:val="center"/>
          </w:tcPr>
          <w:p>
            <w:pPr>
              <w:pStyle w:val="17"/>
              <w:bidi w:val="0"/>
              <w:jc w:val="center"/>
              <w:rPr>
                <w:rFonts w:hint="default"/>
                <w:color w:val="auto"/>
                <w:sz w:val="21"/>
                <w:szCs w:val="21"/>
              </w:rPr>
            </w:pPr>
            <w:r>
              <w:rPr>
                <w:rFonts w:hint="default"/>
                <w:color w:val="auto"/>
                <w:sz w:val="21"/>
                <w:szCs w:val="21"/>
              </w:rPr>
              <w:t>/</w:t>
            </w:r>
          </w:p>
        </w:tc>
        <w:tc>
          <w:tcPr>
            <w:tcW w:w="1587" w:type="dxa"/>
            <w:tcBorders>
              <w:right w:val="single" w:color="000000" w:sz="6" w:space="0"/>
            </w:tcBorders>
            <w:vAlign w:val="center"/>
          </w:tcPr>
          <w:p>
            <w:pPr>
              <w:pStyle w:val="17"/>
              <w:bidi w:val="0"/>
              <w:jc w:val="center"/>
              <w:rPr>
                <w:rFonts w:hint="default"/>
                <w:color w:val="auto"/>
                <w:sz w:val="21"/>
                <w:szCs w:val="21"/>
              </w:rPr>
            </w:pPr>
            <w:r>
              <w:rPr>
                <w:rFonts w:hint="default"/>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1171" w:type="dxa"/>
            <w:tcBorders>
              <w:left w:val="single" w:color="000000" w:sz="6" w:space="0"/>
            </w:tcBorders>
            <w:vAlign w:val="center"/>
          </w:tcPr>
          <w:p>
            <w:pPr>
              <w:pStyle w:val="17"/>
              <w:bidi w:val="0"/>
              <w:jc w:val="center"/>
              <w:rPr>
                <w:rFonts w:hint="default"/>
                <w:color w:val="auto"/>
                <w:sz w:val="21"/>
                <w:szCs w:val="21"/>
              </w:rPr>
            </w:pPr>
            <w:r>
              <w:rPr>
                <w:rFonts w:hint="default"/>
                <w:color w:val="auto"/>
                <w:sz w:val="21"/>
                <w:szCs w:val="21"/>
              </w:rPr>
              <w:t>大气环境</w:t>
            </w:r>
          </w:p>
        </w:tc>
        <w:tc>
          <w:tcPr>
            <w:tcW w:w="2430" w:type="dxa"/>
            <w:vAlign w:val="top"/>
          </w:tcPr>
          <w:p>
            <w:pPr>
              <w:pStyle w:val="17"/>
              <w:bidi w:val="0"/>
              <w:ind w:left="0" w:leftChars="0" w:right="0" w:rightChars="0" w:firstLine="0" w:firstLine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①项目施工区域实行围挡封闭施工。</w:t>
            </w:r>
          </w:p>
          <w:p>
            <w:pPr>
              <w:pStyle w:val="17"/>
              <w:bidi w:val="0"/>
              <w:ind w:left="0" w:leftChars="0" w:right="0" w:rightChars="0" w:firstLine="0" w:firstLine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②通过洒水使作业面保持一定的湿度，对施工场地内松散、干涸的表土经常洒水，防治扬尘；项目全工期加强路面洒水，保持施工面湿度，降低起尘对周边区域带来的影响。</w:t>
            </w:r>
          </w:p>
          <w:p>
            <w:pPr>
              <w:pStyle w:val="17"/>
              <w:bidi w:val="0"/>
              <w:ind w:left="0" w:leftChars="0" w:right="0" w:rightChars="0" w:firstLine="0" w:firstLine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③针对施工任务和施工场地以及天气状况，制定合理的施工计划，遇四级及以上大风天气，采取扬尘防治应急措施，停止土方作业，同时施工作业面覆盖苫布、遮网。</w:t>
            </w:r>
          </w:p>
          <w:p>
            <w:pPr>
              <w:pStyle w:val="17"/>
              <w:bidi w:val="0"/>
              <w:ind w:left="0" w:leftChars="0" w:right="0" w:rightChars="0" w:firstLine="0" w:firstLine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④施工现场各类施工材料有序进料，原则上不堆存超过一周的施工用料量，尽量减少施工材料堆放时间和堆存量，加快物料的周转速度。易产生扬尘的施工材料应苫盖堆放。砂石料临时堆放设置在下风向合理位置。</w:t>
            </w:r>
          </w:p>
          <w:p>
            <w:pPr>
              <w:pStyle w:val="17"/>
              <w:bidi w:val="0"/>
              <w:ind w:left="0" w:leftChars="0" w:right="0" w:rightChars="0" w:firstLine="0" w:firstLine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⑤运输车辆驶离工地前，清洗车轮及车身，不得带泥上路。</w:t>
            </w:r>
          </w:p>
          <w:p>
            <w:pPr>
              <w:pStyle w:val="17"/>
              <w:bidi w:val="0"/>
              <w:ind w:left="0" w:leftChars="0" w:right="0" w:rightChars="0" w:firstLine="0" w:firstLineChars="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⑥运输车辆进出施工场地低速行驶，减少道路扬尘。车辆装载的物料、垃圾、渣土高度不得超过车辆槽帮上沿，车斗用苫布遮蔽或者采用密闭车斗，苫布边缘至少要遮住槽帮上沿以下</w:t>
            </w:r>
            <w:r>
              <w:rPr>
                <w:rFonts w:hint="default" w:ascii="Times New Roman" w:hAnsi="Times New Roman" w:eastAsia="宋体" w:cs="Times New Roman"/>
                <w:color w:val="auto"/>
                <w:sz w:val="21"/>
                <w:szCs w:val="21"/>
                <w:lang w:val="en-US" w:eastAsia="zh-CN"/>
              </w:rPr>
              <w:t>15cm</w:t>
            </w:r>
            <w:r>
              <w:rPr>
                <w:rFonts w:hint="eastAsia" w:ascii="Times New Roman" w:hAnsi="Times New Roman" w:eastAsia="宋体" w:cs="Times New Roman"/>
                <w:color w:val="auto"/>
                <w:sz w:val="21"/>
                <w:szCs w:val="21"/>
                <w:lang w:val="en-US" w:eastAsia="zh-CN"/>
              </w:rPr>
              <w:t>，避免渣土掉落引起扬尘。</w:t>
            </w:r>
          </w:p>
        </w:tc>
        <w:tc>
          <w:tcPr>
            <w:tcW w:w="1646" w:type="dxa"/>
            <w:vAlign w:val="center"/>
          </w:tcPr>
          <w:p>
            <w:pPr>
              <w:pStyle w:val="17"/>
              <w:bidi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Cs w:val="21"/>
                <w:highlight w:val="none"/>
                <w:lang w:val="en-US" w:eastAsia="zh-CN"/>
              </w:rPr>
              <w:t>满足 《大气污染物综合排放标准》（</w:t>
            </w:r>
            <w:r>
              <w:rPr>
                <w:rFonts w:hint="default" w:ascii="Times New Roman" w:hAnsi="Times New Roman" w:eastAsia="宋体" w:cs="Times New Roman"/>
                <w:color w:val="auto"/>
                <w:szCs w:val="21"/>
                <w:highlight w:val="none"/>
                <w:lang w:val="en-US" w:eastAsia="zh-CN"/>
              </w:rPr>
              <w:t>GB162</w:t>
            </w:r>
            <w:r>
              <w:rPr>
                <w:rFonts w:hint="eastAsia" w:ascii="Times New Roman" w:hAnsi="Times New Roman" w:eastAsia="宋体" w:cs="Times New Roman"/>
                <w:color w:val="auto"/>
                <w:szCs w:val="21"/>
                <w:highlight w:val="none"/>
                <w:lang w:val="en-US" w:eastAsia="zh-CN"/>
              </w:rPr>
              <w:t>97</w:t>
            </w:r>
            <w:r>
              <w:rPr>
                <w:rFonts w:hint="default" w:ascii="Times New Roman" w:hAnsi="Times New Roman" w:eastAsia="宋体" w:cs="Times New Roman"/>
                <w:color w:val="auto"/>
                <w:szCs w:val="21"/>
                <w:highlight w:val="none"/>
                <w:lang w:val="en-US" w:eastAsia="zh-CN"/>
              </w:rPr>
              <w:t>-1996</w:t>
            </w:r>
            <w:r>
              <w:rPr>
                <w:rFonts w:hint="eastAsia" w:ascii="Times New Roman" w:hAnsi="Times New Roman" w:eastAsia="宋体" w:cs="Times New Roman"/>
                <w:color w:val="auto"/>
                <w:szCs w:val="21"/>
                <w:highlight w:val="none"/>
                <w:lang w:val="en-US" w:eastAsia="zh-CN"/>
              </w:rPr>
              <w:t>）表</w:t>
            </w:r>
            <w:r>
              <w:rPr>
                <w:rFonts w:hint="default"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en-US" w:eastAsia="zh-CN"/>
              </w:rPr>
              <w:t>无组织排放限值要求</w:t>
            </w:r>
          </w:p>
        </w:tc>
        <w:tc>
          <w:tcPr>
            <w:tcW w:w="1692" w:type="dxa"/>
            <w:vAlign w:val="center"/>
          </w:tcPr>
          <w:p>
            <w:pPr>
              <w:pStyle w:val="17"/>
              <w:bidi w:val="0"/>
              <w:jc w:val="center"/>
              <w:rPr>
                <w:rFonts w:hint="default"/>
                <w:color w:val="auto"/>
                <w:sz w:val="21"/>
                <w:szCs w:val="21"/>
              </w:rPr>
            </w:pPr>
            <w:r>
              <w:rPr>
                <w:rFonts w:hint="eastAsia"/>
                <w:color w:val="auto"/>
                <w:sz w:val="21"/>
                <w:szCs w:val="21"/>
                <w:lang w:val="en-US" w:eastAsia="zh-CN"/>
              </w:rPr>
              <w:t>饮食油烟净化、污水处理设施地埋</w:t>
            </w:r>
            <w:r>
              <w:rPr>
                <w:rFonts w:hint="default"/>
                <w:color w:val="auto"/>
                <w:sz w:val="21"/>
                <w:szCs w:val="21"/>
              </w:rPr>
              <w:t>密闭</w:t>
            </w:r>
            <w:r>
              <w:rPr>
                <w:rFonts w:hint="eastAsia"/>
                <w:color w:val="auto"/>
                <w:sz w:val="21"/>
                <w:szCs w:val="21"/>
                <w:lang w:val="en-US" w:eastAsia="zh-CN"/>
              </w:rPr>
              <w:t>设施</w:t>
            </w:r>
            <w:r>
              <w:rPr>
                <w:rFonts w:hint="default"/>
                <w:color w:val="auto"/>
                <w:sz w:val="21"/>
                <w:szCs w:val="21"/>
              </w:rPr>
              <w:t>、合理布局、绿化</w:t>
            </w:r>
          </w:p>
        </w:tc>
        <w:tc>
          <w:tcPr>
            <w:tcW w:w="1587" w:type="dxa"/>
            <w:tcBorders>
              <w:right w:val="single" w:color="000000" w:sz="6" w:space="0"/>
            </w:tcBorders>
            <w:vAlign w:val="center"/>
          </w:tcPr>
          <w:p>
            <w:pPr>
              <w:pStyle w:val="17"/>
              <w:bidi w:val="0"/>
              <w:jc w:val="center"/>
              <w:rPr>
                <w:rFonts w:hint="default"/>
                <w:color w:val="auto"/>
                <w:sz w:val="21"/>
                <w:szCs w:val="21"/>
              </w:rPr>
            </w:pPr>
            <w:r>
              <w:rPr>
                <w:rFonts w:hint="default" w:ascii="Times New Roman" w:hAnsi="Times New Roman" w:eastAsia="宋体" w:cs="Times New Roman"/>
                <w:color w:val="auto"/>
                <w:sz w:val="21"/>
                <w:szCs w:val="21"/>
              </w:rPr>
              <w:t>《饮食业油烟排放标准（试行）》（GB18483-2001）中油烟排放浓度≤2.0mg/m</w:t>
            </w:r>
            <w:r>
              <w:rPr>
                <w:rFonts w:hint="default"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《恶臭污染物排放标准》（GB14</w:t>
            </w:r>
            <w:r>
              <w:rPr>
                <w:rFonts w:hint="default"/>
                <w:color w:val="auto"/>
                <w:sz w:val="21"/>
                <w:szCs w:val="21"/>
              </w:rPr>
              <w:t>554-93</w:t>
            </w:r>
            <w:r>
              <w:rPr>
                <w:rFonts w:hint="eastAsia"/>
                <w:color w:val="auto"/>
                <w:sz w:val="21"/>
                <w:szCs w:val="21"/>
                <w:lang w:eastAsia="zh-CN"/>
              </w:rPr>
              <w:t>）“</w:t>
            </w:r>
            <w:r>
              <w:rPr>
                <w:rFonts w:hint="default"/>
                <w:color w:val="auto"/>
                <w:sz w:val="21"/>
                <w:szCs w:val="21"/>
              </w:rPr>
              <w:t>表1恶臭污染物厂界标准值</w:t>
            </w:r>
            <w:r>
              <w:rPr>
                <w:rFonts w:hint="eastAsia"/>
                <w:color w:val="auto"/>
                <w:sz w:val="21"/>
                <w:szCs w:val="21"/>
                <w:lang w:eastAsia="zh-CN"/>
              </w:rPr>
              <w:t>”</w:t>
            </w:r>
            <w:r>
              <w:rPr>
                <w:rFonts w:hint="default"/>
                <w:color w:val="auto"/>
                <w:sz w:val="21"/>
                <w:szCs w:val="21"/>
              </w:rPr>
              <w:t>中的一级标准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3" w:hRule="atLeast"/>
        </w:trPr>
        <w:tc>
          <w:tcPr>
            <w:tcW w:w="1171" w:type="dxa"/>
            <w:tcBorders>
              <w:left w:val="single" w:color="000000" w:sz="6" w:space="0"/>
            </w:tcBorders>
            <w:vAlign w:val="center"/>
          </w:tcPr>
          <w:p>
            <w:pPr>
              <w:pStyle w:val="17"/>
              <w:bidi w:val="0"/>
              <w:jc w:val="center"/>
              <w:rPr>
                <w:rFonts w:hint="default"/>
                <w:color w:val="auto"/>
                <w:sz w:val="21"/>
                <w:szCs w:val="21"/>
              </w:rPr>
            </w:pPr>
            <w:r>
              <w:rPr>
                <w:rFonts w:hint="default"/>
                <w:color w:val="auto"/>
                <w:sz w:val="21"/>
                <w:szCs w:val="21"/>
              </w:rPr>
              <w:t>固体废物</w:t>
            </w:r>
          </w:p>
        </w:tc>
        <w:tc>
          <w:tcPr>
            <w:tcW w:w="2430" w:type="dxa"/>
            <w:vAlign w:val="center"/>
          </w:tcPr>
          <w:p>
            <w:pPr>
              <w:pStyle w:val="17"/>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建筑装修垃圾统一收集后运至环卫部门指定地点；生活垃圾采用垃圾桶收集后，运至景区垃圾收集点</w:t>
            </w:r>
          </w:p>
        </w:tc>
        <w:tc>
          <w:tcPr>
            <w:tcW w:w="1646" w:type="dxa"/>
            <w:vAlign w:val="center"/>
          </w:tcPr>
          <w:p>
            <w:pPr>
              <w:pStyle w:val="17"/>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妥善处理、处置</w:t>
            </w:r>
          </w:p>
        </w:tc>
        <w:tc>
          <w:tcPr>
            <w:tcW w:w="1692" w:type="dxa"/>
            <w:vAlign w:val="center"/>
          </w:tcPr>
          <w:p>
            <w:pPr>
              <w:pStyle w:val="17"/>
              <w:bidi w:val="0"/>
              <w:jc w:val="center"/>
              <w:rPr>
                <w:rFonts w:hint="eastAsia" w:eastAsia="宋体"/>
                <w:color w:val="auto"/>
                <w:sz w:val="21"/>
                <w:szCs w:val="21"/>
                <w:lang w:eastAsia="zh-CN"/>
              </w:rPr>
            </w:pPr>
            <w:r>
              <w:rPr>
                <w:rFonts w:hint="default"/>
                <w:color w:val="auto"/>
                <w:sz w:val="21"/>
                <w:szCs w:val="21"/>
              </w:rPr>
              <w:t>生活垃圾设置垃圾桶统一收集后，定期清运至景区垃圾收集点，由环卫部门统一清运；污泥经脱水处理满足生活垃圾填埋场入场要求后，先在固废暂存点暂时存放，定期用专用封闭车运至附近的垃圾填埋场安全处置；废机油采用专用收集桶收集至危废暂存间，定期交由</w:t>
            </w:r>
            <w:r>
              <w:rPr>
                <w:rFonts w:hint="eastAsia"/>
                <w:lang w:val="en-US" w:eastAsia="zh-CN"/>
              </w:rPr>
              <w:t>有危险废物经营许可证的单位</w:t>
            </w:r>
            <w:r>
              <w:rPr>
                <w:rFonts w:hint="default"/>
                <w:color w:val="auto"/>
                <w:sz w:val="21"/>
                <w:szCs w:val="21"/>
              </w:rPr>
              <w:t>资质的单位回收处</w:t>
            </w:r>
            <w:r>
              <w:rPr>
                <w:rFonts w:hint="eastAsia"/>
                <w:color w:val="auto"/>
                <w:sz w:val="21"/>
                <w:szCs w:val="21"/>
                <w:lang w:eastAsia="zh-CN"/>
              </w:rPr>
              <w:t>。</w:t>
            </w:r>
          </w:p>
        </w:tc>
        <w:tc>
          <w:tcPr>
            <w:tcW w:w="1587" w:type="dxa"/>
            <w:tcBorders>
              <w:right w:val="single" w:color="000000" w:sz="6" w:space="0"/>
            </w:tcBorders>
            <w:vAlign w:val="center"/>
          </w:tcPr>
          <w:p>
            <w:pPr>
              <w:pStyle w:val="17"/>
              <w:bidi w:val="0"/>
              <w:jc w:val="center"/>
              <w:rPr>
                <w:rFonts w:hint="default"/>
                <w:color w:val="auto"/>
                <w:sz w:val="21"/>
                <w:szCs w:val="21"/>
              </w:rPr>
            </w:pPr>
            <w:r>
              <w:rPr>
                <w:rFonts w:hint="default"/>
                <w:color w:val="auto"/>
                <w:sz w:val="21"/>
                <w:szCs w:val="21"/>
              </w:rPr>
              <w:t>《生活垃圾填埋场污染控制标准》（GB16889-2008）的入场要求；《一般工业固体废物贮存和填埋污染控制标准》（GB18599-2020）中相关标准；危险废物的贮存执行《危险废物贮存污染控制标准》（GB18597-20</w:t>
            </w:r>
            <w:r>
              <w:rPr>
                <w:rFonts w:hint="eastAsia"/>
                <w:color w:val="auto"/>
                <w:sz w:val="21"/>
                <w:szCs w:val="21"/>
                <w:lang w:val="en-US" w:eastAsia="zh-CN"/>
              </w:rPr>
              <w:t>23</w:t>
            </w:r>
            <w:r>
              <w:rPr>
                <w:rFonts w:hint="default"/>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171" w:type="dxa"/>
            <w:tcBorders>
              <w:left w:val="single" w:color="000000" w:sz="6" w:space="0"/>
            </w:tcBorders>
            <w:vAlign w:val="center"/>
          </w:tcPr>
          <w:p>
            <w:pPr>
              <w:pStyle w:val="17"/>
              <w:bidi w:val="0"/>
              <w:jc w:val="center"/>
              <w:rPr>
                <w:rFonts w:hint="default"/>
                <w:color w:val="auto"/>
                <w:sz w:val="21"/>
                <w:szCs w:val="21"/>
              </w:rPr>
            </w:pPr>
            <w:r>
              <w:rPr>
                <w:rFonts w:hint="default"/>
                <w:color w:val="auto"/>
                <w:sz w:val="21"/>
                <w:szCs w:val="21"/>
              </w:rPr>
              <w:t>电磁环境</w:t>
            </w:r>
          </w:p>
        </w:tc>
        <w:tc>
          <w:tcPr>
            <w:tcW w:w="2430" w:type="dxa"/>
            <w:vAlign w:val="center"/>
          </w:tcPr>
          <w:p>
            <w:pPr>
              <w:pStyle w:val="17"/>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46" w:type="dxa"/>
            <w:vAlign w:val="center"/>
          </w:tcPr>
          <w:p>
            <w:pPr>
              <w:pStyle w:val="17"/>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92" w:type="dxa"/>
            <w:vAlign w:val="center"/>
          </w:tcPr>
          <w:p>
            <w:pPr>
              <w:pStyle w:val="17"/>
              <w:bidi w:val="0"/>
              <w:jc w:val="center"/>
              <w:rPr>
                <w:rFonts w:hint="default"/>
                <w:color w:val="auto"/>
                <w:sz w:val="21"/>
                <w:szCs w:val="21"/>
              </w:rPr>
            </w:pPr>
            <w:r>
              <w:rPr>
                <w:rFonts w:hint="default"/>
                <w:color w:val="auto"/>
                <w:sz w:val="21"/>
                <w:szCs w:val="21"/>
              </w:rPr>
              <w:t>/</w:t>
            </w:r>
          </w:p>
        </w:tc>
        <w:tc>
          <w:tcPr>
            <w:tcW w:w="1587" w:type="dxa"/>
            <w:tcBorders>
              <w:right w:val="single" w:color="000000" w:sz="6" w:space="0"/>
            </w:tcBorders>
            <w:vAlign w:val="center"/>
          </w:tcPr>
          <w:p>
            <w:pPr>
              <w:pStyle w:val="17"/>
              <w:bidi w:val="0"/>
              <w:jc w:val="center"/>
              <w:rPr>
                <w:rFonts w:hint="default"/>
                <w:color w:val="auto"/>
                <w:sz w:val="21"/>
                <w:szCs w:val="21"/>
              </w:rPr>
            </w:pPr>
            <w:r>
              <w:rPr>
                <w:rFonts w:hint="default"/>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171" w:type="dxa"/>
            <w:tcBorders>
              <w:left w:val="single" w:color="000000" w:sz="6" w:space="0"/>
            </w:tcBorders>
            <w:vAlign w:val="center"/>
          </w:tcPr>
          <w:p>
            <w:pPr>
              <w:pStyle w:val="17"/>
              <w:bidi w:val="0"/>
              <w:jc w:val="center"/>
              <w:rPr>
                <w:rFonts w:hint="default"/>
                <w:color w:val="auto"/>
                <w:sz w:val="21"/>
                <w:szCs w:val="21"/>
              </w:rPr>
            </w:pPr>
            <w:r>
              <w:rPr>
                <w:rFonts w:hint="default"/>
                <w:color w:val="auto"/>
                <w:sz w:val="21"/>
                <w:szCs w:val="21"/>
              </w:rPr>
              <w:t>环境风险</w:t>
            </w:r>
          </w:p>
        </w:tc>
        <w:tc>
          <w:tcPr>
            <w:tcW w:w="2430" w:type="dxa"/>
            <w:vAlign w:val="center"/>
          </w:tcPr>
          <w:p>
            <w:pPr>
              <w:pStyle w:val="17"/>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46" w:type="dxa"/>
            <w:vAlign w:val="center"/>
          </w:tcPr>
          <w:p>
            <w:pPr>
              <w:pStyle w:val="17"/>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92" w:type="dxa"/>
            <w:vAlign w:val="center"/>
          </w:tcPr>
          <w:p>
            <w:pPr>
              <w:pStyle w:val="17"/>
              <w:bidi w:val="0"/>
              <w:jc w:val="center"/>
              <w:rPr>
                <w:rFonts w:hint="default"/>
                <w:color w:val="auto"/>
                <w:sz w:val="21"/>
                <w:szCs w:val="21"/>
              </w:rPr>
            </w:pPr>
            <w:r>
              <w:rPr>
                <w:rFonts w:hint="default"/>
                <w:color w:val="auto"/>
                <w:sz w:val="21"/>
                <w:szCs w:val="21"/>
              </w:rPr>
              <w:t>/</w:t>
            </w:r>
          </w:p>
        </w:tc>
        <w:tc>
          <w:tcPr>
            <w:tcW w:w="1587" w:type="dxa"/>
            <w:tcBorders>
              <w:right w:val="single" w:color="000000" w:sz="6" w:space="0"/>
            </w:tcBorders>
            <w:vAlign w:val="center"/>
          </w:tcPr>
          <w:p>
            <w:pPr>
              <w:pStyle w:val="17"/>
              <w:bidi w:val="0"/>
              <w:jc w:val="center"/>
              <w:rPr>
                <w:rFonts w:hint="default"/>
                <w:color w:val="auto"/>
                <w:sz w:val="21"/>
                <w:szCs w:val="21"/>
              </w:rPr>
            </w:pPr>
            <w:r>
              <w:rPr>
                <w:rFonts w:hint="default"/>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71" w:type="dxa"/>
            <w:tcBorders>
              <w:left w:val="single" w:color="000000" w:sz="6" w:space="0"/>
            </w:tcBorders>
            <w:vAlign w:val="center"/>
          </w:tcPr>
          <w:p>
            <w:pPr>
              <w:pStyle w:val="17"/>
              <w:bidi w:val="0"/>
              <w:jc w:val="center"/>
              <w:rPr>
                <w:rFonts w:hint="default"/>
                <w:color w:val="auto"/>
                <w:sz w:val="21"/>
                <w:szCs w:val="21"/>
              </w:rPr>
            </w:pPr>
            <w:r>
              <w:rPr>
                <w:rFonts w:hint="default"/>
                <w:color w:val="auto"/>
                <w:sz w:val="21"/>
                <w:szCs w:val="21"/>
              </w:rPr>
              <w:t>环境监测</w:t>
            </w:r>
          </w:p>
        </w:tc>
        <w:tc>
          <w:tcPr>
            <w:tcW w:w="2430" w:type="dxa"/>
            <w:vAlign w:val="center"/>
          </w:tcPr>
          <w:p>
            <w:pPr>
              <w:pStyle w:val="17"/>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46" w:type="dxa"/>
            <w:vAlign w:val="center"/>
          </w:tcPr>
          <w:p>
            <w:pPr>
              <w:pStyle w:val="17"/>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92" w:type="dxa"/>
            <w:vAlign w:val="center"/>
          </w:tcPr>
          <w:p>
            <w:pPr>
              <w:pStyle w:val="17"/>
              <w:bidi w:val="0"/>
              <w:jc w:val="center"/>
              <w:rPr>
                <w:rFonts w:hint="default"/>
                <w:color w:val="auto"/>
                <w:sz w:val="21"/>
                <w:szCs w:val="21"/>
              </w:rPr>
            </w:pPr>
            <w:r>
              <w:rPr>
                <w:rFonts w:hint="default"/>
                <w:color w:val="auto"/>
                <w:sz w:val="21"/>
                <w:szCs w:val="21"/>
              </w:rPr>
              <w:t>/</w:t>
            </w:r>
          </w:p>
        </w:tc>
        <w:tc>
          <w:tcPr>
            <w:tcW w:w="1587" w:type="dxa"/>
            <w:tcBorders>
              <w:right w:val="single" w:color="000000" w:sz="6" w:space="0"/>
            </w:tcBorders>
            <w:vAlign w:val="center"/>
          </w:tcPr>
          <w:p>
            <w:pPr>
              <w:pStyle w:val="17"/>
              <w:bidi w:val="0"/>
              <w:jc w:val="center"/>
              <w:rPr>
                <w:rFonts w:hint="default"/>
                <w:color w:val="auto"/>
                <w:sz w:val="21"/>
                <w:szCs w:val="21"/>
              </w:rPr>
            </w:pPr>
            <w:r>
              <w:rPr>
                <w:rFonts w:hint="default"/>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171" w:type="dxa"/>
            <w:tcBorders>
              <w:left w:val="single" w:color="000000" w:sz="6" w:space="0"/>
              <w:bottom w:val="single" w:color="000000" w:sz="6" w:space="0"/>
            </w:tcBorders>
            <w:vAlign w:val="center"/>
          </w:tcPr>
          <w:p>
            <w:pPr>
              <w:pStyle w:val="17"/>
              <w:bidi w:val="0"/>
              <w:jc w:val="center"/>
              <w:rPr>
                <w:rFonts w:hint="default"/>
                <w:color w:val="auto"/>
                <w:sz w:val="21"/>
                <w:szCs w:val="21"/>
              </w:rPr>
            </w:pPr>
            <w:r>
              <w:rPr>
                <w:rFonts w:hint="default"/>
                <w:color w:val="auto"/>
                <w:sz w:val="21"/>
                <w:szCs w:val="21"/>
              </w:rPr>
              <w:t>其他</w:t>
            </w:r>
          </w:p>
        </w:tc>
        <w:tc>
          <w:tcPr>
            <w:tcW w:w="2430" w:type="dxa"/>
            <w:tcBorders>
              <w:bottom w:val="single" w:color="000000" w:sz="6" w:space="0"/>
            </w:tcBorders>
            <w:vAlign w:val="center"/>
          </w:tcPr>
          <w:p>
            <w:pPr>
              <w:pStyle w:val="17"/>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46" w:type="dxa"/>
            <w:tcBorders>
              <w:bottom w:val="single" w:color="000000" w:sz="6" w:space="0"/>
            </w:tcBorders>
            <w:vAlign w:val="center"/>
          </w:tcPr>
          <w:p>
            <w:pPr>
              <w:pStyle w:val="17"/>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92" w:type="dxa"/>
            <w:tcBorders>
              <w:bottom w:val="single" w:color="000000" w:sz="6" w:space="0"/>
            </w:tcBorders>
            <w:vAlign w:val="center"/>
          </w:tcPr>
          <w:p>
            <w:pPr>
              <w:pStyle w:val="17"/>
              <w:bidi w:val="0"/>
              <w:jc w:val="center"/>
              <w:rPr>
                <w:rFonts w:hint="default"/>
                <w:color w:val="auto"/>
                <w:sz w:val="21"/>
                <w:szCs w:val="21"/>
              </w:rPr>
            </w:pPr>
            <w:r>
              <w:rPr>
                <w:rFonts w:hint="default"/>
                <w:color w:val="auto"/>
                <w:sz w:val="21"/>
                <w:szCs w:val="21"/>
              </w:rPr>
              <w:t>/</w:t>
            </w:r>
          </w:p>
        </w:tc>
        <w:tc>
          <w:tcPr>
            <w:tcW w:w="1587" w:type="dxa"/>
            <w:tcBorders>
              <w:bottom w:val="single" w:color="000000" w:sz="6" w:space="0"/>
              <w:right w:val="single" w:color="000000" w:sz="6" w:space="0"/>
            </w:tcBorders>
            <w:vAlign w:val="center"/>
          </w:tcPr>
          <w:p>
            <w:pPr>
              <w:pStyle w:val="17"/>
              <w:bidi w:val="0"/>
              <w:jc w:val="center"/>
              <w:rPr>
                <w:rFonts w:hint="default"/>
                <w:color w:val="auto"/>
                <w:sz w:val="21"/>
                <w:szCs w:val="21"/>
              </w:rPr>
            </w:pPr>
            <w:r>
              <w:rPr>
                <w:rFonts w:hint="default"/>
                <w:color w:val="auto"/>
                <w:sz w:val="21"/>
                <w:szCs w:val="21"/>
              </w:rPr>
              <w:t>/</w:t>
            </w:r>
          </w:p>
        </w:tc>
      </w:tr>
    </w:tbl>
    <w:p>
      <w:pPr>
        <w:spacing w:before="192" w:beforeLines="80" w:beforeAutospacing="0"/>
        <w:ind w:left="0" w:leftChars="0" w:firstLine="0" w:firstLineChars="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br w:type="page"/>
      </w:r>
      <w:bookmarkStart w:id="12" w:name="_Toc26198"/>
      <w:r>
        <w:rPr>
          <w:rFonts w:hint="default" w:ascii="Times New Roman" w:hAnsi="Times New Roman" w:eastAsia="黑体" w:cs="Times New Roman"/>
          <w:snapToGrid w:val="0"/>
          <w:color w:val="auto"/>
          <w:sz w:val="30"/>
          <w:szCs w:val="30"/>
        </w:rPr>
        <w:t>七、结论</w:t>
      </w:r>
      <w:bookmarkEnd w:id="12"/>
    </w:p>
    <w:tbl>
      <w:tblPr>
        <w:tblStyle w:val="1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39" w:hRule="atLeast"/>
          <w:jc w:val="center"/>
        </w:trPr>
        <w:tc>
          <w:tcPr>
            <w:tcW w:w="5000" w:type="pct"/>
            <w:tcBorders>
              <w:tl2br w:val="nil"/>
              <w:tr2bl w:val="nil"/>
            </w:tcBorders>
            <w:noWrap w:val="0"/>
            <w:vAlign w:val="top"/>
          </w:tcPr>
          <w:p>
            <w:pPr>
              <w:bidi w:val="0"/>
              <w:rPr>
                <w:rFonts w:hint="eastAsia" w:ascii="Times New Roman" w:hAnsi="Times New Roman" w:eastAsia="宋体" w:cs="Times New Roman"/>
                <w:color w:val="auto"/>
                <w:sz w:val="24"/>
                <w:highlight w:val="none"/>
                <w:lang w:val="en-US" w:eastAsia="zh-CN"/>
              </w:rPr>
            </w:pPr>
            <w:r>
              <w:rPr>
                <w:rFonts w:hint="eastAsia" w:cs="Times New Roman"/>
                <w:color w:val="auto"/>
                <w:sz w:val="24"/>
                <w:szCs w:val="24"/>
                <w:lang w:eastAsia="zh-CN"/>
              </w:rPr>
              <w:t>霍城县果子沟阿力麻里项目（</w:t>
            </w:r>
            <w:r>
              <w:rPr>
                <w:rFonts w:hint="eastAsia" w:cs="Times New Roman"/>
                <w:color w:val="auto"/>
                <w:sz w:val="24"/>
                <w:szCs w:val="24"/>
                <w:lang w:val="en-US" w:eastAsia="zh-CN"/>
              </w:rPr>
              <w:t>一期</w:t>
            </w:r>
            <w:r>
              <w:rPr>
                <w:rFonts w:hint="eastAsia" w:cs="Times New Roman"/>
                <w:color w:val="auto"/>
                <w:sz w:val="24"/>
                <w:szCs w:val="24"/>
                <w:lang w:eastAsia="zh-CN"/>
              </w:rPr>
              <w:t>）</w:t>
            </w:r>
            <w:r>
              <w:rPr>
                <w:rFonts w:hint="default" w:ascii="Times New Roman" w:hAnsi="Times New Roman" w:cs="Times New Roman"/>
                <w:color w:val="auto"/>
                <w:sz w:val="24"/>
                <w:highlight w:val="none"/>
                <w:lang w:val="en-US" w:eastAsia="zh-CN"/>
              </w:rPr>
              <w:t>的建设</w:t>
            </w:r>
            <w:r>
              <w:rPr>
                <w:rFonts w:hint="eastAsia" w:ascii="Times New Roman" w:hAnsi="Times New Roman" w:cs="Times New Roman"/>
                <w:color w:val="auto"/>
                <w:sz w:val="24"/>
                <w:highlight w:val="none"/>
                <w:lang w:val="en-US" w:eastAsia="zh-CN"/>
              </w:rPr>
              <w:t>符合</w:t>
            </w:r>
            <w:r>
              <w:rPr>
                <w:rFonts w:hint="eastAsia"/>
                <w:color w:val="auto"/>
                <w:lang w:val="en-US" w:eastAsia="zh-CN"/>
              </w:rPr>
              <w:t>果子沟-赛里木湖景区总体规划及规划环评要求，用地</w:t>
            </w:r>
            <w:r>
              <w:rPr>
                <w:rFonts w:hint="eastAsia" w:cs="Times New Roman"/>
                <w:color w:val="auto"/>
                <w:kern w:val="0"/>
                <w:sz w:val="24"/>
                <w:szCs w:val="24"/>
                <w:lang w:val="en-US" w:eastAsia="zh-CN"/>
              </w:rPr>
              <w:t>不在生态保护红线范围内，不涉及</w:t>
            </w:r>
            <w:r>
              <w:rPr>
                <w:rFonts w:hint="default" w:ascii="Times New Roman" w:hAnsi="Times New Roman" w:cs="Times New Roman"/>
                <w:color w:val="auto"/>
                <w:kern w:val="0"/>
                <w:sz w:val="24"/>
                <w:szCs w:val="24"/>
              </w:rPr>
              <w:t>生态敏感区</w:t>
            </w:r>
            <w:r>
              <w:rPr>
                <w:rFonts w:hint="eastAsia" w:ascii="Times New Roman" w:hAnsi="Times New Roman" w:cs="Times New Roman"/>
                <w:color w:val="auto"/>
                <w:kern w:val="0"/>
                <w:sz w:val="24"/>
                <w:szCs w:val="24"/>
                <w:lang w:eastAsia="zh-CN"/>
              </w:rPr>
              <w:t>。</w:t>
            </w:r>
            <w:r>
              <w:rPr>
                <w:rFonts w:hint="eastAsia" w:ascii="Times New Roman" w:hAnsi="Times New Roman" w:eastAsia="宋体" w:cs="Times New Roman"/>
                <w:color w:val="auto"/>
                <w:lang w:val="en-US" w:eastAsia="zh-CN"/>
              </w:rPr>
              <w:t>项目的建设对果赛景区自然景观破碎度和</w:t>
            </w:r>
            <w:r>
              <w:rPr>
                <w:rFonts w:hint="eastAsia" w:cs="Times New Roman"/>
                <w:color w:val="auto"/>
                <w:lang w:val="en-US" w:eastAsia="zh-CN"/>
              </w:rPr>
              <w:t>生态环境</w:t>
            </w:r>
            <w:r>
              <w:rPr>
                <w:rFonts w:hint="eastAsia" w:ascii="Times New Roman" w:hAnsi="Times New Roman" w:eastAsia="宋体" w:cs="Times New Roman"/>
                <w:color w:val="auto"/>
                <w:lang w:val="en-US" w:eastAsia="zh-CN"/>
              </w:rPr>
              <w:t>影响较小，索道线路能够提高</w:t>
            </w:r>
            <w:r>
              <w:rPr>
                <w:rFonts w:hint="eastAsia"/>
                <w:color w:val="auto"/>
                <w:lang w:val="en-US" w:eastAsia="zh-CN"/>
              </w:rPr>
              <w:t>景区的接待能力和提高景区的硬件水平，连接相邻的旅游功能区，提高游客的旅游质量。</w:t>
            </w:r>
          </w:p>
          <w:p>
            <w:pPr>
              <w:bidi w:val="0"/>
              <w:rPr>
                <w:rFonts w:hint="default"/>
                <w:color w:val="auto"/>
              </w:rPr>
            </w:pPr>
            <w:r>
              <w:rPr>
                <w:rFonts w:hint="default" w:ascii="Times New Roman" w:hAnsi="Times New Roman" w:cs="Times New Roman"/>
                <w:color w:val="auto"/>
                <w:sz w:val="24"/>
                <w:highlight w:val="none"/>
                <w:lang w:val="en-US" w:eastAsia="zh-CN"/>
              </w:rPr>
              <w:t>工程施工产生的废水、废气、噪声、固废、临时占压对环境有不利影响，但影响是短期可逆的，且在施工期采取相应的保护措施后可以减免。</w:t>
            </w:r>
            <w:r>
              <w:rPr>
                <w:rFonts w:hint="eastAsia" w:ascii="Times New Roman" w:hAnsi="Times New Roman" w:cs="Times New Roman"/>
                <w:color w:val="auto"/>
                <w:sz w:val="24"/>
                <w:highlight w:val="none"/>
                <w:lang w:val="en-US" w:eastAsia="zh-CN"/>
              </w:rPr>
              <w:t>运营期间严格按照环评要求对</w:t>
            </w:r>
            <w:r>
              <w:rPr>
                <w:rFonts w:hint="default" w:ascii="Times New Roman" w:hAnsi="Times New Roman" w:cs="Times New Roman"/>
                <w:color w:val="auto"/>
                <w:sz w:val="24"/>
                <w:highlight w:val="none"/>
                <w:lang w:val="en-US" w:eastAsia="zh-CN"/>
              </w:rPr>
              <w:t>废水、废气、噪声、固废</w:t>
            </w:r>
            <w:r>
              <w:rPr>
                <w:rFonts w:hint="eastAsia" w:ascii="Times New Roman" w:hAnsi="Times New Roman" w:cs="Times New Roman"/>
                <w:color w:val="auto"/>
                <w:sz w:val="24"/>
                <w:highlight w:val="none"/>
                <w:lang w:val="en-US" w:eastAsia="zh-CN"/>
              </w:rPr>
              <w:t>采取合理防治措施，并加强运营期生态环境风险防范，可减少项目运营对自然生态环境产生的影响。</w:t>
            </w:r>
          </w:p>
          <w:p>
            <w:pPr>
              <w:bidi w:val="0"/>
              <w:rPr>
                <w:rFonts w:hint="default"/>
                <w:color w:val="auto"/>
              </w:rPr>
            </w:pPr>
            <w:r>
              <w:rPr>
                <w:rFonts w:hint="default"/>
                <w:color w:val="auto"/>
              </w:rPr>
              <w:t>从环境保护的角度分析，该工程的建设是合理、可行的。</w:t>
            </w:r>
          </w:p>
          <w:p>
            <w:pPr>
              <w:adjustRightInd w:val="0"/>
              <w:snapToGrid w:val="0"/>
              <w:ind w:firstLine="315"/>
              <w:rPr>
                <w:rFonts w:hint="default" w:ascii="Times New Roman" w:hAnsi="Times New Roman" w:cs="Times New Roman"/>
                <w:color w:val="auto"/>
                <w:szCs w:val="21"/>
              </w:rPr>
            </w:pPr>
          </w:p>
        </w:tc>
      </w:tr>
    </w:tbl>
    <w:p>
      <w:pPr>
        <w:widowControl/>
        <w:adjustRightInd w:val="0"/>
        <w:snapToGrid w:val="0"/>
        <w:spacing w:before="192" w:beforeLines="80"/>
        <w:ind w:left="0" w:leftChars="0" w:firstLine="0" w:firstLineChars="0"/>
        <w:jc w:val="left"/>
        <w:rPr>
          <w:rFonts w:hint="default" w:ascii="Times New Roman" w:hAnsi="Times New Roman" w:cs="Times New Roman"/>
          <w:color w:val="auto"/>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widowControl/>
        <w:adjustRightInd w:val="0"/>
        <w:snapToGrid w:val="0"/>
        <w:spacing w:before="192" w:beforeLines="80"/>
        <w:ind w:left="0" w:leftChars="0" w:firstLine="0" w:firstLineChars="0"/>
        <w:jc w:val="left"/>
        <w:rPr>
          <w:rFonts w:hint="default" w:ascii="Times New Roman" w:hAnsi="Times New Roman" w:cs="Times New Roman"/>
          <w:color w:val="auto"/>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angSong_GB2312">
    <w:altName w:val="仿宋"/>
    <w:panose1 w:val="00000000000000000000"/>
    <w:charset w:val="86"/>
    <w:family w:val="modern"/>
    <w:pitch w:val="default"/>
    <w:sig w:usb0="00000000" w:usb1="00000000"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tabs>
        <w:tab w:val="center" w:pos="4153"/>
        <w:tab w:val="right" w:pos="8306"/>
      </w:tabs>
    </w:pPr>
    <w:r>
      <w:fldChar w:fldCharType="begin"/>
    </w:r>
    <w:r>
      <w:instrText xml:space="preserve">PAGE  </w:instrText>
    </w:r>
    <w:r>
      <w:fldChar w:fldCharType="end"/>
    </w:r>
  </w:p>
  <w:p>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tabs>
                              <w:tab w:val="center" w:pos="4153"/>
                              <w:tab w:val="right" w:pos="8306"/>
                            </w:tabs>
                            <w:ind w:left="0" w:leftChars="0" w:firstLine="0" w:firstLineChars="0"/>
                            <w:rPr>
                              <w:rFonts w:hint="default" w:ascii="Times New Roman" w:hAnsi="Times New Roman" w:eastAsia="宋体"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Dz3WBPgAQAAwgMAAA4AAAAA&#10;AAAAAQAgAAAAHgEAAGRycy9lMm9Eb2MueG1sUEsFBgAAAAAGAAYAWQEAAHAFAAAAAA==&#10;">
              <v:fill on="f" focussize="0,0"/>
              <v:stroke on="f"/>
              <v:imagedata o:title=""/>
              <o:lock v:ext="edit" aspectratio="f"/>
              <v:textbox inset="0mm,0mm,0mm,0mm" style="mso-fit-shape-to-text:t;">
                <w:txbxContent>
                  <w:p>
                    <w:pPr>
                      <w:tabs>
                        <w:tab w:val="center" w:pos="4153"/>
                        <w:tab w:val="right" w:pos="8306"/>
                      </w:tabs>
                      <w:ind w:left="0" w:leftChars="0" w:firstLine="0" w:firstLineChars="0"/>
                      <w:rPr>
                        <w:rFonts w:hint="default" w:ascii="Times New Roman" w:hAnsi="Times New Roman" w:eastAsia="宋体"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0" w:leftChars="0" w:firstLine="0" w:firstLineChars="0"/>
      <w:rPr>
        <w:rFonts w:ascii="Times New Roman" w:hAnsi="Times New Roman" w:eastAsia="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E6B7DF"/>
    <w:multiLevelType w:val="singleLevel"/>
    <w:tmpl w:val="A8E6B7DF"/>
    <w:lvl w:ilvl="0" w:tentative="0">
      <w:start w:val="2"/>
      <w:numFmt w:val="decimal"/>
      <w:suff w:val="nothing"/>
      <w:lvlText w:val="（%1）"/>
      <w:lvlJc w:val="left"/>
    </w:lvl>
  </w:abstractNum>
  <w:abstractNum w:abstractNumId="1">
    <w:nsid w:val="D77FA509"/>
    <w:multiLevelType w:val="singleLevel"/>
    <w:tmpl w:val="D77FA509"/>
    <w:lvl w:ilvl="0" w:tentative="0">
      <w:start w:val="1"/>
      <w:numFmt w:val="decimal"/>
      <w:suff w:val="nothing"/>
      <w:lvlText w:val="（%1）"/>
      <w:lvlJc w:val="left"/>
    </w:lvl>
  </w:abstractNum>
  <w:abstractNum w:abstractNumId="2">
    <w:nsid w:val="10A0093D"/>
    <w:multiLevelType w:val="singleLevel"/>
    <w:tmpl w:val="10A0093D"/>
    <w:lvl w:ilvl="0" w:tentative="0">
      <w:start w:val="1"/>
      <w:numFmt w:val="decimal"/>
      <w:suff w:val="nothing"/>
      <w:lvlText w:val="（%1）"/>
      <w:lvlJc w:val="left"/>
    </w:lvl>
  </w:abstractNum>
  <w:abstractNum w:abstractNumId="3">
    <w:nsid w:val="1CE9B685"/>
    <w:multiLevelType w:val="singleLevel"/>
    <w:tmpl w:val="1CE9B685"/>
    <w:lvl w:ilvl="0" w:tentative="0">
      <w:start w:val="1"/>
      <w:numFmt w:val="decimal"/>
      <w:suff w:val="nothing"/>
      <w:lvlText w:val="（%1）"/>
      <w:lvlJc w:val="left"/>
    </w:lvl>
  </w:abstractNum>
  <w:abstractNum w:abstractNumId="4">
    <w:nsid w:val="6F023BC5"/>
    <w:multiLevelType w:val="singleLevel"/>
    <w:tmpl w:val="6F023BC5"/>
    <w:lvl w:ilvl="0" w:tentative="0">
      <w:start w:val="3"/>
      <w:numFmt w:val="decimal"/>
      <w:suff w:val="nothing"/>
      <w:lvlText w:val="（%1）"/>
      <w:lvlJc w:val="left"/>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ZmNGJmOGJjMjZhY2JlNDJhOTI1ODg0ZmU2ZDUzNzcifQ=="/>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1E5"/>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0C9E"/>
    <w:rsid w:val="0019146B"/>
    <w:rsid w:val="00194398"/>
    <w:rsid w:val="001A69CC"/>
    <w:rsid w:val="001A7D2A"/>
    <w:rsid w:val="001B29A9"/>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269B"/>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152E"/>
    <w:rsid w:val="00352975"/>
    <w:rsid w:val="00356868"/>
    <w:rsid w:val="003577A2"/>
    <w:rsid w:val="0036485B"/>
    <w:rsid w:val="00370B43"/>
    <w:rsid w:val="00373B0D"/>
    <w:rsid w:val="00376988"/>
    <w:rsid w:val="00381A72"/>
    <w:rsid w:val="003A1948"/>
    <w:rsid w:val="003B152A"/>
    <w:rsid w:val="003B545B"/>
    <w:rsid w:val="003D3E6F"/>
    <w:rsid w:val="003D3EE9"/>
    <w:rsid w:val="003E0121"/>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06319"/>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2562E"/>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4B33"/>
    <w:rsid w:val="00985283"/>
    <w:rsid w:val="00987322"/>
    <w:rsid w:val="009A0F3B"/>
    <w:rsid w:val="009A72C7"/>
    <w:rsid w:val="009B0897"/>
    <w:rsid w:val="009C7009"/>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58A"/>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636AF"/>
    <w:rsid w:val="00B76F1D"/>
    <w:rsid w:val="00B92A19"/>
    <w:rsid w:val="00B9544C"/>
    <w:rsid w:val="00BA29E9"/>
    <w:rsid w:val="00BB3618"/>
    <w:rsid w:val="00BC0C9E"/>
    <w:rsid w:val="00BC32DC"/>
    <w:rsid w:val="00BD1B51"/>
    <w:rsid w:val="00BD47F6"/>
    <w:rsid w:val="00BE312D"/>
    <w:rsid w:val="00BE3FCA"/>
    <w:rsid w:val="00C05719"/>
    <w:rsid w:val="00C10578"/>
    <w:rsid w:val="00C149C4"/>
    <w:rsid w:val="00C17D62"/>
    <w:rsid w:val="00C21FDC"/>
    <w:rsid w:val="00C24EE7"/>
    <w:rsid w:val="00C2596A"/>
    <w:rsid w:val="00C25D34"/>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91C98"/>
    <w:rsid w:val="00CA3585"/>
    <w:rsid w:val="00CA3D5A"/>
    <w:rsid w:val="00CA4C7C"/>
    <w:rsid w:val="00CB0183"/>
    <w:rsid w:val="00CB1EA3"/>
    <w:rsid w:val="00CB552C"/>
    <w:rsid w:val="00CB6A9E"/>
    <w:rsid w:val="00CC6181"/>
    <w:rsid w:val="00CC7437"/>
    <w:rsid w:val="00CD2BCD"/>
    <w:rsid w:val="00CD3536"/>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3B52"/>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05B3"/>
    <w:rsid w:val="00F74345"/>
    <w:rsid w:val="00F74441"/>
    <w:rsid w:val="00F77F30"/>
    <w:rsid w:val="00F82589"/>
    <w:rsid w:val="00F82B19"/>
    <w:rsid w:val="00F90AA7"/>
    <w:rsid w:val="00F9212D"/>
    <w:rsid w:val="00FA301A"/>
    <w:rsid w:val="00FA406A"/>
    <w:rsid w:val="00FA5CB6"/>
    <w:rsid w:val="00FC059D"/>
    <w:rsid w:val="00FC66AC"/>
    <w:rsid w:val="00FD18F4"/>
    <w:rsid w:val="00FD74B4"/>
    <w:rsid w:val="00FF6FCE"/>
    <w:rsid w:val="00FF7518"/>
    <w:rsid w:val="00FF7FD8"/>
    <w:rsid w:val="0102587C"/>
    <w:rsid w:val="010B0E3C"/>
    <w:rsid w:val="010E097E"/>
    <w:rsid w:val="01154EDD"/>
    <w:rsid w:val="013369C0"/>
    <w:rsid w:val="01395070"/>
    <w:rsid w:val="013C58A6"/>
    <w:rsid w:val="01460BC8"/>
    <w:rsid w:val="016D24A7"/>
    <w:rsid w:val="01714809"/>
    <w:rsid w:val="017A5E54"/>
    <w:rsid w:val="017C0447"/>
    <w:rsid w:val="0187402D"/>
    <w:rsid w:val="018F6A3E"/>
    <w:rsid w:val="019E0BC7"/>
    <w:rsid w:val="01BA3175"/>
    <w:rsid w:val="01C20BC1"/>
    <w:rsid w:val="01CB4983"/>
    <w:rsid w:val="01DC20BA"/>
    <w:rsid w:val="01E02863"/>
    <w:rsid w:val="01E66FA5"/>
    <w:rsid w:val="01F24EFD"/>
    <w:rsid w:val="01F86CD9"/>
    <w:rsid w:val="02041109"/>
    <w:rsid w:val="0204567E"/>
    <w:rsid w:val="020C5203"/>
    <w:rsid w:val="02181129"/>
    <w:rsid w:val="0224187C"/>
    <w:rsid w:val="022E1C2A"/>
    <w:rsid w:val="024B56FF"/>
    <w:rsid w:val="025C7268"/>
    <w:rsid w:val="025F712B"/>
    <w:rsid w:val="0264611C"/>
    <w:rsid w:val="02656D0B"/>
    <w:rsid w:val="02741FEB"/>
    <w:rsid w:val="028E3199"/>
    <w:rsid w:val="02922C89"/>
    <w:rsid w:val="029B2CCF"/>
    <w:rsid w:val="02A81B3F"/>
    <w:rsid w:val="02AB2F32"/>
    <w:rsid w:val="02B31C0D"/>
    <w:rsid w:val="02C60B85"/>
    <w:rsid w:val="02CC265A"/>
    <w:rsid w:val="02D24F64"/>
    <w:rsid w:val="02D915D3"/>
    <w:rsid w:val="02ED7EC0"/>
    <w:rsid w:val="02FE20CD"/>
    <w:rsid w:val="02FE3CFC"/>
    <w:rsid w:val="03125B78"/>
    <w:rsid w:val="032D29B2"/>
    <w:rsid w:val="032F004E"/>
    <w:rsid w:val="03324053"/>
    <w:rsid w:val="035711CD"/>
    <w:rsid w:val="03593F8E"/>
    <w:rsid w:val="036E4C8C"/>
    <w:rsid w:val="03767EB5"/>
    <w:rsid w:val="03775333"/>
    <w:rsid w:val="037E5D27"/>
    <w:rsid w:val="03820E0A"/>
    <w:rsid w:val="0389410F"/>
    <w:rsid w:val="03C01873"/>
    <w:rsid w:val="03C13DE8"/>
    <w:rsid w:val="03C74BB5"/>
    <w:rsid w:val="03E37177"/>
    <w:rsid w:val="03E86858"/>
    <w:rsid w:val="03F62188"/>
    <w:rsid w:val="0400649F"/>
    <w:rsid w:val="040258ED"/>
    <w:rsid w:val="0406229F"/>
    <w:rsid w:val="04071455"/>
    <w:rsid w:val="04163446"/>
    <w:rsid w:val="041B6CAE"/>
    <w:rsid w:val="041D7288"/>
    <w:rsid w:val="04243947"/>
    <w:rsid w:val="04291250"/>
    <w:rsid w:val="042957D1"/>
    <w:rsid w:val="044004C3"/>
    <w:rsid w:val="0446094A"/>
    <w:rsid w:val="04526F8D"/>
    <w:rsid w:val="0461272F"/>
    <w:rsid w:val="0464553A"/>
    <w:rsid w:val="047C10EA"/>
    <w:rsid w:val="04852A8B"/>
    <w:rsid w:val="04B56409"/>
    <w:rsid w:val="04B56C15"/>
    <w:rsid w:val="04B9273B"/>
    <w:rsid w:val="04B94341"/>
    <w:rsid w:val="04BC08B4"/>
    <w:rsid w:val="04C07E54"/>
    <w:rsid w:val="04C467F9"/>
    <w:rsid w:val="04C50527"/>
    <w:rsid w:val="04C85321"/>
    <w:rsid w:val="04CF4938"/>
    <w:rsid w:val="04DA26C6"/>
    <w:rsid w:val="04E27536"/>
    <w:rsid w:val="04E8294E"/>
    <w:rsid w:val="04F51884"/>
    <w:rsid w:val="050A239E"/>
    <w:rsid w:val="050C4C3F"/>
    <w:rsid w:val="051668EE"/>
    <w:rsid w:val="051F0BAA"/>
    <w:rsid w:val="05245CDD"/>
    <w:rsid w:val="052A53FB"/>
    <w:rsid w:val="052D0A47"/>
    <w:rsid w:val="05464B78"/>
    <w:rsid w:val="05510699"/>
    <w:rsid w:val="055F2BCB"/>
    <w:rsid w:val="056B4766"/>
    <w:rsid w:val="05721E18"/>
    <w:rsid w:val="05742AC8"/>
    <w:rsid w:val="05766F80"/>
    <w:rsid w:val="057F6DC9"/>
    <w:rsid w:val="0580501B"/>
    <w:rsid w:val="059705B7"/>
    <w:rsid w:val="059F1B1C"/>
    <w:rsid w:val="05A87573"/>
    <w:rsid w:val="05AD43EF"/>
    <w:rsid w:val="05AF45FD"/>
    <w:rsid w:val="05B07EFA"/>
    <w:rsid w:val="05C43082"/>
    <w:rsid w:val="05E11910"/>
    <w:rsid w:val="05E21D48"/>
    <w:rsid w:val="05E90727"/>
    <w:rsid w:val="05EC7883"/>
    <w:rsid w:val="060211B0"/>
    <w:rsid w:val="06053772"/>
    <w:rsid w:val="060B6884"/>
    <w:rsid w:val="060E0AC1"/>
    <w:rsid w:val="06352F05"/>
    <w:rsid w:val="063E7D85"/>
    <w:rsid w:val="064238E8"/>
    <w:rsid w:val="06473303"/>
    <w:rsid w:val="06557C1B"/>
    <w:rsid w:val="067D3E4C"/>
    <w:rsid w:val="068A3BAA"/>
    <w:rsid w:val="068C5C42"/>
    <w:rsid w:val="068E6645"/>
    <w:rsid w:val="06936FD0"/>
    <w:rsid w:val="069371C5"/>
    <w:rsid w:val="069621F5"/>
    <w:rsid w:val="06975175"/>
    <w:rsid w:val="069951EF"/>
    <w:rsid w:val="069D0573"/>
    <w:rsid w:val="06A0349B"/>
    <w:rsid w:val="06B2355F"/>
    <w:rsid w:val="06B5051E"/>
    <w:rsid w:val="06C054F9"/>
    <w:rsid w:val="06C4533E"/>
    <w:rsid w:val="06CB49BC"/>
    <w:rsid w:val="06D420AC"/>
    <w:rsid w:val="06D7510F"/>
    <w:rsid w:val="06DD5E52"/>
    <w:rsid w:val="06EB38F4"/>
    <w:rsid w:val="06FB698D"/>
    <w:rsid w:val="070875E0"/>
    <w:rsid w:val="07212DDD"/>
    <w:rsid w:val="07293586"/>
    <w:rsid w:val="07295285"/>
    <w:rsid w:val="074958E1"/>
    <w:rsid w:val="07755AF1"/>
    <w:rsid w:val="077566D6"/>
    <w:rsid w:val="07770C56"/>
    <w:rsid w:val="07784817"/>
    <w:rsid w:val="077C2151"/>
    <w:rsid w:val="078516EF"/>
    <w:rsid w:val="079F3E6C"/>
    <w:rsid w:val="07A4303E"/>
    <w:rsid w:val="07AD40C1"/>
    <w:rsid w:val="07B76CEE"/>
    <w:rsid w:val="07D50814"/>
    <w:rsid w:val="07E265D9"/>
    <w:rsid w:val="07EA5262"/>
    <w:rsid w:val="07F837CE"/>
    <w:rsid w:val="07FE491D"/>
    <w:rsid w:val="08027DE1"/>
    <w:rsid w:val="08056444"/>
    <w:rsid w:val="080C0956"/>
    <w:rsid w:val="08165D2F"/>
    <w:rsid w:val="08231767"/>
    <w:rsid w:val="08326984"/>
    <w:rsid w:val="084560A8"/>
    <w:rsid w:val="08512C9F"/>
    <w:rsid w:val="085334D4"/>
    <w:rsid w:val="08566E7F"/>
    <w:rsid w:val="085F4458"/>
    <w:rsid w:val="087B7440"/>
    <w:rsid w:val="0882554E"/>
    <w:rsid w:val="088720A7"/>
    <w:rsid w:val="088908AD"/>
    <w:rsid w:val="08893758"/>
    <w:rsid w:val="089332B7"/>
    <w:rsid w:val="08962DA7"/>
    <w:rsid w:val="089B216C"/>
    <w:rsid w:val="089C21C1"/>
    <w:rsid w:val="08B149F8"/>
    <w:rsid w:val="08BF478F"/>
    <w:rsid w:val="08C05AEC"/>
    <w:rsid w:val="08DA591A"/>
    <w:rsid w:val="08DE1E0F"/>
    <w:rsid w:val="08DE6DA5"/>
    <w:rsid w:val="09011570"/>
    <w:rsid w:val="09036BB8"/>
    <w:rsid w:val="09160A82"/>
    <w:rsid w:val="092217DD"/>
    <w:rsid w:val="0923288D"/>
    <w:rsid w:val="0926412B"/>
    <w:rsid w:val="092F44B4"/>
    <w:rsid w:val="093A7294"/>
    <w:rsid w:val="094840A2"/>
    <w:rsid w:val="095C0D49"/>
    <w:rsid w:val="095D5673"/>
    <w:rsid w:val="09815AA0"/>
    <w:rsid w:val="099071EB"/>
    <w:rsid w:val="09945539"/>
    <w:rsid w:val="09AE7470"/>
    <w:rsid w:val="09BB74E9"/>
    <w:rsid w:val="09C4676A"/>
    <w:rsid w:val="09C77492"/>
    <w:rsid w:val="09D14DF5"/>
    <w:rsid w:val="09E63D69"/>
    <w:rsid w:val="09E90293"/>
    <w:rsid w:val="09ED6F5E"/>
    <w:rsid w:val="09ED7DDC"/>
    <w:rsid w:val="09EF276F"/>
    <w:rsid w:val="09FB7366"/>
    <w:rsid w:val="0A094E7E"/>
    <w:rsid w:val="0A297E31"/>
    <w:rsid w:val="0A327FAA"/>
    <w:rsid w:val="0A337B3E"/>
    <w:rsid w:val="0A3568AA"/>
    <w:rsid w:val="0A3D4C10"/>
    <w:rsid w:val="0A407474"/>
    <w:rsid w:val="0A5B6057"/>
    <w:rsid w:val="0A5D1DCF"/>
    <w:rsid w:val="0A600813"/>
    <w:rsid w:val="0A607825"/>
    <w:rsid w:val="0A661BA3"/>
    <w:rsid w:val="0A7858FE"/>
    <w:rsid w:val="0A7903A6"/>
    <w:rsid w:val="0A824575"/>
    <w:rsid w:val="0A961417"/>
    <w:rsid w:val="0AAD0975"/>
    <w:rsid w:val="0AAE527E"/>
    <w:rsid w:val="0AB96656"/>
    <w:rsid w:val="0ABA10DE"/>
    <w:rsid w:val="0AD81F8E"/>
    <w:rsid w:val="0AE20526"/>
    <w:rsid w:val="0AE30C24"/>
    <w:rsid w:val="0AE42B47"/>
    <w:rsid w:val="0AE8636D"/>
    <w:rsid w:val="0B1B01AD"/>
    <w:rsid w:val="0B294C45"/>
    <w:rsid w:val="0B531E70"/>
    <w:rsid w:val="0B5807E8"/>
    <w:rsid w:val="0B5C18E9"/>
    <w:rsid w:val="0B5E4439"/>
    <w:rsid w:val="0B5F1B77"/>
    <w:rsid w:val="0B7373D0"/>
    <w:rsid w:val="0B85339E"/>
    <w:rsid w:val="0B980BE5"/>
    <w:rsid w:val="0BA31A63"/>
    <w:rsid w:val="0BA90005"/>
    <w:rsid w:val="0BAF080B"/>
    <w:rsid w:val="0BAF7A66"/>
    <w:rsid w:val="0BBE064B"/>
    <w:rsid w:val="0BC35C62"/>
    <w:rsid w:val="0BC83278"/>
    <w:rsid w:val="0BCE4D5F"/>
    <w:rsid w:val="0BCE5BD7"/>
    <w:rsid w:val="0BD27BF6"/>
    <w:rsid w:val="0BD51E39"/>
    <w:rsid w:val="0BDF4FBA"/>
    <w:rsid w:val="0BE5207C"/>
    <w:rsid w:val="0BEF27AA"/>
    <w:rsid w:val="0C007B04"/>
    <w:rsid w:val="0C083FBC"/>
    <w:rsid w:val="0C0901F9"/>
    <w:rsid w:val="0C0A3890"/>
    <w:rsid w:val="0C1B66E9"/>
    <w:rsid w:val="0C2E0448"/>
    <w:rsid w:val="0C4341D3"/>
    <w:rsid w:val="0C476893"/>
    <w:rsid w:val="0C4D45EC"/>
    <w:rsid w:val="0C540FAF"/>
    <w:rsid w:val="0C6D153E"/>
    <w:rsid w:val="0C6D39FD"/>
    <w:rsid w:val="0C6F6D7C"/>
    <w:rsid w:val="0C7C4062"/>
    <w:rsid w:val="0C89594D"/>
    <w:rsid w:val="0C8C24F7"/>
    <w:rsid w:val="0C8F1FE8"/>
    <w:rsid w:val="0C9B7858"/>
    <w:rsid w:val="0CA041F5"/>
    <w:rsid w:val="0CAF4438"/>
    <w:rsid w:val="0CB47CA0"/>
    <w:rsid w:val="0CB57831"/>
    <w:rsid w:val="0CBE2F0C"/>
    <w:rsid w:val="0CCC34EB"/>
    <w:rsid w:val="0CDE415B"/>
    <w:rsid w:val="0CDE4182"/>
    <w:rsid w:val="0CE75980"/>
    <w:rsid w:val="0CE9669C"/>
    <w:rsid w:val="0CEC5F94"/>
    <w:rsid w:val="0CF252DC"/>
    <w:rsid w:val="0CF63E15"/>
    <w:rsid w:val="0CFF716D"/>
    <w:rsid w:val="0D083FC1"/>
    <w:rsid w:val="0D1E4B0A"/>
    <w:rsid w:val="0D467C60"/>
    <w:rsid w:val="0D4E244D"/>
    <w:rsid w:val="0D621216"/>
    <w:rsid w:val="0D6E1F7C"/>
    <w:rsid w:val="0D754ED7"/>
    <w:rsid w:val="0D7D4536"/>
    <w:rsid w:val="0D815171"/>
    <w:rsid w:val="0D8458C4"/>
    <w:rsid w:val="0D8E733B"/>
    <w:rsid w:val="0D951880"/>
    <w:rsid w:val="0D9D355F"/>
    <w:rsid w:val="0DA161BD"/>
    <w:rsid w:val="0DA872C0"/>
    <w:rsid w:val="0DC6665F"/>
    <w:rsid w:val="0DD34E7E"/>
    <w:rsid w:val="0DDF0D4D"/>
    <w:rsid w:val="0DED435D"/>
    <w:rsid w:val="0DF57729"/>
    <w:rsid w:val="0DF66B41"/>
    <w:rsid w:val="0E110D06"/>
    <w:rsid w:val="0E121122"/>
    <w:rsid w:val="0E2A57C3"/>
    <w:rsid w:val="0E3959B5"/>
    <w:rsid w:val="0E404A5E"/>
    <w:rsid w:val="0E407E19"/>
    <w:rsid w:val="0E451EA1"/>
    <w:rsid w:val="0E4A6BAC"/>
    <w:rsid w:val="0E5139F9"/>
    <w:rsid w:val="0E554DFA"/>
    <w:rsid w:val="0E586C11"/>
    <w:rsid w:val="0E6070C2"/>
    <w:rsid w:val="0E837F6E"/>
    <w:rsid w:val="0E8D14B7"/>
    <w:rsid w:val="0E912545"/>
    <w:rsid w:val="0E9B0DBE"/>
    <w:rsid w:val="0E9D3FAE"/>
    <w:rsid w:val="0EA46A65"/>
    <w:rsid w:val="0EBB0A0E"/>
    <w:rsid w:val="0EC04B60"/>
    <w:rsid w:val="0EE24651"/>
    <w:rsid w:val="0EED19EE"/>
    <w:rsid w:val="0EFF7DDD"/>
    <w:rsid w:val="0F000F7B"/>
    <w:rsid w:val="0F13775A"/>
    <w:rsid w:val="0F1D1B2D"/>
    <w:rsid w:val="0F223902"/>
    <w:rsid w:val="0F247DDE"/>
    <w:rsid w:val="0F4277E5"/>
    <w:rsid w:val="0F4B669A"/>
    <w:rsid w:val="0F63066D"/>
    <w:rsid w:val="0F772246"/>
    <w:rsid w:val="0F783207"/>
    <w:rsid w:val="0F85330A"/>
    <w:rsid w:val="0F8A2BBE"/>
    <w:rsid w:val="0F9A112B"/>
    <w:rsid w:val="0FA93AC0"/>
    <w:rsid w:val="0FD3497F"/>
    <w:rsid w:val="0FD84E3C"/>
    <w:rsid w:val="0FDC19E8"/>
    <w:rsid w:val="0FE6761C"/>
    <w:rsid w:val="0FEF5BEE"/>
    <w:rsid w:val="0FFB1F62"/>
    <w:rsid w:val="101051ED"/>
    <w:rsid w:val="101C74C8"/>
    <w:rsid w:val="10267A4E"/>
    <w:rsid w:val="10293EFB"/>
    <w:rsid w:val="102C34EB"/>
    <w:rsid w:val="10392996"/>
    <w:rsid w:val="10472170"/>
    <w:rsid w:val="104F6CDC"/>
    <w:rsid w:val="105169E8"/>
    <w:rsid w:val="106403FD"/>
    <w:rsid w:val="106D2F64"/>
    <w:rsid w:val="10806BB6"/>
    <w:rsid w:val="10845AEF"/>
    <w:rsid w:val="1090632E"/>
    <w:rsid w:val="10B63710"/>
    <w:rsid w:val="10C20B75"/>
    <w:rsid w:val="10D37BC9"/>
    <w:rsid w:val="10D4367C"/>
    <w:rsid w:val="110E1D8B"/>
    <w:rsid w:val="11124F95"/>
    <w:rsid w:val="1116568D"/>
    <w:rsid w:val="111C2F7A"/>
    <w:rsid w:val="11252101"/>
    <w:rsid w:val="113013DE"/>
    <w:rsid w:val="1132516D"/>
    <w:rsid w:val="11405C91"/>
    <w:rsid w:val="11462CE6"/>
    <w:rsid w:val="114F1670"/>
    <w:rsid w:val="1164357D"/>
    <w:rsid w:val="116E4FE2"/>
    <w:rsid w:val="117012AC"/>
    <w:rsid w:val="117122E4"/>
    <w:rsid w:val="11925A35"/>
    <w:rsid w:val="11967974"/>
    <w:rsid w:val="11993459"/>
    <w:rsid w:val="11A541D1"/>
    <w:rsid w:val="11CC4E21"/>
    <w:rsid w:val="11E02E68"/>
    <w:rsid w:val="11E347C3"/>
    <w:rsid w:val="11E8505B"/>
    <w:rsid w:val="11F4623D"/>
    <w:rsid w:val="120318C1"/>
    <w:rsid w:val="12144CC9"/>
    <w:rsid w:val="12170AB5"/>
    <w:rsid w:val="121865DB"/>
    <w:rsid w:val="122613CC"/>
    <w:rsid w:val="122B06C2"/>
    <w:rsid w:val="122D12CF"/>
    <w:rsid w:val="12392DAB"/>
    <w:rsid w:val="12394A8E"/>
    <w:rsid w:val="12402856"/>
    <w:rsid w:val="12451668"/>
    <w:rsid w:val="124B348C"/>
    <w:rsid w:val="12521AED"/>
    <w:rsid w:val="125D5343"/>
    <w:rsid w:val="12614426"/>
    <w:rsid w:val="126536FE"/>
    <w:rsid w:val="126B555D"/>
    <w:rsid w:val="12743B39"/>
    <w:rsid w:val="127711FC"/>
    <w:rsid w:val="128943A3"/>
    <w:rsid w:val="128B3075"/>
    <w:rsid w:val="12B13510"/>
    <w:rsid w:val="12BE3205"/>
    <w:rsid w:val="12CA4636"/>
    <w:rsid w:val="12D047CC"/>
    <w:rsid w:val="12D3400A"/>
    <w:rsid w:val="12E41CE7"/>
    <w:rsid w:val="13155364"/>
    <w:rsid w:val="1324553B"/>
    <w:rsid w:val="132C0590"/>
    <w:rsid w:val="13396EBA"/>
    <w:rsid w:val="13531FC1"/>
    <w:rsid w:val="13533D6F"/>
    <w:rsid w:val="13587B48"/>
    <w:rsid w:val="135B7787"/>
    <w:rsid w:val="136A4BF6"/>
    <w:rsid w:val="138008DC"/>
    <w:rsid w:val="1380360E"/>
    <w:rsid w:val="13934873"/>
    <w:rsid w:val="13951726"/>
    <w:rsid w:val="13A058D3"/>
    <w:rsid w:val="13AC25EC"/>
    <w:rsid w:val="13DE55D1"/>
    <w:rsid w:val="13DF0679"/>
    <w:rsid w:val="140B670A"/>
    <w:rsid w:val="14123C2A"/>
    <w:rsid w:val="141A6D54"/>
    <w:rsid w:val="141C0605"/>
    <w:rsid w:val="142F265F"/>
    <w:rsid w:val="14310749"/>
    <w:rsid w:val="1436578D"/>
    <w:rsid w:val="14381DC5"/>
    <w:rsid w:val="14396509"/>
    <w:rsid w:val="14453C21"/>
    <w:rsid w:val="1447165C"/>
    <w:rsid w:val="144B01ED"/>
    <w:rsid w:val="145C4919"/>
    <w:rsid w:val="146232F8"/>
    <w:rsid w:val="146842C5"/>
    <w:rsid w:val="148379C3"/>
    <w:rsid w:val="14986CC5"/>
    <w:rsid w:val="149D101A"/>
    <w:rsid w:val="14AF6E0E"/>
    <w:rsid w:val="14C842E9"/>
    <w:rsid w:val="14C91200"/>
    <w:rsid w:val="14C95CE9"/>
    <w:rsid w:val="14E8498B"/>
    <w:rsid w:val="14F74064"/>
    <w:rsid w:val="151C4634"/>
    <w:rsid w:val="154D0C92"/>
    <w:rsid w:val="155A7934"/>
    <w:rsid w:val="15624288"/>
    <w:rsid w:val="1573171A"/>
    <w:rsid w:val="15754FE8"/>
    <w:rsid w:val="157F5315"/>
    <w:rsid w:val="158521DA"/>
    <w:rsid w:val="15893BA8"/>
    <w:rsid w:val="15976FC9"/>
    <w:rsid w:val="15AE2A13"/>
    <w:rsid w:val="15AF1B48"/>
    <w:rsid w:val="15C04919"/>
    <w:rsid w:val="15C81241"/>
    <w:rsid w:val="15CC1BB7"/>
    <w:rsid w:val="15D91B71"/>
    <w:rsid w:val="15DE404E"/>
    <w:rsid w:val="15EE5FD1"/>
    <w:rsid w:val="15F55A43"/>
    <w:rsid w:val="16173ED4"/>
    <w:rsid w:val="162A5E75"/>
    <w:rsid w:val="162D33AE"/>
    <w:rsid w:val="163E38CF"/>
    <w:rsid w:val="164B0998"/>
    <w:rsid w:val="164F09AD"/>
    <w:rsid w:val="165B2EB4"/>
    <w:rsid w:val="16656D0D"/>
    <w:rsid w:val="167738EF"/>
    <w:rsid w:val="167A79D6"/>
    <w:rsid w:val="16815DD8"/>
    <w:rsid w:val="168B3B8F"/>
    <w:rsid w:val="168C67E3"/>
    <w:rsid w:val="168F3ECB"/>
    <w:rsid w:val="16915345"/>
    <w:rsid w:val="16921052"/>
    <w:rsid w:val="16B26FFE"/>
    <w:rsid w:val="16BD504E"/>
    <w:rsid w:val="16C20865"/>
    <w:rsid w:val="16CE2664"/>
    <w:rsid w:val="16DD0041"/>
    <w:rsid w:val="17171393"/>
    <w:rsid w:val="171C4DC0"/>
    <w:rsid w:val="171D2F12"/>
    <w:rsid w:val="1726179A"/>
    <w:rsid w:val="1736437F"/>
    <w:rsid w:val="17470C76"/>
    <w:rsid w:val="175260F8"/>
    <w:rsid w:val="175632BE"/>
    <w:rsid w:val="17627B32"/>
    <w:rsid w:val="17735226"/>
    <w:rsid w:val="177D585E"/>
    <w:rsid w:val="17834838"/>
    <w:rsid w:val="17931E22"/>
    <w:rsid w:val="17DE6FBD"/>
    <w:rsid w:val="17EC08AB"/>
    <w:rsid w:val="17F35B20"/>
    <w:rsid w:val="17F57E95"/>
    <w:rsid w:val="17FB05A5"/>
    <w:rsid w:val="180C1EE2"/>
    <w:rsid w:val="18274DB3"/>
    <w:rsid w:val="185540E5"/>
    <w:rsid w:val="185E5908"/>
    <w:rsid w:val="186407CC"/>
    <w:rsid w:val="187C61ED"/>
    <w:rsid w:val="187D53EA"/>
    <w:rsid w:val="187F3918"/>
    <w:rsid w:val="18866623"/>
    <w:rsid w:val="18876269"/>
    <w:rsid w:val="188D1F4C"/>
    <w:rsid w:val="188E0449"/>
    <w:rsid w:val="18950986"/>
    <w:rsid w:val="189750AF"/>
    <w:rsid w:val="189E4FB7"/>
    <w:rsid w:val="18B43502"/>
    <w:rsid w:val="18BA663E"/>
    <w:rsid w:val="18BB7F86"/>
    <w:rsid w:val="18C90307"/>
    <w:rsid w:val="18CE3E98"/>
    <w:rsid w:val="18CF5A6E"/>
    <w:rsid w:val="18D823D6"/>
    <w:rsid w:val="18F13E60"/>
    <w:rsid w:val="18F90578"/>
    <w:rsid w:val="190E2B95"/>
    <w:rsid w:val="191C10A7"/>
    <w:rsid w:val="193A77B2"/>
    <w:rsid w:val="19441EE2"/>
    <w:rsid w:val="194B373A"/>
    <w:rsid w:val="194F4A56"/>
    <w:rsid w:val="19614284"/>
    <w:rsid w:val="19701C46"/>
    <w:rsid w:val="197E268F"/>
    <w:rsid w:val="19846B23"/>
    <w:rsid w:val="198A4263"/>
    <w:rsid w:val="19921369"/>
    <w:rsid w:val="1998697F"/>
    <w:rsid w:val="199A6213"/>
    <w:rsid w:val="19A05834"/>
    <w:rsid w:val="19A74403"/>
    <w:rsid w:val="19AA6F39"/>
    <w:rsid w:val="19AF1F1B"/>
    <w:rsid w:val="19B3023D"/>
    <w:rsid w:val="19E41BC5"/>
    <w:rsid w:val="1A076C16"/>
    <w:rsid w:val="1A15678C"/>
    <w:rsid w:val="1A1C66C0"/>
    <w:rsid w:val="1A285AD1"/>
    <w:rsid w:val="1A342BA6"/>
    <w:rsid w:val="1A3D12D5"/>
    <w:rsid w:val="1A42393B"/>
    <w:rsid w:val="1A4F6FFD"/>
    <w:rsid w:val="1A592D80"/>
    <w:rsid w:val="1A627E17"/>
    <w:rsid w:val="1A6D7C6B"/>
    <w:rsid w:val="1A713E9B"/>
    <w:rsid w:val="1A732D5B"/>
    <w:rsid w:val="1A7A5706"/>
    <w:rsid w:val="1A80354D"/>
    <w:rsid w:val="1A870196"/>
    <w:rsid w:val="1A8A7F16"/>
    <w:rsid w:val="1A8F483B"/>
    <w:rsid w:val="1A952EBF"/>
    <w:rsid w:val="1A9C7CEC"/>
    <w:rsid w:val="1AA66E7A"/>
    <w:rsid w:val="1AA8560F"/>
    <w:rsid w:val="1AAB4490"/>
    <w:rsid w:val="1AC64767"/>
    <w:rsid w:val="1AD43080"/>
    <w:rsid w:val="1AD71280"/>
    <w:rsid w:val="1AED4234"/>
    <w:rsid w:val="1AEE26F2"/>
    <w:rsid w:val="1B046F80"/>
    <w:rsid w:val="1B071C31"/>
    <w:rsid w:val="1B1C713C"/>
    <w:rsid w:val="1B293607"/>
    <w:rsid w:val="1B2D759B"/>
    <w:rsid w:val="1B3015F7"/>
    <w:rsid w:val="1B3267B5"/>
    <w:rsid w:val="1B360421"/>
    <w:rsid w:val="1B3E77E3"/>
    <w:rsid w:val="1B46240B"/>
    <w:rsid w:val="1B6A4D1C"/>
    <w:rsid w:val="1B7725C5"/>
    <w:rsid w:val="1B8B5D6E"/>
    <w:rsid w:val="1B8D1DE8"/>
    <w:rsid w:val="1B9D50CA"/>
    <w:rsid w:val="1BB55F99"/>
    <w:rsid w:val="1BB826AE"/>
    <w:rsid w:val="1BB97B3B"/>
    <w:rsid w:val="1BC25DC8"/>
    <w:rsid w:val="1BC947C4"/>
    <w:rsid w:val="1BEC6B0F"/>
    <w:rsid w:val="1C010BF2"/>
    <w:rsid w:val="1C03286B"/>
    <w:rsid w:val="1C0A51E7"/>
    <w:rsid w:val="1C0C71B1"/>
    <w:rsid w:val="1C182F4A"/>
    <w:rsid w:val="1C214E4B"/>
    <w:rsid w:val="1C241AB9"/>
    <w:rsid w:val="1C2420E9"/>
    <w:rsid w:val="1C3E28E2"/>
    <w:rsid w:val="1C4F709D"/>
    <w:rsid w:val="1C5841A4"/>
    <w:rsid w:val="1C5A43C0"/>
    <w:rsid w:val="1C5E7925"/>
    <w:rsid w:val="1C676ADD"/>
    <w:rsid w:val="1C6C7C4F"/>
    <w:rsid w:val="1C721B80"/>
    <w:rsid w:val="1C846E77"/>
    <w:rsid w:val="1C887FC8"/>
    <w:rsid w:val="1C897E07"/>
    <w:rsid w:val="1C8F4DFF"/>
    <w:rsid w:val="1C9378D2"/>
    <w:rsid w:val="1C9A095A"/>
    <w:rsid w:val="1C9C0BB0"/>
    <w:rsid w:val="1CB20F88"/>
    <w:rsid w:val="1CBC0F8C"/>
    <w:rsid w:val="1CBE3B31"/>
    <w:rsid w:val="1CC76488"/>
    <w:rsid w:val="1CD53EB2"/>
    <w:rsid w:val="1CDA239D"/>
    <w:rsid w:val="1CDF6673"/>
    <w:rsid w:val="1CE73720"/>
    <w:rsid w:val="1CFA34AD"/>
    <w:rsid w:val="1CFD4D4B"/>
    <w:rsid w:val="1D042BAD"/>
    <w:rsid w:val="1D072CD1"/>
    <w:rsid w:val="1D1F4348"/>
    <w:rsid w:val="1D372549"/>
    <w:rsid w:val="1D3C65DF"/>
    <w:rsid w:val="1D41793F"/>
    <w:rsid w:val="1D5829E8"/>
    <w:rsid w:val="1D5F6196"/>
    <w:rsid w:val="1D6132A5"/>
    <w:rsid w:val="1D63522B"/>
    <w:rsid w:val="1D637276"/>
    <w:rsid w:val="1D8E56D5"/>
    <w:rsid w:val="1D8F12B6"/>
    <w:rsid w:val="1D9A7C44"/>
    <w:rsid w:val="1DB76D24"/>
    <w:rsid w:val="1DB93368"/>
    <w:rsid w:val="1DBE533C"/>
    <w:rsid w:val="1DC21C33"/>
    <w:rsid w:val="1DC35F95"/>
    <w:rsid w:val="1DF13FF3"/>
    <w:rsid w:val="1E11371F"/>
    <w:rsid w:val="1E122A78"/>
    <w:rsid w:val="1E242829"/>
    <w:rsid w:val="1E381C65"/>
    <w:rsid w:val="1E4D1011"/>
    <w:rsid w:val="1E7A43DA"/>
    <w:rsid w:val="1E8C45D9"/>
    <w:rsid w:val="1EA44DBD"/>
    <w:rsid w:val="1EB277FE"/>
    <w:rsid w:val="1EBD0C36"/>
    <w:rsid w:val="1EBF49AE"/>
    <w:rsid w:val="1ED55F80"/>
    <w:rsid w:val="1EF41CFE"/>
    <w:rsid w:val="1EFB33BF"/>
    <w:rsid w:val="1F05752F"/>
    <w:rsid w:val="1F122512"/>
    <w:rsid w:val="1F1927BD"/>
    <w:rsid w:val="1F1A2F77"/>
    <w:rsid w:val="1F1F544D"/>
    <w:rsid w:val="1F330EF8"/>
    <w:rsid w:val="1F43738D"/>
    <w:rsid w:val="1F463D1A"/>
    <w:rsid w:val="1F50309A"/>
    <w:rsid w:val="1F615A66"/>
    <w:rsid w:val="1F69491A"/>
    <w:rsid w:val="1FAA11BB"/>
    <w:rsid w:val="1FC14756"/>
    <w:rsid w:val="1FC2615C"/>
    <w:rsid w:val="1FD04999"/>
    <w:rsid w:val="1FD449E1"/>
    <w:rsid w:val="1FE7539E"/>
    <w:rsid w:val="1FF87B86"/>
    <w:rsid w:val="20012AE0"/>
    <w:rsid w:val="200176EA"/>
    <w:rsid w:val="20031B5D"/>
    <w:rsid w:val="200362FC"/>
    <w:rsid w:val="201F7B62"/>
    <w:rsid w:val="20215FFB"/>
    <w:rsid w:val="2034467B"/>
    <w:rsid w:val="203A0CB7"/>
    <w:rsid w:val="203E0D6F"/>
    <w:rsid w:val="208515D3"/>
    <w:rsid w:val="208C7916"/>
    <w:rsid w:val="20963CB8"/>
    <w:rsid w:val="20972B11"/>
    <w:rsid w:val="209B0B03"/>
    <w:rsid w:val="209B4BB0"/>
    <w:rsid w:val="20A42459"/>
    <w:rsid w:val="20A76033"/>
    <w:rsid w:val="20AE0066"/>
    <w:rsid w:val="20B07FB6"/>
    <w:rsid w:val="20BD4F1E"/>
    <w:rsid w:val="20C55B80"/>
    <w:rsid w:val="20C91FF6"/>
    <w:rsid w:val="20D3217B"/>
    <w:rsid w:val="20DB1BF4"/>
    <w:rsid w:val="20E00C0C"/>
    <w:rsid w:val="20E424AA"/>
    <w:rsid w:val="20E701EC"/>
    <w:rsid w:val="20FB1FC3"/>
    <w:rsid w:val="20FD356C"/>
    <w:rsid w:val="21070331"/>
    <w:rsid w:val="210B41FA"/>
    <w:rsid w:val="2113309D"/>
    <w:rsid w:val="21171D86"/>
    <w:rsid w:val="2117694F"/>
    <w:rsid w:val="211F7986"/>
    <w:rsid w:val="21227979"/>
    <w:rsid w:val="2127503B"/>
    <w:rsid w:val="213B74B1"/>
    <w:rsid w:val="21577F36"/>
    <w:rsid w:val="215A2310"/>
    <w:rsid w:val="21667363"/>
    <w:rsid w:val="2177267A"/>
    <w:rsid w:val="217933F6"/>
    <w:rsid w:val="217A2F0F"/>
    <w:rsid w:val="217D794A"/>
    <w:rsid w:val="218B6E36"/>
    <w:rsid w:val="218D482A"/>
    <w:rsid w:val="219051CD"/>
    <w:rsid w:val="21983295"/>
    <w:rsid w:val="219F402F"/>
    <w:rsid w:val="21A659B2"/>
    <w:rsid w:val="21BC3427"/>
    <w:rsid w:val="21C77CE0"/>
    <w:rsid w:val="21DB6C4D"/>
    <w:rsid w:val="21DE318A"/>
    <w:rsid w:val="21EA1CBC"/>
    <w:rsid w:val="21ED1706"/>
    <w:rsid w:val="21EF5B80"/>
    <w:rsid w:val="21F04642"/>
    <w:rsid w:val="2208666C"/>
    <w:rsid w:val="22104420"/>
    <w:rsid w:val="221E7C3E"/>
    <w:rsid w:val="2220088A"/>
    <w:rsid w:val="22323FDB"/>
    <w:rsid w:val="225278E7"/>
    <w:rsid w:val="225355DF"/>
    <w:rsid w:val="22576990"/>
    <w:rsid w:val="2267277C"/>
    <w:rsid w:val="226A2E83"/>
    <w:rsid w:val="226D64CF"/>
    <w:rsid w:val="22804455"/>
    <w:rsid w:val="22823B05"/>
    <w:rsid w:val="22873A35"/>
    <w:rsid w:val="228A64AF"/>
    <w:rsid w:val="229C4EAB"/>
    <w:rsid w:val="22A53B19"/>
    <w:rsid w:val="22A649BB"/>
    <w:rsid w:val="22B1460E"/>
    <w:rsid w:val="22BF51DA"/>
    <w:rsid w:val="22D16A5E"/>
    <w:rsid w:val="22D73A2A"/>
    <w:rsid w:val="22E72A57"/>
    <w:rsid w:val="22F24891"/>
    <w:rsid w:val="23076924"/>
    <w:rsid w:val="230A01C2"/>
    <w:rsid w:val="23155C0F"/>
    <w:rsid w:val="231A025A"/>
    <w:rsid w:val="23201794"/>
    <w:rsid w:val="232E2524"/>
    <w:rsid w:val="23302B19"/>
    <w:rsid w:val="2331285C"/>
    <w:rsid w:val="234316DD"/>
    <w:rsid w:val="23445335"/>
    <w:rsid w:val="23474117"/>
    <w:rsid w:val="235B7B07"/>
    <w:rsid w:val="2366189C"/>
    <w:rsid w:val="23775858"/>
    <w:rsid w:val="238C4B82"/>
    <w:rsid w:val="239151F4"/>
    <w:rsid w:val="23B6403B"/>
    <w:rsid w:val="23BC14BC"/>
    <w:rsid w:val="23CA3348"/>
    <w:rsid w:val="23CF7104"/>
    <w:rsid w:val="23D9038C"/>
    <w:rsid w:val="23DD0BA8"/>
    <w:rsid w:val="23EA1CB5"/>
    <w:rsid w:val="23EC5C89"/>
    <w:rsid w:val="23FC5D5D"/>
    <w:rsid w:val="23FF584D"/>
    <w:rsid w:val="24030E99"/>
    <w:rsid w:val="241728D2"/>
    <w:rsid w:val="24176E2B"/>
    <w:rsid w:val="24254631"/>
    <w:rsid w:val="242553AC"/>
    <w:rsid w:val="244669C2"/>
    <w:rsid w:val="244D2755"/>
    <w:rsid w:val="24632048"/>
    <w:rsid w:val="246833F2"/>
    <w:rsid w:val="248810DC"/>
    <w:rsid w:val="248C605A"/>
    <w:rsid w:val="249D4336"/>
    <w:rsid w:val="24A7216D"/>
    <w:rsid w:val="24BD373E"/>
    <w:rsid w:val="24D05608"/>
    <w:rsid w:val="24D265D8"/>
    <w:rsid w:val="24DC458B"/>
    <w:rsid w:val="24DC5569"/>
    <w:rsid w:val="24ED3520"/>
    <w:rsid w:val="2502388B"/>
    <w:rsid w:val="250A1167"/>
    <w:rsid w:val="250A44A9"/>
    <w:rsid w:val="2514390C"/>
    <w:rsid w:val="251D5F8B"/>
    <w:rsid w:val="25223547"/>
    <w:rsid w:val="252C41B1"/>
    <w:rsid w:val="252D53FE"/>
    <w:rsid w:val="253C7DDD"/>
    <w:rsid w:val="255468E9"/>
    <w:rsid w:val="2562203E"/>
    <w:rsid w:val="25773B96"/>
    <w:rsid w:val="257862E2"/>
    <w:rsid w:val="25910727"/>
    <w:rsid w:val="25BE4886"/>
    <w:rsid w:val="25CC202D"/>
    <w:rsid w:val="25D0093E"/>
    <w:rsid w:val="25D27973"/>
    <w:rsid w:val="25D35A24"/>
    <w:rsid w:val="25D36F91"/>
    <w:rsid w:val="25D759B8"/>
    <w:rsid w:val="25D86356"/>
    <w:rsid w:val="25E602C2"/>
    <w:rsid w:val="25EC2D81"/>
    <w:rsid w:val="25F461BD"/>
    <w:rsid w:val="26014501"/>
    <w:rsid w:val="26022E10"/>
    <w:rsid w:val="26031258"/>
    <w:rsid w:val="261849A4"/>
    <w:rsid w:val="261D6CBA"/>
    <w:rsid w:val="263B7010"/>
    <w:rsid w:val="264528BD"/>
    <w:rsid w:val="264A7253"/>
    <w:rsid w:val="2657371E"/>
    <w:rsid w:val="26601986"/>
    <w:rsid w:val="266D1901"/>
    <w:rsid w:val="267149A0"/>
    <w:rsid w:val="26835928"/>
    <w:rsid w:val="268E251A"/>
    <w:rsid w:val="26914A47"/>
    <w:rsid w:val="269458CC"/>
    <w:rsid w:val="26BA36A1"/>
    <w:rsid w:val="26C32CCB"/>
    <w:rsid w:val="26CD46B8"/>
    <w:rsid w:val="26DC13B2"/>
    <w:rsid w:val="26E00C03"/>
    <w:rsid w:val="26E03714"/>
    <w:rsid w:val="26E048AD"/>
    <w:rsid w:val="26EA77A0"/>
    <w:rsid w:val="26F037AB"/>
    <w:rsid w:val="2702368A"/>
    <w:rsid w:val="27054F28"/>
    <w:rsid w:val="270D4C37"/>
    <w:rsid w:val="27133AE9"/>
    <w:rsid w:val="27147861"/>
    <w:rsid w:val="271565FB"/>
    <w:rsid w:val="27190F12"/>
    <w:rsid w:val="271B4896"/>
    <w:rsid w:val="271E3DF4"/>
    <w:rsid w:val="272B0429"/>
    <w:rsid w:val="2742617D"/>
    <w:rsid w:val="27430D93"/>
    <w:rsid w:val="27514612"/>
    <w:rsid w:val="275B2D9A"/>
    <w:rsid w:val="2762685B"/>
    <w:rsid w:val="276A3393"/>
    <w:rsid w:val="27805D1B"/>
    <w:rsid w:val="279544FE"/>
    <w:rsid w:val="27A42993"/>
    <w:rsid w:val="27A66B55"/>
    <w:rsid w:val="27B25FAA"/>
    <w:rsid w:val="27B506FD"/>
    <w:rsid w:val="27D1341A"/>
    <w:rsid w:val="27D15DD1"/>
    <w:rsid w:val="27D457EF"/>
    <w:rsid w:val="27D52B4D"/>
    <w:rsid w:val="27D945DB"/>
    <w:rsid w:val="27DE291E"/>
    <w:rsid w:val="27DF39CB"/>
    <w:rsid w:val="27E2526A"/>
    <w:rsid w:val="280451E0"/>
    <w:rsid w:val="280D0539"/>
    <w:rsid w:val="282633A8"/>
    <w:rsid w:val="283852AB"/>
    <w:rsid w:val="283B71FE"/>
    <w:rsid w:val="285C5FDB"/>
    <w:rsid w:val="28600634"/>
    <w:rsid w:val="286C0C9D"/>
    <w:rsid w:val="2879797C"/>
    <w:rsid w:val="28812CD5"/>
    <w:rsid w:val="288307FB"/>
    <w:rsid w:val="28A76295"/>
    <w:rsid w:val="28B74159"/>
    <w:rsid w:val="28BE1833"/>
    <w:rsid w:val="28D052C1"/>
    <w:rsid w:val="28DA61C7"/>
    <w:rsid w:val="290D119D"/>
    <w:rsid w:val="290D6316"/>
    <w:rsid w:val="29164E0D"/>
    <w:rsid w:val="29176C82"/>
    <w:rsid w:val="29206EB8"/>
    <w:rsid w:val="29521CEB"/>
    <w:rsid w:val="296A33C6"/>
    <w:rsid w:val="29B4524B"/>
    <w:rsid w:val="29D46E34"/>
    <w:rsid w:val="29E325E0"/>
    <w:rsid w:val="29E34EA6"/>
    <w:rsid w:val="29E66D5B"/>
    <w:rsid w:val="29EA11AB"/>
    <w:rsid w:val="29F83018"/>
    <w:rsid w:val="29FC7017"/>
    <w:rsid w:val="29FD1F21"/>
    <w:rsid w:val="2A03154D"/>
    <w:rsid w:val="2A077542"/>
    <w:rsid w:val="2A10604A"/>
    <w:rsid w:val="2A1060BE"/>
    <w:rsid w:val="2A133E00"/>
    <w:rsid w:val="2A1555B2"/>
    <w:rsid w:val="2A182C6A"/>
    <w:rsid w:val="2A452503"/>
    <w:rsid w:val="2A4C2E6E"/>
    <w:rsid w:val="2A6049C6"/>
    <w:rsid w:val="2A784C38"/>
    <w:rsid w:val="2A9A4E22"/>
    <w:rsid w:val="2A9E7B6E"/>
    <w:rsid w:val="2AA1140C"/>
    <w:rsid w:val="2AB033FD"/>
    <w:rsid w:val="2AB078A1"/>
    <w:rsid w:val="2ABE237B"/>
    <w:rsid w:val="2AC1385C"/>
    <w:rsid w:val="2AC65332"/>
    <w:rsid w:val="2AC732AC"/>
    <w:rsid w:val="2AE53D20"/>
    <w:rsid w:val="2AF21BB3"/>
    <w:rsid w:val="2AF43C32"/>
    <w:rsid w:val="2AF459E0"/>
    <w:rsid w:val="2B0379D1"/>
    <w:rsid w:val="2B362784"/>
    <w:rsid w:val="2B381CD2"/>
    <w:rsid w:val="2B391645"/>
    <w:rsid w:val="2B3E5CFD"/>
    <w:rsid w:val="2B4443A1"/>
    <w:rsid w:val="2B4830CC"/>
    <w:rsid w:val="2B5F601B"/>
    <w:rsid w:val="2B6206AA"/>
    <w:rsid w:val="2B790651"/>
    <w:rsid w:val="2B82123D"/>
    <w:rsid w:val="2B8256B1"/>
    <w:rsid w:val="2B83763F"/>
    <w:rsid w:val="2B8C1C35"/>
    <w:rsid w:val="2B9B7C39"/>
    <w:rsid w:val="2BA936A8"/>
    <w:rsid w:val="2BB850E4"/>
    <w:rsid w:val="2BC32019"/>
    <w:rsid w:val="2BC5737C"/>
    <w:rsid w:val="2BDB26FC"/>
    <w:rsid w:val="2BE74DF1"/>
    <w:rsid w:val="2BEA74CD"/>
    <w:rsid w:val="2C0C6E55"/>
    <w:rsid w:val="2C11611D"/>
    <w:rsid w:val="2C2E6CCF"/>
    <w:rsid w:val="2C315A5A"/>
    <w:rsid w:val="2C5028C0"/>
    <w:rsid w:val="2C70553A"/>
    <w:rsid w:val="2C732B70"/>
    <w:rsid w:val="2C7807B0"/>
    <w:rsid w:val="2C891ED6"/>
    <w:rsid w:val="2C9756FA"/>
    <w:rsid w:val="2C9F7DB3"/>
    <w:rsid w:val="2CA3146B"/>
    <w:rsid w:val="2CB75070"/>
    <w:rsid w:val="2CCD68B9"/>
    <w:rsid w:val="2CD020C2"/>
    <w:rsid w:val="2CD0709B"/>
    <w:rsid w:val="2CD7037B"/>
    <w:rsid w:val="2CE92B98"/>
    <w:rsid w:val="2CED72D0"/>
    <w:rsid w:val="2CF014EC"/>
    <w:rsid w:val="2CF84372"/>
    <w:rsid w:val="2D2C76B3"/>
    <w:rsid w:val="2D2D287C"/>
    <w:rsid w:val="2D3F0F9E"/>
    <w:rsid w:val="2D461F32"/>
    <w:rsid w:val="2D4B2EAC"/>
    <w:rsid w:val="2D5D6062"/>
    <w:rsid w:val="2D6505FF"/>
    <w:rsid w:val="2D680954"/>
    <w:rsid w:val="2D6D1A79"/>
    <w:rsid w:val="2D734326"/>
    <w:rsid w:val="2D797CA7"/>
    <w:rsid w:val="2D7F6AC4"/>
    <w:rsid w:val="2D89272A"/>
    <w:rsid w:val="2D956230"/>
    <w:rsid w:val="2D9E56F5"/>
    <w:rsid w:val="2DAA216F"/>
    <w:rsid w:val="2DB66EEA"/>
    <w:rsid w:val="2DB70B4C"/>
    <w:rsid w:val="2DBF3799"/>
    <w:rsid w:val="2DC74027"/>
    <w:rsid w:val="2DC93154"/>
    <w:rsid w:val="2DCC054E"/>
    <w:rsid w:val="2DCF2B27"/>
    <w:rsid w:val="2DD85145"/>
    <w:rsid w:val="2E0A3FD7"/>
    <w:rsid w:val="2E0B1C32"/>
    <w:rsid w:val="2E100D83"/>
    <w:rsid w:val="2E2270D2"/>
    <w:rsid w:val="2E2B7D19"/>
    <w:rsid w:val="2E377CBF"/>
    <w:rsid w:val="2E667F96"/>
    <w:rsid w:val="2E772BB0"/>
    <w:rsid w:val="2E8226AB"/>
    <w:rsid w:val="2E981441"/>
    <w:rsid w:val="2EA436E5"/>
    <w:rsid w:val="2EAB1795"/>
    <w:rsid w:val="2EB601AA"/>
    <w:rsid w:val="2EBA6F40"/>
    <w:rsid w:val="2EBE6FBE"/>
    <w:rsid w:val="2ECE02F6"/>
    <w:rsid w:val="2EEC6367"/>
    <w:rsid w:val="2EF31972"/>
    <w:rsid w:val="2EF75A9F"/>
    <w:rsid w:val="2EF835C5"/>
    <w:rsid w:val="2F0F103A"/>
    <w:rsid w:val="2F42442D"/>
    <w:rsid w:val="2F464330"/>
    <w:rsid w:val="2F4D1B62"/>
    <w:rsid w:val="2F520F27"/>
    <w:rsid w:val="2F593AD5"/>
    <w:rsid w:val="2F793BA8"/>
    <w:rsid w:val="2F830030"/>
    <w:rsid w:val="2F832C79"/>
    <w:rsid w:val="2F8A08CC"/>
    <w:rsid w:val="2F94566C"/>
    <w:rsid w:val="2FA52BCD"/>
    <w:rsid w:val="2FA85477"/>
    <w:rsid w:val="2FA90202"/>
    <w:rsid w:val="2FAC133C"/>
    <w:rsid w:val="2FD656B4"/>
    <w:rsid w:val="2FE41CAF"/>
    <w:rsid w:val="2FEF2D58"/>
    <w:rsid w:val="2FF86650"/>
    <w:rsid w:val="3002294D"/>
    <w:rsid w:val="30185CCC"/>
    <w:rsid w:val="302A33C8"/>
    <w:rsid w:val="30384E51"/>
    <w:rsid w:val="303E492B"/>
    <w:rsid w:val="304E2E78"/>
    <w:rsid w:val="30580BC9"/>
    <w:rsid w:val="305E425B"/>
    <w:rsid w:val="306058C5"/>
    <w:rsid w:val="30607673"/>
    <w:rsid w:val="307F7AFA"/>
    <w:rsid w:val="3084355D"/>
    <w:rsid w:val="30915FB8"/>
    <w:rsid w:val="309D68D2"/>
    <w:rsid w:val="30A1697A"/>
    <w:rsid w:val="30AA734B"/>
    <w:rsid w:val="30BA4FD6"/>
    <w:rsid w:val="30C57915"/>
    <w:rsid w:val="30D9536C"/>
    <w:rsid w:val="30DF3E57"/>
    <w:rsid w:val="30E3092A"/>
    <w:rsid w:val="30F01D99"/>
    <w:rsid w:val="30F17CDB"/>
    <w:rsid w:val="30F66DBB"/>
    <w:rsid w:val="30FA7AC8"/>
    <w:rsid w:val="30FC114A"/>
    <w:rsid w:val="30FE22C7"/>
    <w:rsid w:val="311961A0"/>
    <w:rsid w:val="311E2ED7"/>
    <w:rsid w:val="312406A1"/>
    <w:rsid w:val="31276FFC"/>
    <w:rsid w:val="31280191"/>
    <w:rsid w:val="313277E6"/>
    <w:rsid w:val="315C449C"/>
    <w:rsid w:val="316806BD"/>
    <w:rsid w:val="317462A9"/>
    <w:rsid w:val="317F0E37"/>
    <w:rsid w:val="3186135C"/>
    <w:rsid w:val="31864EB8"/>
    <w:rsid w:val="319B5DBF"/>
    <w:rsid w:val="31AE2574"/>
    <w:rsid w:val="31B82709"/>
    <w:rsid w:val="31B9528D"/>
    <w:rsid w:val="31C639AE"/>
    <w:rsid w:val="31CC57EC"/>
    <w:rsid w:val="31E552B7"/>
    <w:rsid w:val="31F73449"/>
    <w:rsid w:val="31F91B2E"/>
    <w:rsid w:val="3215552D"/>
    <w:rsid w:val="32163D42"/>
    <w:rsid w:val="3218343C"/>
    <w:rsid w:val="323302F6"/>
    <w:rsid w:val="32342B66"/>
    <w:rsid w:val="323460BD"/>
    <w:rsid w:val="32400B34"/>
    <w:rsid w:val="32447CB9"/>
    <w:rsid w:val="324D33CC"/>
    <w:rsid w:val="32572C0C"/>
    <w:rsid w:val="32631113"/>
    <w:rsid w:val="327046BF"/>
    <w:rsid w:val="328315EB"/>
    <w:rsid w:val="329E6876"/>
    <w:rsid w:val="32A61AD2"/>
    <w:rsid w:val="32BC178D"/>
    <w:rsid w:val="32C71BF7"/>
    <w:rsid w:val="32C91500"/>
    <w:rsid w:val="32E75E2A"/>
    <w:rsid w:val="330864CC"/>
    <w:rsid w:val="330954DD"/>
    <w:rsid w:val="330D2463"/>
    <w:rsid w:val="3310712F"/>
    <w:rsid w:val="331B6A85"/>
    <w:rsid w:val="331C61A2"/>
    <w:rsid w:val="332F3A44"/>
    <w:rsid w:val="33332913"/>
    <w:rsid w:val="33344C73"/>
    <w:rsid w:val="333C56DD"/>
    <w:rsid w:val="334B558D"/>
    <w:rsid w:val="33594602"/>
    <w:rsid w:val="335F11F3"/>
    <w:rsid w:val="336B11EC"/>
    <w:rsid w:val="33772E3A"/>
    <w:rsid w:val="337F095A"/>
    <w:rsid w:val="339B1FEE"/>
    <w:rsid w:val="33A01079"/>
    <w:rsid w:val="33A146B4"/>
    <w:rsid w:val="33A367CF"/>
    <w:rsid w:val="33A94587"/>
    <w:rsid w:val="33B3264C"/>
    <w:rsid w:val="33B93FC7"/>
    <w:rsid w:val="33D00BC2"/>
    <w:rsid w:val="33D934D4"/>
    <w:rsid w:val="33D97E69"/>
    <w:rsid w:val="33DF6EF8"/>
    <w:rsid w:val="33FE2F6A"/>
    <w:rsid w:val="33FE342B"/>
    <w:rsid w:val="3407771C"/>
    <w:rsid w:val="34171BDE"/>
    <w:rsid w:val="34220D68"/>
    <w:rsid w:val="34255D47"/>
    <w:rsid w:val="34300E4F"/>
    <w:rsid w:val="3455249D"/>
    <w:rsid w:val="34666467"/>
    <w:rsid w:val="34830DA6"/>
    <w:rsid w:val="34930017"/>
    <w:rsid w:val="34935518"/>
    <w:rsid w:val="349B3370"/>
    <w:rsid w:val="34A74FD4"/>
    <w:rsid w:val="34AA710F"/>
    <w:rsid w:val="34AD163C"/>
    <w:rsid w:val="34B05DA5"/>
    <w:rsid w:val="34F90C81"/>
    <w:rsid w:val="350054CA"/>
    <w:rsid w:val="350E5F27"/>
    <w:rsid w:val="35335357"/>
    <w:rsid w:val="354C7845"/>
    <w:rsid w:val="354D18E5"/>
    <w:rsid w:val="355B0DB6"/>
    <w:rsid w:val="356431EE"/>
    <w:rsid w:val="356F7556"/>
    <w:rsid w:val="35833D18"/>
    <w:rsid w:val="35847960"/>
    <w:rsid w:val="35B44695"/>
    <w:rsid w:val="35C54DAD"/>
    <w:rsid w:val="35CA7AF1"/>
    <w:rsid w:val="35D54EA2"/>
    <w:rsid w:val="35E6686D"/>
    <w:rsid w:val="35E9452F"/>
    <w:rsid w:val="35EC3BBF"/>
    <w:rsid w:val="35EF2B37"/>
    <w:rsid w:val="35FA3CB9"/>
    <w:rsid w:val="36074A7F"/>
    <w:rsid w:val="36085CF8"/>
    <w:rsid w:val="36147CCD"/>
    <w:rsid w:val="36200EB7"/>
    <w:rsid w:val="36356EAC"/>
    <w:rsid w:val="36406959"/>
    <w:rsid w:val="36496EFC"/>
    <w:rsid w:val="36513CE6"/>
    <w:rsid w:val="36587ADD"/>
    <w:rsid w:val="36700FAF"/>
    <w:rsid w:val="36710D14"/>
    <w:rsid w:val="36923549"/>
    <w:rsid w:val="369D69A6"/>
    <w:rsid w:val="36A302BA"/>
    <w:rsid w:val="36A4650C"/>
    <w:rsid w:val="36B24676"/>
    <w:rsid w:val="36B75FBF"/>
    <w:rsid w:val="36C133BE"/>
    <w:rsid w:val="36C271BE"/>
    <w:rsid w:val="36C46BAE"/>
    <w:rsid w:val="36C84370"/>
    <w:rsid w:val="36CC15BF"/>
    <w:rsid w:val="36D3221B"/>
    <w:rsid w:val="36D81C6E"/>
    <w:rsid w:val="36E05AE3"/>
    <w:rsid w:val="36EF52AD"/>
    <w:rsid w:val="36FB4891"/>
    <w:rsid w:val="37166354"/>
    <w:rsid w:val="371B42F4"/>
    <w:rsid w:val="371C29F2"/>
    <w:rsid w:val="372F1B4E"/>
    <w:rsid w:val="37384EA6"/>
    <w:rsid w:val="373F6235"/>
    <w:rsid w:val="37523422"/>
    <w:rsid w:val="37601016"/>
    <w:rsid w:val="376E6016"/>
    <w:rsid w:val="3772660A"/>
    <w:rsid w:val="377E5613"/>
    <w:rsid w:val="37884B0C"/>
    <w:rsid w:val="378870BF"/>
    <w:rsid w:val="378C1E38"/>
    <w:rsid w:val="379852B2"/>
    <w:rsid w:val="379A790F"/>
    <w:rsid w:val="379C0DEE"/>
    <w:rsid w:val="37A54575"/>
    <w:rsid w:val="37C96621"/>
    <w:rsid w:val="37F3794D"/>
    <w:rsid w:val="37FD6802"/>
    <w:rsid w:val="381A13ED"/>
    <w:rsid w:val="381F68C2"/>
    <w:rsid w:val="38302868"/>
    <w:rsid w:val="383D1C21"/>
    <w:rsid w:val="38486439"/>
    <w:rsid w:val="3857135C"/>
    <w:rsid w:val="38591578"/>
    <w:rsid w:val="386817BB"/>
    <w:rsid w:val="386D0039"/>
    <w:rsid w:val="38874F1B"/>
    <w:rsid w:val="38A00F55"/>
    <w:rsid w:val="38A70FEA"/>
    <w:rsid w:val="38B80F1B"/>
    <w:rsid w:val="38BD4D31"/>
    <w:rsid w:val="38BF6423"/>
    <w:rsid w:val="38C70290"/>
    <w:rsid w:val="38D90CC9"/>
    <w:rsid w:val="38EF701F"/>
    <w:rsid w:val="38F12CD3"/>
    <w:rsid w:val="38F34013"/>
    <w:rsid w:val="38F94775"/>
    <w:rsid w:val="38FE3360"/>
    <w:rsid w:val="390019F4"/>
    <w:rsid w:val="39103B14"/>
    <w:rsid w:val="392751D2"/>
    <w:rsid w:val="39283231"/>
    <w:rsid w:val="392971ED"/>
    <w:rsid w:val="3930052B"/>
    <w:rsid w:val="393A47CF"/>
    <w:rsid w:val="39567866"/>
    <w:rsid w:val="396F26D5"/>
    <w:rsid w:val="397439E1"/>
    <w:rsid w:val="3974648E"/>
    <w:rsid w:val="39794E9B"/>
    <w:rsid w:val="397A1953"/>
    <w:rsid w:val="397D3044"/>
    <w:rsid w:val="398155E3"/>
    <w:rsid w:val="398B39B3"/>
    <w:rsid w:val="39997297"/>
    <w:rsid w:val="39BD1693"/>
    <w:rsid w:val="39C26CA9"/>
    <w:rsid w:val="39C522FB"/>
    <w:rsid w:val="39CE1AF2"/>
    <w:rsid w:val="39DB028C"/>
    <w:rsid w:val="39E856EE"/>
    <w:rsid w:val="39EB543D"/>
    <w:rsid w:val="39F01A68"/>
    <w:rsid w:val="39F41771"/>
    <w:rsid w:val="39FC21BB"/>
    <w:rsid w:val="3A064DE8"/>
    <w:rsid w:val="3A1A79FC"/>
    <w:rsid w:val="3A1D4A14"/>
    <w:rsid w:val="3A1F5EA9"/>
    <w:rsid w:val="3A215E84"/>
    <w:rsid w:val="3A27446B"/>
    <w:rsid w:val="3A35391F"/>
    <w:rsid w:val="3A3A6AC7"/>
    <w:rsid w:val="3A406459"/>
    <w:rsid w:val="3A4678DA"/>
    <w:rsid w:val="3A5B41B1"/>
    <w:rsid w:val="3A63223A"/>
    <w:rsid w:val="3A674214"/>
    <w:rsid w:val="3A677C15"/>
    <w:rsid w:val="3A681F6A"/>
    <w:rsid w:val="3A7206CF"/>
    <w:rsid w:val="3A7E7987"/>
    <w:rsid w:val="3AA36ADA"/>
    <w:rsid w:val="3AA62908"/>
    <w:rsid w:val="3AB40CE8"/>
    <w:rsid w:val="3AB807D8"/>
    <w:rsid w:val="3AB8157C"/>
    <w:rsid w:val="3AC32CD9"/>
    <w:rsid w:val="3AD164F5"/>
    <w:rsid w:val="3AE071C4"/>
    <w:rsid w:val="3AF37A62"/>
    <w:rsid w:val="3B070E17"/>
    <w:rsid w:val="3B234899"/>
    <w:rsid w:val="3B273268"/>
    <w:rsid w:val="3B283CDF"/>
    <w:rsid w:val="3B3763D1"/>
    <w:rsid w:val="3B3B31B7"/>
    <w:rsid w:val="3B491430"/>
    <w:rsid w:val="3B577EAD"/>
    <w:rsid w:val="3B5C4503"/>
    <w:rsid w:val="3B691FDA"/>
    <w:rsid w:val="3B871F58"/>
    <w:rsid w:val="3B895CD0"/>
    <w:rsid w:val="3B8D6AEC"/>
    <w:rsid w:val="3B987F52"/>
    <w:rsid w:val="3BB23479"/>
    <w:rsid w:val="3BB845F9"/>
    <w:rsid w:val="3BB936A0"/>
    <w:rsid w:val="3BCC7646"/>
    <w:rsid w:val="3BD86C58"/>
    <w:rsid w:val="3BE13D5E"/>
    <w:rsid w:val="3BEE0228"/>
    <w:rsid w:val="3BF512F3"/>
    <w:rsid w:val="3C1B00FE"/>
    <w:rsid w:val="3C2B2C57"/>
    <w:rsid w:val="3C2F1F3C"/>
    <w:rsid w:val="3C394207"/>
    <w:rsid w:val="3C420746"/>
    <w:rsid w:val="3C522566"/>
    <w:rsid w:val="3C565E2F"/>
    <w:rsid w:val="3C5A0933"/>
    <w:rsid w:val="3C6134AF"/>
    <w:rsid w:val="3C652EFA"/>
    <w:rsid w:val="3C696C67"/>
    <w:rsid w:val="3C804D1A"/>
    <w:rsid w:val="3C8E66B6"/>
    <w:rsid w:val="3C945D75"/>
    <w:rsid w:val="3CA94280"/>
    <w:rsid w:val="3CC250D2"/>
    <w:rsid w:val="3CDA245A"/>
    <w:rsid w:val="3CEE0A37"/>
    <w:rsid w:val="3CF03B2D"/>
    <w:rsid w:val="3CF06B4E"/>
    <w:rsid w:val="3CFE26EE"/>
    <w:rsid w:val="3D0E01EF"/>
    <w:rsid w:val="3D233484"/>
    <w:rsid w:val="3D29021F"/>
    <w:rsid w:val="3D321518"/>
    <w:rsid w:val="3D346110"/>
    <w:rsid w:val="3D3A1569"/>
    <w:rsid w:val="3D3A1978"/>
    <w:rsid w:val="3D3B124C"/>
    <w:rsid w:val="3D480C63"/>
    <w:rsid w:val="3D5A3DC8"/>
    <w:rsid w:val="3D700A10"/>
    <w:rsid w:val="3D7B71C2"/>
    <w:rsid w:val="3D98044D"/>
    <w:rsid w:val="3DA92EF4"/>
    <w:rsid w:val="3DB334D8"/>
    <w:rsid w:val="3DB51DBE"/>
    <w:rsid w:val="3DBA4867"/>
    <w:rsid w:val="3DBD3893"/>
    <w:rsid w:val="3DC34E66"/>
    <w:rsid w:val="3DC70DE5"/>
    <w:rsid w:val="3DC90E58"/>
    <w:rsid w:val="3DF815E9"/>
    <w:rsid w:val="3DFA27C3"/>
    <w:rsid w:val="3E101FA4"/>
    <w:rsid w:val="3E1A4C4F"/>
    <w:rsid w:val="3E221F85"/>
    <w:rsid w:val="3E331E90"/>
    <w:rsid w:val="3E337224"/>
    <w:rsid w:val="3E39158D"/>
    <w:rsid w:val="3E4871D1"/>
    <w:rsid w:val="3E4F5F4D"/>
    <w:rsid w:val="3E500D27"/>
    <w:rsid w:val="3E5E1696"/>
    <w:rsid w:val="3E7341A1"/>
    <w:rsid w:val="3E874A2A"/>
    <w:rsid w:val="3E8C2CD9"/>
    <w:rsid w:val="3E9A5940"/>
    <w:rsid w:val="3EB12170"/>
    <w:rsid w:val="3EBE2135"/>
    <w:rsid w:val="3EBF1DC7"/>
    <w:rsid w:val="3EC72966"/>
    <w:rsid w:val="3ECF46D9"/>
    <w:rsid w:val="3ED37612"/>
    <w:rsid w:val="3ED37C53"/>
    <w:rsid w:val="3EE53B65"/>
    <w:rsid w:val="3EED7185"/>
    <w:rsid w:val="3EF913BF"/>
    <w:rsid w:val="3F004BBA"/>
    <w:rsid w:val="3F051B12"/>
    <w:rsid w:val="3F0F475A"/>
    <w:rsid w:val="3F164112"/>
    <w:rsid w:val="3F2851FC"/>
    <w:rsid w:val="3F3B117D"/>
    <w:rsid w:val="3F4D74D1"/>
    <w:rsid w:val="3F522104"/>
    <w:rsid w:val="3F6031EC"/>
    <w:rsid w:val="3F625EF8"/>
    <w:rsid w:val="3F660E74"/>
    <w:rsid w:val="3F6E4D8F"/>
    <w:rsid w:val="3F7E4906"/>
    <w:rsid w:val="3F8205BE"/>
    <w:rsid w:val="3F8A0269"/>
    <w:rsid w:val="3F9603F1"/>
    <w:rsid w:val="3F9F5709"/>
    <w:rsid w:val="3FAB68BC"/>
    <w:rsid w:val="3FAE1C4A"/>
    <w:rsid w:val="3FB35F57"/>
    <w:rsid w:val="3FB51AE8"/>
    <w:rsid w:val="3FDF4E54"/>
    <w:rsid w:val="3FE02C7B"/>
    <w:rsid w:val="3FE7577B"/>
    <w:rsid w:val="3FFB5BC3"/>
    <w:rsid w:val="3FFC4E17"/>
    <w:rsid w:val="400718BA"/>
    <w:rsid w:val="402630F4"/>
    <w:rsid w:val="402A0C4A"/>
    <w:rsid w:val="404A1907"/>
    <w:rsid w:val="406311B1"/>
    <w:rsid w:val="4065336C"/>
    <w:rsid w:val="407526A4"/>
    <w:rsid w:val="40752CC7"/>
    <w:rsid w:val="40787890"/>
    <w:rsid w:val="407A208B"/>
    <w:rsid w:val="407A6407"/>
    <w:rsid w:val="407C175E"/>
    <w:rsid w:val="408109B4"/>
    <w:rsid w:val="40924890"/>
    <w:rsid w:val="409D5C0B"/>
    <w:rsid w:val="409D754A"/>
    <w:rsid w:val="40B73A67"/>
    <w:rsid w:val="40CF7815"/>
    <w:rsid w:val="40D719D2"/>
    <w:rsid w:val="40D953A5"/>
    <w:rsid w:val="40DC2D46"/>
    <w:rsid w:val="40E340D5"/>
    <w:rsid w:val="40E64E5C"/>
    <w:rsid w:val="40F00999"/>
    <w:rsid w:val="40F462E2"/>
    <w:rsid w:val="40F8297B"/>
    <w:rsid w:val="40FA5ED5"/>
    <w:rsid w:val="41115F58"/>
    <w:rsid w:val="411B1B58"/>
    <w:rsid w:val="411E2A95"/>
    <w:rsid w:val="41252431"/>
    <w:rsid w:val="412D75A8"/>
    <w:rsid w:val="414C7ECC"/>
    <w:rsid w:val="416B3582"/>
    <w:rsid w:val="4174433A"/>
    <w:rsid w:val="418105AD"/>
    <w:rsid w:val="4186490D"/>
    <w:rsid w:val="418D267D"/>
    <w:rsid w:val="41914240"/>
    <w:rsid w:val="41A00ACE"/>
    <w:rsid w:val="41A131CA"/>
    <w:rsid w:val="41A24804"/>
    <w:rsid w:val="41A7268E"/>
    <w:rsid w:val="41A91A01"/>
    <w:rsid w:val="41AC096A"/>
    <w:rsid w:val="41B34F19"/>
    <w:rsid w:val="41BA2662"/>
    <w:rsid w:val="41BF069E"/>
    <w:rsid w:val="41C757A4"/>
    <w:rsid w:val="41C95079"/>
    <w:rsid w:val="41F37DB8"/>
    <w:rsid w:val="41F51CA5"/>
    <w:rsid w:val="41FF797D"/>
    <w:rsid w:val="42061F58"/>
    <w:rsid w:val="420B6F92"/>
    <w:rsid w:val="420D3EDF"/>
    <w:rsid w:val="42256A46"/>
    <w:rsid w:val="422B7AE1"/>
    <w:rsid w:val="4230177B"/>
    <w:rsid w:val="42377058"/>
    <w:rsid w:val="423A3BCC"/>
    <w:rsid w:val="424D184F"/>
    <w:rsid w:val="424E6416"/>
    <w:rsid w:val="42545136"/>
    <w:rsid w:val="425544AE"/>
    <w:rsid w:val="42554B5E"/>
    <w:rsid w:val="42660B19"/>
    <w:rsid w:val="427009D4"/>
    <w:rsid w:val="42725470"/>
    <w:rsid w:val="42777F5A"/>
    <w:rsid w:val="42780B89"/>
    <w:rsid w:val="427C0258"/>
    <w:rsid w:val="4286740D"/>
    <w:rsid w:val="429531AD"/>
    <w:rsid w:val="42AD499A"/>
    <w:rsid w:val="42B3339C"/>
    <w:rsid w:val="42B7055F"/>
    <w:rsid w:val="42C958B7"/>
    <w:rsid w:val="42CA14F5"/>
    <w:rsid w:val="42DE46B5"/>
    <w:rsid w:val="42DF6B1E"/>
    <w:rsid w:val="42E24325"/>
    <w:rsid w:val="42F01EAE"/>
    <w:rsid w:val="42F12C81"/>
    <w:rsid w:val="43087E22"/>
    <w:rsid w:val="430C5F67"/>
    <w:rsid w:val="431467C7"/>
    <w:rsid w:val="4315253F"/>
    <w:rsid w:val="432347FB"/>
    <w:rsid w:val="43255D74"/>
    <w:rsid w:val="4339622E"/>
    <w:rsid w:val="433A6FE6"/>
    <w:rsid w:val="433B5F6D"/>
    <w:rsid w:val="43454BD3"/>
    <w:rsid w:val="4350713C"/>
    <w:rsid w:val="43561283"/>
    <w:rsid w:val="4357078B"/>
    <w:rsid w:val="435E43DE"/>
    <w:rsid w:val="436653E0"/>
    <w:rsid w:val="43677C2C"/>
    <w:rsid w:val="436B08A2"/>
    <w:rsid w:val="43741DEB"/>
    <w:rsid w:val="43754D8C"/>
    <w:rsid w:val="438C0A54"/>
    <w:rsid w:val="43A504BA"/>
    <w:rsid w:val="43CE2E1A"/>
    <w:rsid w:val="43DC43FC"/>
    <w:rsid w:val="43DD305D"/>
    <w:rsid w:val="43ED4D10"/>
    <w:rsid w:val="43F959BD"/>
    <w:rsid w:val="440E0FB0"/>
    <w:rsid w:val="44186EB6"/>
    <w:rsid w:val="44290050"/>
    <w:rsid w:val="442B7ACA"/>
    <w:rsid w:val="44406369"/>
    <w:rsid w:val="44411F65"/>
    <w:rsid w:val="44422BAC"/>
    <w:rsid w:val="444608DF"/>
    <w:rsid w:val="44472913"/>
    <w:rsid w:val="445674EC"/>
    <w:rsid w:val="445E798C"/>
    <w:rsid w:val="44620A44"/>
    <w:rsid w:val="44622BEE"/>
    <w:rsid w:val="44626FEB"/>
    <w:rsid w:val="446B0E62"/>
    <w:rsid w:val="447308D7"/>
    <w:rsid w:val="449556E6"/>
    <w:rsid w:val="449D0DF5"/>
    <w:rsid w:val="44A15924"/>
    <w:rsid w:val="44A46170"/>
    <w:rsid w:val="44A949CC"/>
    <w:rsid w:val="44AD754D"/>
    <w:rsid w:val="44CA5676"/>
    <w:rsid w:val="44CD14E0"/>
    <w:rsid w:val="44CE6739"/>
    <w:rsid w:val="44DF2FA4"/>
    <w:rsid w:val="44E96952"/>
    <w:rsid w:val="453F38A4"/>
    <w:rsid w:val="45445961"/>
    <w:rsid w:val="454E7F23"/>
    <w:rsid w:val="455B0154"/>
    <w:rsid w:val="457D1BB4"/>
    <w:rsid w:val="458946E9"/>
    <w:rsid w:val="458A58E3"/>
    <w:rsid w:val="458B0897"/>
    <w:rsid w:val="458F482B"/>
    <w:rsid w:val="45976794"/>
    <w:rsid w:val="4597723C"/>
    <w:rsid w:val="45AC7991"/>
    <w:rsid w:val="45B61DB8"/>
    <w:rsid w:val="45CC5B2A"/>
    <w:rsid w:val="45CF4C28"/>
    <w:rsid w:val="45D00F37"/>
    <w:rsid w:val="45D058FD"/>
    <w:rsid w:val="45D27072"/>
    <w:rsid w:val="45DB7B27"/>
    <w:rsid w:val="460057B0"/>
    <w:rsid w:val="460A3AC5"/>
    <w:rsid w:val="460A51F9"/>
    <w:rsid w:val="460C4643"/>
    <w:rsid w:val="463B406B"/>
    <w:rsid w:val="46450CB8"/>
    <w:rsid w:val="46474147"/>
    <w:rsid w:val="46482AF5"/>
    <w:rsid w:val="465670F7"/>
    <w:rsid w:val="46685B9B"/>
    <w:rsid w:val="466A4950"/>
    <w:rsid w:val="466B0DF4"/>
    <w:rsid w:val="466E6C90"/>
    <w:rsid w:val="46A2623B"/>
    <w:rsid w:val="46BC1650"/>
    <w:rsid w:val="46C25360"/>
    <w:rsid w:val="46C2653A"/>
    <w:rsid w:val="46D00713"/>
    <w:rsid w:val="46D955A7"/>
    <w:rsid w:val="46F47C6E"/>
    <w:rsid w:val="47000BFE"/>
    <w:rsid w:val="47004EB3"/>
    <w:rsid w:val="470A0C21"/>
    <w:rsid w:val="470E1780"/>
    <w:rsid w:val="470E352E"/>
    <w:rsid w:val="470F133D"/>
    <w:rsid w:val="47133957"/>
    <w:rsid w:val="47152B0E"/>
    <w:rsid w:val="471843AC"/>
    <w:rsid w:val="47201BC3"/>
    <w:rsid w:val="472745EF"/>
    <w:rsid w:val="472D43CC"/>
    <w:rsid w:val="472F5C69"/>
    <w:rsid w:val="4734405A"/>
    <w:rsid w:val="47356D0C"/>
    <w:rsid w:val="473C7E7D"/>
    <w:rsid w:val="47456C3E"/>
    <w:rsid w:val="47487981"/>
    <w:rsid w:val="47596E9F"/>
    <w:rsid w:val="47644CE2"/>
    <w:rsid w:val="476A7761"/>
    <w:rsid w:val="476D46F8"/>
    <w:rsid w:val="4779329E"/>
    <w:rsid w:val="477A0BC3"/>
    <w:rsid w:val="47930D31"/>
    <w:rsid w:val="479B74B7"/>
    <w:rsid w:val="479C2F26"/>
    <w:rsid w:val="47A07E0C"/>
    <w:rsid w:val="47AD1557"/>
    <w:rsid w:val="47B24801"/>
    <w:rsid w:val="47B4157F"/>
    <w:rsid w:val="47B503DA"/>
    <w:rsid w:val="47D74267"/>
    <w:rsid w:val="47E24977"/>
    <w:rsid w:val="47E32A9D"/>
    <w:rsid w:val="47EE4B27"/>
    <w:rsid w:val="47F174E3"/>
    <w:rsid w:val="47FB61A8"/>
    <w:rsid w:val="48060D42"/>
    <w:rsid w:val="480C3F44"/>
    <w:rsid w:val="481B4154"/>
    <w:rsid w:val="481E44AB"/>
    <w:rsid w:val="48202C5C"/>
    <w:rsid w:val="48322431"/>
    <w:rsid w:val="48335942"/>
    <w:rsid w:val="48365CD8"/>
    <w:rsid w:val="485F6737"/>
    <w:rsid w:val="486C49B0"/>
    <w:rsid w:val="4870272E"/>
    <w:rsid w:val="487D4E0F"/>
    <w:rsid w:val="48802209"/>
    <w:rsid w:val="48931ACF"/>
    <w:rsid w:val="48934475"/>
    <w:rsid w:val="48A66A22"/>
    <w:rsid w:val="48BB76E5"/>
    <w:rsid w:val="48BD16AF"/>
    <w:rsid w:val="48BF71D5"/>
    <w:rsid w:val="48C95A8E"/>
    <w:rsid w:val="48D12A65"/>
    <w:rsid w:val="48DB1B35"/>
    <w:rsid w:val="48DE607B"/>
    <w:rsid w:val="48EB5621"/>
    <w:rsid w:val="48EF251F"/>
    <w:rsid w:val="49183065"/>
    <w:rsid w:val="49283DC9"/>
    <w:rsid w:val="493D028F"/>
    <w:rsid w:val="4943184D"/>
    <w:rsid w:val="494E7C8B"/>
    <w:rsid w:val="495D3ED1"/>
    <w:rsid w:val="496B2EB9"/>
    <w:rsid w:val="49891591"/>
    <w:rsid w:val="498A126D"/>
    <w:rsid w:val="49A857A6"/>
    <w:rsid w:val="49C71090"/>
    <w:rsid w:val="49CA4084"/>
    <w:rsid w:val="49DB27CC"/>
    <w:rsid w:val="49DC3B2E"/>
    <w:rsid w:val="49DC7715"/>
    <w:rsid w:val="49E127D3"/>
    <w:rsid w:val="49F70F05"/>
    <w:rsid w:val="4A013C4D"/>
    <w:rsid w:val="4A023139"/>
    <w:rsid w:val="4A0908C3"/>
    <w:rsid w:val="4A0B3079"/>
    <w:rsid w:val="4A114C6A"/>
    <w:rsid w:val="4A172CE1"/>
    <w:rsid w:val="4A315EB1"/>
    <w:rsid w:val="4A3D39E5"/>
    <w:rsid w:val="4A485FEA"/>
    <w:rsid w:val="4A514A58"/>
    <w:rsid w:val="4A6022F2"/>
    <w:rsid w:val="4A7B537E"/>
    <w:rsid w:val="4A7B576F"/>
    <w:rsid w:val="4A8F4985"/>
    <w:rsid w:val="4A9868CD"/>
    <w:rsid w:val="4AA43605"/>
    <w:rsid w:val="4AA63EE4"/>
    <w:rsid w:val="4AA735E3"/>
    <w:rsid w:val="4AC17FB7"/>
    <w:rsid w:val="4AC44989"/>
    <w:rsid w:val="4AD14807"/>
    <w:rsid w:val="4AD47BF3"/>
    <w:rsid w:val="4ADC1D82"/>
    <w:rsid w:val="4AEE78FE"/>
    <w:rsid w:val="4AF34F14"/>
    <w:rsid w:val="4AF408CB"/>
    <w:rsid w:val="4B253500"/>
    <w:rsid w:val="4B284CEE"/>
    <w:rsid w:val="4B2F38ED"/>
    <w:rsid w:val="4B3009DE"/>
    <w:rsid w:val="4B4B6AFE"/>
    <w:rsid w:val="4B66228A"/>
    <w:rsid w:val="4B942B40"/>
    <w:rsid w:val="4BBD486C"/>
    <w:rsid w:val="4BC008BB"/>
    <w:rsid w:val="4BC112BA"/>
    <w:rsid w:val="4BDE091B"/>
    <w:rsid w:val="4BF451CC"/>
    <w:rsid w:val="4C075FBB"/>
    <w:rsid w:val="4C125927"/>
    <w:rsid w:val="4C137D34"/>
    <w:rsid w:val="4C1978EA"/>
    <w:rsid w:val="4C256814"/>
    <w:rsid w:val="4C3F634E"/>
    <w:rsid w:val="4C4A0649"/>
    <w:rsid w:val="4C5D7072"/>
    <w:rsid w:val="4C672ED2"/>
    <w:rsid w:val="4C7C1BA3"/>
    <w:rsid w:val="4C9E5360"/>
    <w:rsid w:val="4CA94424"/>
    <w:rsid w:val="4CAD64FC"/>
    <w:rsid w:val="4CB46925"/>
    <w:rsid w:val="4CBF67BB"/>
    <w:rsid w:val="4CCA439B"/>
    <w:rsid w:val="4CDD5762"/>
    <w:rsid w:val="4CE470D3"/>
    <w:rsid w:val="4CF85073"/>
    <w:rsid w:val="4CF96E79"/>
    <w:rsid w:val="4CFE5DF2"/>
    <w:rsid w:val="4D1B24FA"/>
    <w:rsid w:val="4D2B3359"/>
    <w:rsid w:val="4D3637DE"/>
    <w:rsid w:val="4D401E0F"/>
    <w:rsid w:val="4D5A74CD"/>
    <w:rsid w:val="4D7A191D"/>
    <w:rsid w:val="4D803481"/>
    <w:rsid w:val="4D940494"/>
    <w:rsid w:val="4D98552F"/>
    <w:rsid w:val="4DA2003D"/>
    <w:rsid w:val="4DA37BF3"/>
    <w:rsid w:val="4DBC1F35"/>
    <w:rsid w:val="4DCA1B7F"/>
    <w:rsid w:val="4DD97637"/>
    <w:rsid w:val="4DE80F7C"/>
    <w:rsid w:val="4DEC4FB0"/>
    <w:rsid w:val="4DEF7627"/>
    <w:rsid w:val="4E071685"/>
    <w:rsid w:val="4E075D8A"/>
    <w:rsid w:val="4E0C2ABC"/>
    <w:rsid w:val="4E1C4782"/>
    <w:rsid w:val="4E207E07"/>
    <w:rsid w:val="4E241889"/>
    <w:rsid w:val="4E24555F"/>
    <w:rsid w:val="4E4D2705"/>
    <w:rsid w:val="4E8618DB"/>
    <w:rsid w:val="4E8D742E"/>
    <w:rsid w:val="4E931208"/>
    <w:rsid w:val="4E937D19"/>
    <w:rsid w:val="4E996D96"/>
    <w:rsid w:val="4E9B1B4B"/>
    <w:rsid w:val="4E9D5A90"/>
    <w:rsid w:val="4EA02117"/>
    <w:rsid w:val="4EE76973"/>
    <w:rsid w:val="4EF37BD9"/>
    <w:rsid w:val="4EF60D4E"/>
    <w:rsid w:val="4EFB2EC4"/>
    <w:rsid w:val="4F104BF0"/>
    <w:rsid w:val="4F295AEE"/>
    <w:rsid w:val="4F2C7590"/>
    <w:rsid w:val="4F380341"/>
    <w:rsid w:val="4F3874C9"/>
    <w:rsid w:val="4F3A1F35"/>
    <w:rsid w:val="4F51057E"/>
    <w:rsid w:val="4F544D36"/>
    <w:rsid w:val="4F6374E7"/>
    <w:rsid w:val="4F66209F"/>
    <w:rsid w:val="4F8C6496"/>
    <w:rsid w:val="4F903B8D"/>
    <w:rsid w:val="4F957F0E"/>
    <w:rsid w:val="4F960564"/>
    <w:rsid w:val="4F975776"/>
    <w:rsid w:val="4FBF3F5F"/>
    <w:rsid w:val="4FC62A8C"/>
    <w:rsid w:val="4FCF70E3"/>
    <w:rsid w:val="4FD21549"/>
    <w:rsid w:val="4FD572DE"/>
    <w:rsid w:val="4FE20F0D"/>
    <w:rsid w:val="4FF96B0F"/>
    <w:rsid w:val="4FFA2949"/>
    <w:rsid w:val="4FFF246A"/>
    <w:rsid w:val="50060110"/>
    <w:rsid w:val="50061F1C"/>
    <w:rsid w:val="500B465C"/>
    <w:rsid w:val="500D7377"/>
    <w:rsid w:val="50123F95"/>
    <w:rsid w:val="503F103E"/>
    <w:rsid w:val="50412BC6"/>
    <w:rsid w:val="504768FE"/>
    <w:rsid w:val="504F3102"/>
    <w:rsid w:val="50504C4B"/>
    <w:rsid w:val="50544753"/>
    <w:rsid w:val="505A1D3D"/>
    <w:rsid w:val="50610B72"/>
    <w:rsid w:val="50834346"/>
    <w:rsid w:val="508A638C"/>
    <w:rsid w:val="508F3BB5"/>
    <w:rsid w:val="509C6E7C"/>
    <w:rsid w:val="509E3B74"/>
    <w:rsid w:val="50A867A1"/>
    <w:rsid w:val="50AD2009"/>
    <w:rsid w:val="50B97AC1"/>
    <w:rsid w:val="50C52AB9"/>
    <w:rsid w:val="50CA6FB7"/>
    <w:rsid w:val="50DD2246"/>
    <w:rsid w:val="50E43C6E"/>
    <w:rsid w:val="50F5184B"/>
    <w:rsid w:val="50F91AE8"/>
    <w:rsid w:val="510936E3"/>
    <w:rsid w:val="510A6C05"/>
    <w:rsid w:val="5112468C"/>
    <w:rsid w:val="51200621"/>
    <w:rsid w:val="513242BC"/>
    <w:rsid w:val="513729DF"/>
    <w:rsid w:val="513D15DF"/>
    <w:rsid w:val="51491D32"/>
    <w:rsid w:val="515E4490"/>
    <w:rsid w:val="5162104E"/>
    <w:rsid w:val="51752B27"/>
    <w:rsid w:val="5181771E"/>
    <w:rsid w:val="51922AAE"/>
    <w:rsid w:val="51975078"/>
    <w:rsid w:val="51A96C75"/>
    <w:rsid w:val="51B33948"/>
    <w:rsid w:val="51C07B1A"/>
    <w:rsid w:val="51C92E73"/>
    <w:rsid w:val="51DC1903"/>
    <w:rsid w:val="51F5178C"/>
    <w:rsid w:val="52091100"/>
    <w:rsid w:val="52146C98"/>
    <w:rsid w:val="5217598C"/>
    <w:rsid w:val="521A36CE"/>
    <w:rsid w:val="521F5EE9"/>
    <w:rsid w:val="5220049A"/>
    <w:rsid w:val="522905F4"/>
    <w:rsid w:val="522C1878"/>
    <w:rsid w:val="522E0C02"/>
    <w:rsid w:val="5234212E"/>
    <w:rsid w:val="523C53F3"/>
    <w:rsid w:val="524A4FFB"/>
    <w:rsid w:val="524D5852"/>
    <w:rsid w:val="52601B49"/>
    <w:rsid w:val="527C71A2"/>
    <w:rsid w:val="52811A4F"/>
    <w:rsid w:val="52976ACD"/>
    <w:rsid w:val="529945F3"/>
    <w:rsid w:val="52A40124"/>
    <w:rsid w:val="52AF2069"/>
    <w:rsid w:val="52BD45AC"/>
    <w:rsid w:val="52C87073"/>
    <w:rsid w:val="52CA7AF1"/>
    <w:rsid w:val="52CF17BE"/>
    <w:rsid w:val="52D000D0"/>
    <w:rsid w:val="52EA7776"/>
    <w:rsid w:val="52EC506B"/>
    <w:rsid w:val="5304755C"/>
    <w:rsid w:val="53051376"/>
    <w:rsid w:val="53053B66"/>
    <w:rsid w:val="53065E9A"/>
    <w:rsid w:val="530955A8"/>
    <w:rsid w:val="532540D9"/>
    <w:rsid w:val="53400F13"/>
    <w:rsid w:val="536D748C"/>
    <w:rsid w:val="536F7A4A"/>
    <w:rsid w:val="53800461"/>
    <w:rsid w:val="53814F39"/>
    <w:rsid w:val="53A039CC"/>
    <w:rsid w:val="53A1505A"/>
    <w:rsid w:val="53BF4624"/>
    <w:rsid w:val="53C438F2"/>
    <w:rsid w:val="53DA3E26"/>
    <w:rsid w:val="53E3449E"/>
    <w:rsid w:val="53E62A07"/>
    <w:rsid w:val="53EC2E48"/>
    <w:rsid w:val="53F560C9"/>
    <w:rsid w:val="53F61D0B"/>
    <w:rsid w:val="53F62FAA"/>
    <w:rsid w:val="54063E08"/>
    <w:rsid w:val="541A5C08"/>
    <w:rsid w:val="541C54DC"/>
    <w:rsid w:val="54291976"/>
    <w:rsid w:val="543437E8"/>
    <w:rsid w:val="5435330D"/>
    <w:rsid w:val="543640C4"/>
    <w:rsid w:val="543B3AA1"/>
    <w:rsid w:val="543C583C"/>
    <w:rsid w:val="545326A5"/>
    <w:rsid w:val="545B38A6"/>
    <w:rsid w:val="547B022A"/>
    <w:rsid w:val="5483555B"/>
    <w:rsid w:val="5485116E"/>
    <w:rsid w:val="54A07B2F"/>
    <w:rsid w:val="54A47238"/>
    <w:rsid w:val="54CE5C8B"/>
    <w:rsid w:val="54DC7D1A"/>
    <w:rsid w:val="54E1147A"/>
    <w:rsid w:val="54ED50CA"/>
    <w:rsid w:val="54F06C40"/>
    <w:rsid w:val="54F41FB5"/>
    <w:rsid w:val="5512526F"/>
    <w:rsid w:val="55142657"/>
    <w:rsid w:val="551C06F9"/>
    <w:rsid w:val="55347376"/>
    <w:rsid w:val="553D1C8D"/>
    <w:rsid w:val="55401106"/>
    <w:rsid w:val="5543118E"/>
    <w:rsid w:val="556056BA"/>
    <w:rsid w:val="55646AED"/>
    <w:rsid w:val="55724043"/>
    <w:rsid w:val="557C7981"/>
    <w:rsid w:val="55862012"/>
    <w:rsid w:val="5588026F"/>
    <w:rsid w:val="558C043F"/>
    <w:rsid w:val="55926165"/>
    <w:rsid w:val="559418B3"/>
    <w:rsid w:val="55990DAE"/>
    <w:rsid w:val="559B174B"/>
    <w:rsid w:val="559C4E62"/>
    <w:rsid w:val="55A02228"/>
    <w:rsid w:val="55B004B3"/>
    <w:rsid w:val="55B153BF"/>
    <w:rsid w:val="55BD27A0"/>
    <w:rsid w:val="55BD4B1E"/>
    <w:rsid w:val="55C03DC5"/>
    <w:rsid w:val="55C04299"/>
    <w:rsid w:val="55CE0CF4"/>
    <w:rsid w:val="55E9504C"/>
    <w:rsid w:val="55F010CC"/>
    <w:rsid w:val="56232E2F"/>
    <w:rsid w:val="562B5A0D"/>
    <w:rsid w:val="56412AE6"/>
    <w:rsid w:val="56574EF1"/>
    <w:rsid w:val="566B431C"/>
    <w:rsid w:val="56763D59"/>
    <w:rsid w:val="567C35D8"/>
    <w:rsid w:val="567D6779"/>
    <w:rsid w:val="56826A32"/>
    <w:rsid w:val="568D446F"/>
    <w:rsid w:val="56903F5F"/>
    <w:rsid w:val="56905D0D"/>
    <w:rsid w:val="569C2904"/>
    <w:rsid w:val="56A9070B"/>
    <w:rsid w:val="56AD1620"/>
    <w:rsid w:val="56B22A9C"/>
    <w:rsid w:val="56B45E9F"/>
    <w:rsid w:val="56C221E6"/>
    <w:rsid w:val="56C92382"/>
    <w:rsid w:val="56D95906"/>
    <w:rsid w:val="56F01A10"/>
    <w:rsid w:val="570D55B0"/>
    <w:rsid w:val="57122E6F"/>
    <w:rsid w:val="57144B90"/>
    <w:rsid w:val="571F0D7D"/>
    <w:rsid w:val="57246643"/>
    <w:rsid w:val="572648C3"/>
    <w:rsid w:val="57325016"/>
    <w:rsid w:val="57420EE5"/>
    <w:rsid w:val="57496718"/>
    <w:rsid w:val="575256B8"/>
    <w:rsid w:val="57531DB0"/>
    <w:rsid w:val="575550BC"/>
    <w:rsid w:val="575F33B4"/>
    <w:rsid w:val="576158FB"/>
    <w:rsid w:val="57772D09"/>
    <w:rsid w:val="5790008E"/>
    <w:rsid w:val="57923D07"/>
    <w:rsid w:val="57A35F14"/>
    <w:rsid w:val="57B72A76"/>
    <w:rsid w:val="57BE1E3C"/>
    <w:rsid w:val="57CA16F3"/>
    <w:rsid w:val="57DF472D"/>
    <w:rsid w:val="57E97A3B"/>
    <w:rsid w:val="57EA1E1B"/>
    <w:rsid w:val="57EF2F07"/>
    <w:rsid w:val="57F4051E"/>
    <w:rsid w:val="580853FD"/>
    <w:rsid w:val="580E03AC"/>
    <w:rsid w:val="581671B2"/>
    <w:rsid w:val="5827444F"/>
    <w:rsid w:val="583059FA"/>
    <w:rsid w:val="58441D7F"/>
    <w:rsid w:val="585854DC"/>
    <w:rsid w:val="585F008D"/>
    <w:rsid w:val="58765E8E"/>
    <w:rsid w:val="58AA0C93"/>
    <w:rsid w:val="58AA30A5"/>
    <w:rsid w:val="58B32A9A"/>
    <w:rsid w:val="58B85946"/>
    <w:rsid w:val="58B86461"/>
    <w:rsid w:val="58C44714"/>
    <w:rsid w:val="58C6010C"/>
    <w:rsid w:val="58CE172E"/>
    <w:rsid w:val="58D04AE7"/>
    <w:rsid w:val="58D740C7"/>
    <w:rsid w:val="58D97E3F"/>
    <w:rsid w:val="58DE5456"/>
    <w:rsid w:val="58F6125C"/>
    <w:rsid w:val="59097FF9"/>
    <w:rsid w:val="590B3D71"/>
    <w:rsid w:val="59121D71"/>
    <w:rsid w:val="591C7D2C"/>
    <w:rsid w:val="593A3352"/>
    <w:rsid w:val="594B184B"/>
    <w:rsid w:val="59534961"/>
    <w:rsid w:val="596757D9"/>
    <w:rsid w:val="59695709"/>
    <w:rsid w:val="59781C63"/>
    <w:rsid w:val="5982287B"/>
    <w:rsid w:val="598D29D8"/>
    <w:rsid w:val="599A595A"/>
    <w:rsid w:val="599E137D"/>
    <w:rsid w:val="59BB14C6"/>
    <w:rsid w:val="59C46B26"/>
    <w:rsid w:val="59C9625C"/>
    <w:rsid w:val="59EF71EF"/>
    <w:rsid w:val="5A05126A"/>
    <w:rsid w:val="5A063515"/>
    <w:rsid w:val="5A24333C"/>
    <w:rsid w:val="5A26500B"/>
    <w:rsid w:val="5A2A1387"/>
    <w:rsid w:val="5A2C097F"/>
    <w:rsid w:val="5A3369EC"/>
    <w:rsid w:val="5A3C747D"/>
    <w:rsid w:val="5A471A0B"/>
    <w:rsid w:val="5A582FE6"/>
    <w:rsid w:val="5A7166AF"/>
    <w:rsid w:val="5A783EAE"/>
    <w:rsid w:val="5A9A55B7"/>
    <w:rsid w:val="5A9E46B3"/>
    <w:rsid w:val="5AA40AFA"/>
    <w:rsid w:val="5AA77AC9"/>
    <w:rsid w:val="5AAB580B"/>
    <w:rsid w:val="5AB14C6E"/>
    <w:rsid w:val="5ABE2233"/>
    <w:rsid w:val="5ABE6175"/>
    <w:rsid w:val="5ABF662D"/>
    <w:rsid w:val="5AC809A2"/>
    <w:rsid w:val="5AD24724"/>
    <w:rsid w:val="5ADD7AB6"/>
    <w:rsid w:val="5AF01F55"/>
    <w:rsid w:val="5AFB7D2F"/>
    <w:rsid w:val="5AFE38EE"/>
    <w:rsid w:val="5B09106F"/>
    <w:rsid w:val="5B167206"/>
    <w:rsid w:val="5B276D18"/>
    <w:rsid w:val="5B3F1969"/>
    <w:rsid w:val="5B67112C"/>
    <w:rsid w:val="5B6A4674"/>
    <w:rsid w:val="5B7934F9"/>
    <w:rsid w:val="5B7976B8"/>
    <w:rsid w:val="5B7E4CCE"/>
    <w:rsid w:val="5B7E75EC"/>
    <w:rsid w:val="5B861B75"/>
    <w:rsid w:val="5B922527"/>
    <w:rsid w:val="5B971369"/>
    <w:rsid w:val="5B975D90"/>
    <w:rsid w:val="5BA04C44"/>
    <w:rsid w:val="5BA23BD3"/>
    <w:rsid w:val="5BA92F57"/>
    <w:rsid w:val="5BB65099"/>
    <w:rsid w:val="5BC50477"/>
    <w:rsid w:val="5BCA1CC1"/>
    <w:rsid w:val="5BCF12A4"/>
    <w:rsid w:val="5BD91F04"/>
    <w:rsid w:val="5BDF5D95"/>
    <w:rsid w:val="5BEE4464"/>
    <w:rsid w:val="5BF72CF9"/>
    <w:rsid w:val="5C0276AD"/>
    <w:rsid w:val="5C181C12"/>
    <w:rsid w:val="5C1A3D31"/>
    <w:rsid w:val="5C1B251D"/>
    <w:rsid w:val="5C207F2A"/>
    <w:rsid w:val="5C231498"/>
    <w:rsid w:val="5C2A6EF7"/>
    <w:rsid w:val="5C36795D"/>
    <w:rsid w:val="5C3B7B68"/>
    <w:rsid w:val="5C4A4BB0"/>
    <w:rsid w:val="5C4D071C"/>
    <w:rsid w:val="5C531CB7"/>
    <w:rsid w:val="5C5B6D88"/>
    <w:rsid w:val="5C692B66"/>
    <w:rsid w:val="5C6A2129"/>
    <w:rsid w:val="5C704410"/>
    <w:rsid w:val="5C706060"/>
    <w:rsid w:val="5C742BB6"/>
    <w:rsid w:val="5C7500C3"/>
    <w:rsid w:val="5C763460"/>
    <w:rsid w:val="5C7C4D07"/>
    <w:rsid w:val="5C832D5F"/>
    <w:rsid w:val="5C892166"/>
    <w:rsid w:val="5C8A1451"/>
    <w:rsid w:val="5CA442C0"/>
    <w:rsid w:val="5CA71371"/>
    <w:rsid w:val="5CA94164"/>
    <w:rsid w:val="5CB01BAE"/>
    <w:rsid w:val="5CB3602E"/>
    <w:rsid w:val="5CB84210"/>
    <w:rsid w:val="5CC0057C"/>
    <w:rsid w:val="5CC11316"/>
    <w:rsid w:val="5CC6692D"/>
    <w:rsid w:val="5CCE1054"/>
    <w:rsid w:val="5CD81BB0"/>
    <w:rsid w:val="5CDD5A24"/>
    <w:rsid w:val="5CEB2EBC"/>
    <w:rsid w:val="5D010573"/>
    <w:rsid w:val="5D064F7B"/>
    <w:rsid w:val="5D0D1F9D"/>
    <w:rsid w:val="5D1C654D"/>
    <w:rsid w:val="5D1E08DE"/>
    <w:rsid w:val="5D1F118A"/>
    <w:rsid w:val="5D207198"/>
    <w:rsid w:val="5D33392C"/>
    <w:rsid w:val="5D417D61"/>
    <w:rsid w:val="5D486506"/>
    <w:rsid w:val="5D5061F6"/>
    <w:rsid w:val="5D572A52"/>
    <w:rsid w:val="5D664080"/>
    <w:rsid w:val="5D6C7F86"/>
    <w:rsid w:val="5D6D5F9A"/>
    <w:rsid w:val="5D7719D5"/>
    <w:rsid w:val="5D883BE2"/>
    <w:rsid w:val="5DB71A6A"/>
    <w:rsid w:val="5DCC3BFE"/>
    <w:rsid w:val="5DCD39B6"/>
    <w:rsid w:val="5DD11BB3"/>
    <w:rsid w:val="5DDD2180"/>
    <w:rsid w:val="5DE83D0A"/>
    <w:rsid w:val="5DEF3FEB"/>
    <w:rsid w:val="5DF559B7"/>
    <w:rsid w:val="5DF87A0F"/>
    <w:rsid w:val="5DFA0A36"/>
    <w:rsid w:val="5DFC5B86"/>
    <w:rsid w:val="5DFD1D2C"/>
    <w:rsid w:val="5E1014AD"/>
    <w:rsid w:val="5E227B93"/>
    <w:rsid w:val="5E3A2CA6"/>
    <w:rsid w:val="5E582DFB"/>
    <w:rsid w:val="5E6A4AF8"/>
    <w:rsid w:val="5E6E3E80"/>
    <w:rsid w:val="5E7E23F2"/>
    <w:rsid w:val="5E887006"/>
    <w:rsid w:val="5E8A5B77"/>
    <w:rsid w:val="5E8D2343"/>
    <w:rsid w:val="5E8D3D14"/>
    <w:rsid w:val="5EA07F39"/>
    <w:rsid w:val="5EA15A1A"/>
    <w:rsid w:val="5EA507C4"/>
    <w:rsid w:val="5EA66802"/>
    <w:rsid w:val="5EA92E27"/>
    <w:rsid w:val="5EBF1A07"/>
    <w:rsid w:val="5EC0115A"/>
    <w:rsid w:val="5EC56A6D"/>
    <w:rsid w:val="5ECE78D4"/>
    <w:rsid w:val="5ED01686"/>
    <w:rsid w:val="5ED8301D"/>
    <w:rsid w:val="5EDC24BE"/>
    <w:rsid w:val="5EE83993"/>
    <w:rsid w:val="5EE87193"/>
    <w:rsid w:val="5EE94B54"/>
    <w:rsid w:val="5EF01A3F"/>
    <w:rsid w:val="5EF44BD6"/>
    <w:rsid w:val="5EFD415C"/>
    <w:rsid w:val="5F0B0627"/>
    <w:rsid w:val="5F0B0F30"/>
    <w:rsid w:val="5F147B5D"/>
    <w:rsid w:val="5F187751"/>
    <w:rsid w:val="5F1A2B43"/>
    <w:rsid w:val="5F1C314B"/>
    <w:rsid w:val="5F261904"/>
    <w:rsid w:val="5F2B66D5"/>
    <w:rsid w:val="5F33635E"/>
    <w:rsid w:val="5F48187B"/>
    <w:rsid w:val="5F5020D7"/>
    <w:rsid w:val="5F5C05CE"/>
    <w:rsid w:val="5F7C1DF6"/>
    <w:rsid w:val="5F826B1D"/>
    <w:rsid w:val="5F9056CB"/>
    <w:rsid w:val="5FAF6BB9"/>
    <w:rsid w:val="5FB837BB"/>
    <w:rsid w:val="5FBD1EB2"/>
    <w:rsid w:val="5FCB1A09"/>
    <w:rsid w:val="5FDE68F7"/>
    <w:rsid w:val="5FE2763A"/>
    <w:rsid w:val="5FF13CC0"/>
    <w:rsid w:val="60063557"/>
    <w:rsid w:val="601C6864"/>
    <w:rsid w:val="602045A6"/>
    <w:rsid w:val="604F6C39"/>
    <w:rsid w:val="60545FFD"/>
    <w:rsid w:val="605A42C5"/>
    <w:rsid w:val="606079DF"/>
    <w:rsid w:val="60673B47"/>
    <w:rsid w:val="60885CA7"/>
    <w:rsid w:val="608B7A74"/>
    <w:rsid w:val="60AD18B7"/>
    <w:rsid w:val="60AD570E"/>
    <w:rsid w:val="60B612C5"/>
    <w:rsid w:val="60B75801"/>
    <w:rsid w:val="60BB7A20"/>
    <w:rsid w:val="60C8351F"/>
    <w:rsid w:val="60CC6649"/>
    <w:rsid w:val="60D94755"/>
    <w:rsid w:val="610B0DB2"/>
    <w:rsid w:val="611222B2"/>
    <w:rsid w:val="6116430F"/>
    <w:rsid w:val="611809FA"/>
    <w:rsid w:val="6118702B"/>
    <w:rsid w:val="61243C22"/>
    <w:rsid w:val="61265BEC"/>
    <w:rsid w:val="61386D43"/>
    <w:rsid w:val="61483166"/>
    <w:rsid w:val="61520D7D"/>
    <w:rsid w:val="61523E51"/>
    <w:rsid w:val="61600166"/>
    <w:rsid w:val="616B1D8D"/>
    <w:rsid w:val="617D1584"/>
    <w:rsid w:val="61877AF5"/>
    <w:rsid w:val="618A57A0"/>
    <w:rsid w:val="61B01959"/>
    <w:rsid w:val="61B2310B"/>
    <w:rsid w:val="61B318E6"/>
    <w:rsid w:val="61B35172"/>
    <w:rsid w:val="61BA2BFF"/>
    <w:rsid w:val="61BD30B0"/>
    <w:rsid w:val="61BE6571"/>
    <w:rsid w:val="61CA2A1B"/>
    <w:rsid w:val="61CC4D68"/>
    <w:rsid w:val="61CC7371"/>
    <w:rsid w:val="61D935AB"/>
    <w:rsid w:val="61E145A0"/>
    <w:rsid w:val="62037A28"/>
    <w:rsid w:val="62064538"/>
    <w:rsid w:val="6208307E"/>
    <w:rsid w:val="62087D51"/>
    <w:rsid w:val="6232236E"/>
    <w:rsid w:val="62364782"/>
    <w:rsid w:val="623B3E27"/>
    <w:rsid w:val="624128ED"/>
    <w:rsid w:val="62444589"/>
    <w:rsid w:val="62581748"/>
    <w:rsid w:val="625B3B96"/>
    <w:rsid w:val="625D3925"/>
    <w:rsid w:val="6265042E"/>
    <w:rsid w:val="629B1A71"/>
    <w:rsid w:val="62B92A90"/>
    <w:rsid w:val="62C531E2"/>
    <w:rsid w:val="62D93827"/>
    <w:rsid w:val="62DA0B23"/>
    <w:rsid w:val="62E23D94"/>
    <w:rsid w:val="62F3537A"/>
    <w:rsid w:val="62F835B8"/>
    <w:rsid w:val="63065CD5"/>
    <w:rsid w:val="630E2DDB"/>
    <w:rsid w:val="633D2D9C"/>
    <w:rsid w:val="63550013"/>
    <w:rsid w:val="635F4A20"/>
    <w:rsid w:val="6366750A"/>
    <w:rsid w:val="637758AC"/>
    <w:rsid w:val="637A0E7E"/>
    <w:rsid w:val="6391795B"/>
    <w:rsid w:val="639D15A0"/>
    <w:rsid w:val="63A1779D"/>
    <w:rsid w:val="63A85929"/>
    <w:rsid w:val="63BA430B"/>
    <w:rsid w:val="63C03D12"/>
    <w:rsid w:val="63D2066A"/>
    <w:rsid w:val="63D40BE9"/>
    <w:rsid w:val="63E0211F"/>
    <w:rsid w:val="63E540F5"/>
    <w:rsid w:val="63E57837"/>
    <w:rsid w:val="63E805CE"/>
    <w:rsid w:val="63F22CB8"/>
    <w:rsid w:val="63F867F3"/>
    <w:rsid w:val="63F90B5A"/>
    <w:rsid w:val="63F91396"/>
    <w:rsid w:val="63FD59C0"/>
    <w:rsid w:val="64067EB8"/>
    <w:rsid w:val="64131199"/>
    <w:rsid w:val="643B4BCE"/>
    <w:rsid w:val="643E0025"/>
    <w:rsid w:val="64451901"/>
    <w:rsid w:val="644B0689"/>
    <w:rsid w:val="644D348F"/>
    <w:rsid w:val="644E67B4"/>
    <w:rsid w:val="6451226B"/>
    <w:rsid w:val="646F78AA"/>
    <w:rsid w:val="6488210E"/>
    <w:rsid w:val="648F6741"/>
    <w:rsid w:val="64994E77"/>
    <w:rsid w:val="64B12FE1"/>
    <w:rsid w:val="64B452BD"/>
    <w:rsid w:val="64D5712C"/>
    <w:rsid w:val="64E92780"/>
    <w:rsid w:val="64EB592B"/>
    <w:rsid w:val="64FC6198"/>
    <w:rsid w:val="652A37E1"/>
    <w:rsid w:val="65351A5A"/>
    <w:rsid w:val="65373578"/>
    <w:rsid w:val="654407F6"/>
    <w:rsid w:val="65495368"/>
    <w:rsid w:val="654F4234"/>
    <w:rsid w:val="65501067"/>
    <w:rsid w:val="65541D3C"/>
    <w:rsid w:val="655B7A69"/>
    <w:rsid w:val="656B1A56"/>
    <w:rsid w:val="659B022A"/>
    <w:rsid w:val="65A32E87"/>
    <w:rsid w:val="65A92947"/>
    <w:rsid w:val="65C00290"/>
    <w:rsid w:val="65D04378"/>
    <w:rsid w:val="65D31C24"/>
    <w:rsid w:val="65D9193F"/>
    <w:rsid w:val="65DE2315"/>
    <w:rsid w:val="65FA7647"/>
    <w:rsid w:val="661D4821"/>
    <w:rsid w:val="662063D9"/>
    <w:rsid w:val="662D5456"/>
    <w:rsid w:val="662E4F41"/>
    <w:rsid w:val="66371604"/>
    <w:rsid w:val="663E1046"/>
    <w:rsid w:val="664E7D3A"/>
    <w:rsid w:val="666351EC"/>
    <w:rsid w:val="666622A6"/>
    <w:rsid w:val="666E5646"/>
    <w:rsid w:val="6672542F"/>
    <w:rsid w:val="668665CB"/>
    <w:rsid w:val="66967370"/>
    <w:rsid w:val="66A7157D"/>
    <w:rsid w:val="66B617C0"/>
    <w:rsid w:val="66BC3A20"/>
    <w:rsid w:val="66BD7100"/>
    <w:rsid w:val="66CD4D5B"/>
    <w:rsid w:val="66E1443F"/>
    <w:rsid w:val="66E60D72"/>
    <w:rsid w:val="66EF5CC0"/>
    <w:rsid w:val="66F14245"/>
    <w:rsid w:val="67161503"/>
    <w:rsid w:val="672F371A"/>
    <w:rsid w:val="67313B0C"/>
    <w:rsid w:val="67336F96"/>
    <w:rsid w:val="673F2C7A"/>
    <w:rsid w:val="675A7C62"/>
    <w:rsid w:val="675E59B4"/>
    <w:rsid w:val="67616BD8"/>
    <w:rsid w:val="677C1EF5"/>
    <w:rsid w:val="67813D3C"/>
    <w:rsid w:val="6788465E"/>
    <w:rsid w:val="678C2521"/>
    <w:rsid w:val="678F38F1"/>
    <w:rsid w:val="679D7BB1"/>
    <w:rsid w:val="679F4002"/>
    <w:rsid w:val="67BC2E06"/>
    <w:rsid w:val="67BF09E9"/>
    <w:rsid w:val="67C51F87"/>
    <w:rsid w:val="67D87514"/>
    <w:rsid w:val="67E1286C"/>
    <w:rsid w:val="67EB5499"/>
    <w:rsid w:val="67FF0A72"/>
    <w:rsid w:val="680C2481"/>
    <w:rsid w:val="68134FD2"/>
    <w:rsid w:val="681F6961"/>
    <w:rsid w:val="682D3D04"/>
    <w:rsid w:val="684150B9"/>
    <w:rsid w:val="684D7F02"/>
    <w:rsid w:val="685857E6"/>
    <w:rsid w:val="685E3EBD"/>
    <w:rsid w:val="68610A2F"/>
    <w:rsid w:val="68805514"/>
    <w:rsid w:val="688A4CA6"/>
    <w:rsid w:val="68A8338A"/>
    <w:rsid w:val="68BF2482"/>
    <w:rsid w:val="68C67C7F"/>
    <w:rsid w:val="68D2372B"/>
    <w:rsid w:val="68DF6317"/>
    <w:rsid w:val="68F465CF"/>
    <w:rsid w:val="68FA2F4B"/>
    <w:rsid w:val="69056950"/>
    <w:rsid w:val="69147D4D"/>
    <w:rsid w:val="6917406C"/>
    <w:rsid w:val="691C1682"/>
    <w:rsid w:val="693410C2"/>
    <w:rsid w:val="693469CC"/>
    <w:rsid w:val="69375B15"/>
    <w:rsid w:val="6937639B"/>
    <w:rsid w:val="693B136E"/>
    <w:rsid w:val="69476D40"/>
    <w:rsid w:val="694E2071"/>
    <w:rsid w:val="69562DE6"/>
    <w:rsid w:val="695C530E"/>
    <w:rsid w:val="695E12F6"/>
    <w:rsid w:val="696C085C"/>
    <w:rsid w:val="69714AFC"/>
    <w:rsid w:val="6977720C"/>
    <w:rsid w:val="69796144"/>
    <w:rsid w:val="697A3B33"/>
    <w:rsid w:val="697E40EB"/>
    <w:rsid w:val="699174A8"/>
    <w:rsid w:val="6995759A"/>
    <w:rsid w:val="69960B64"/>
    <w:rsid w:val="69987A53"/>
    <w:rsid w:val="699E2456"/>
    <w:rsid w:val="69D01FC8"/>
    <w:rsid w:val="69EF3146"/>
    <w:rsid w:val="6A0633DB"/>
    <w:rsid w:val="6A102F95"/>
    <w:rsid w:val="6A1721D3"/>
    <w:rsid w:val="6A1E1F6C"/>
    <w:rsid w:val="6A257330"/>
    <w:rsid w:val="6A35077B"/>
    <w:rsid w:val="6A3C022E"/>
    <w:rsid w:val="6A3D4802"/>
    <w:rsid w:val="6A42336B"/>
    <w:rsid w:val="6A553AE3"/>
    <w:rsid w:val="6A566BD6"/>
    <w:rsid w:val="6A660F21"/>
    <w:rsid w:val="6A6A026B"/>
    <w:rsid w:val="6A7259FE"/>
    <w:rsid w:val="6A731776"/>
    <w:rsid w:val="6A794620"/>
    <w:rsid w:val="6A872662"/>
    <w:rsid w:val="6A927E4E"/>
    <w:rsid w:val="6A9E0470"/>
    <w:rsid w:val="6AA24236"/>
    <w:rsid w:val="6AA9176C"/>
    <w:rsid w:val="6AB10404"/>
    <w:rsid w:val="6AC326FD"/>
    <w:rsid w:val="6AC871BD"/>
    <w:rsid w:val="6ADB1B0F"/>
    <w:rsid w:val="6ADE7537"/>
    <w:rsid w:val="6AE73D09"/>
    <w:rsid w:val="6AF4115C"/>
    <w:rsid w:val="6AFE1107"/>
    <w:rsid w:val="6B0A07BD"/>
    <w:rsid w:val="6B1836BB"/>
    <w:rsid w:val="6B20545A"/>
    <w:rsid w:val="6B321631"/>
    <w:rsid w:val="6B322639"/>
    <w:rsid w:val="6B3C34F3"/>
    <w:rsid w:val="6B3E26E7"/>
    <w:rsid w:val="6B413622"/>
    <w:rsid w:val="6B4373AF"/>
    <w:rsid w:val="6B506EB0"/>
    <w:rsid w:val="6B543355"/>
    <w:rsid w:val="6B5808DC"/>
    <w:rsid w:val="6B5A4081"/>
    <w:rsid w:val="6B5C79A8"/>
    <w:rsid w:val="6B767770"/>
    <w:rsid w:val="6B777044"/>
    <w:rsid w:val="6B913CFB"/>
    <w:rsid w:val="6B930322"/>
    <w:rsid w:val="6B9D1C9D"/>
    <w:rsid w:val="6B9D6AAA"/>
    <w:rsid w:val="6BAA763E"/>
    <w:rsid w:val="6BB25D06"/>
    <w:rsid w:val="6BB81CBF"/>
    <w:rsid w:val="6BD3071E"/>
    <w:rsid w:val="6BD67A5C"/>
    <w:rsid w:val="6BD76F28"/>
    <w:rsid w:val="6BED0D5D"/>
    <w:rsid w:val="6BF757CF"/>
    <w:rsid w:val="6C2F0A11"/>
    <w:rsid w:val="6C3136B5"/>
    <w:rsid w:val="6C3A60CF"/>
    <w:rsid w:val="6C594488"/>
    <w:rsid w:val="6C636C38"/>
    <w:rsid w:val="6C6475C8"/>
    <w:rsid w:val="6C6A1488"/>
    <w:rsid w:val="6C7041BF"/>
    <w:rsid w:val="6C7265EF"/>
    <w:rsid w:val="6C79668F"/>
    <w:rsid w:val="6C7D068A"/>
    <w:rsid w:val="6C94750E"/>
    <w:rsid w:val="6C9C6D62"/>
    <w:rsid w:val="6C9D0897"/>
    <w:rsid w:val="6C9E1AF7"/>
    <w:rsid w:val="6CB0199B"/>
    <w:rsid w:val="6CD30D4A"/>
    <w:rsid w:val="6CE801F9"/>
    <w:rsid w:val="6CF16D6D"/>
    <w:rsid w:val="6CF55F87"/>
    <w:rsid w:val="6CF92406"/>
    <w:rsid w:val="6D0A63C2"/>
    <w:rsid w:val="6D2356D5"/>
    <w:rsid w:val="6D28679A"/>
    <w:rsid w:val="6D2926DC"/>
    <w:rsid w:val="6D2B2E15"/>
    <w:rsid w:val="6D2D3E5E"/>
    <w:rsid w:val="6D5D7998"/>
    <w:rsid w:val="6D657A9C"/>
    <w:rsid w:val="6D68758C"/>
    <w:rsid w:val="6D704099"/>
    <w:rsid w:val="6D7101EF"/>
    <w:rsid w:val="6D934609"/>
    <w:rsid w:val="6DA10275"/>
    <w:rsid w:val="6DB34098"/>
    <w:rsid w:val="6DB44F9A"/>
    <w:rsid w:val="6DB545B6"/>
    <w:rsid w:val="6DC817CD"/>
    <w:rsid w:val="6DD24CBB"/>
    <w:rsid w:val="6DD95D94"/>
    <w:rsid w:val="6DEF478E"/>
    <w:rsid w:val="6DFB5D0A"/>
    <w:rsid w:val="6E0D54FF"/>
    <w:rsid w:val="6E1119D2"/>
    <w:rsid w:val="6E130205"/>
    <w:rsid w:val="6E182D60"/>
    <w:rsid w:val="6E1B45FE"/>
    <w:rsid w:val="6E22598D"/>
    <w:rsid w:val="6E296D1B"/>
    <w:rsid w:val="6E330F59"/>
    <w:rsid w:val="6E36382B"/>
    <w:rsid w:val="6E405B9C"/>
    <w:rsid w:val="6E4375A0"/>
    <w:rsid w:val="6E49339C"/>
    <w:rsid w:val="6E4C47B8"/>
    <w:rsid w:val="6E5022F1"/>
    <w:rsid w:val="6E514CED"/>
    <w:rsid w:val="6E52675D"/>
    <w:rsid w:val="6E57633D"/>
    <w:rsid w:val="6E5D410B"/>
    <w:rsid w:val="6E694D5E"/>
    <w:rsid w:val="6E7326DD"/>
    <w:rsid w:val="6E79491A"/>
    <w:rsid w:val="6E804461"/>
    <w:rsid w:val="6E8303A5"/>
    <w:rsid w:val="6E8771D1"/>
    <w:rsid w:val="6E8F4E20"/>
    <w:rsid w:val="6E95728B"/>
    <w:rsid w:val="6EA2159C"/>
    <w:rsid w:val="6EAB613B"/>
    <w:rsid w:val="6EB563D5"/>
    <w:rsid w:val="6EBE3240"/>
    <w:rsid w:val="6ED91ED1"/>
    <w:rsid w:val="6EE7654D"/>
    <w:rsid w:val="6EF34711"/>
    <w:rsid w:val="6EF6387C"/>
    <w:rsid w:val="6EFD65CC"/>
    <w:rsid w:val="6F001752"/>
    <w:rsid w:val="6F0917CE"/>
    <w:rsid w:val="6F12097C"/>
    <w:rsid w:val="6F126D36"/>
    <w:rsid w:val="6F225983"/>
    <w:rsid w:val="6F2F3EEF"/>
    <w:rsid w:val="6F4B3FB6"/>
    <w:rsid w:val="6F54030D"/>
    <w:rsid w:val="6F6C0186"/>
    <w:rsid w:val="6F7246F2"/>
    <w:rsid w:val="6F765157"/>
    <w:rsid w:val="6F8173F4"/>
    <w:rsid w:val="6F8246A8"/>
    <w:rsid w:val="6F940D2F"/>
    <w:rsid w:val="6F975F07"/>
    <w:rsid w:val="6F983DC8"/>
    <w:rsid w:val="6F9C02DD"/>
    <w:rsid w:val="6FB045E9"/>
    <w:rsid w:val="6FDD1EC3"/>
    <w:rsid w:val="6FE4319E"/>
    <w:rsid w:val="6FF027BF"/>
    <w:rsid w:val="6FFC5590"/>
    <w:rsid w:val="70194C7D"/>
    <w:rsid w:val="701D48A4"/>
    <w:rsid w:val="70206DEF"/>
    <w:rsid w:val="70301DA3"/>
    <w:rsid w:val="70376968"/>
    <w:rsid w:val="703950FC"/>
    <w:rsid w:val="703B2D36"/>
    <w:rsid w:val="703F58AB"/>
    <w:rsid w:val="70553BF0"/>
    <w:rsid w:val="70574453"/>
    <w:rsid w:val="70657DB3"/>
    <w:rsid w:val="70666005"/>
    <w:rsid w:val="706A62D1"/>
    <w:rsid w:val="706D1DD0"/>
    <w:rsid w:val="70704095"/>
    <w:rsid w:val="70716758"/>
    <w:rsid w:val="70776533"/>
    <w:rsid w:val="70833188"/>
    <w:rsid w:val="70856B87"/>
    <w:rsid w:val="70AA2EA1"/>
    <w:rsid w:val="70BD6DA9"/>
    <w:rsid w:val="70C026E8"/>
    <w:rsid w:val="70C1468B"/>
    <w:rsid w:val="70C85B37"/>
    <w:rsid w:val="70C932BA"/>
    <w:rsid w:val="70D527EE"/>
    <w:rsid w:val="70D86D3F"/>
    <w:rsid w:val="70DC0075"/>
    <w:rsid w:val="70E433CD"/>
    <w:rsid w:val="70EB5859"/>
    <w:rsid w:val="70EF3A34"/>
    <w:rsid w:val="71074AFC"/>
    <w:rsid w:val="711B5D6B"/>
    <w:rsid w:val="71306613"/>
    <w:rsid w:val="71334AFD"/>
    <w:rsid w:val="71370406"/>
    <w:rsid w:val="713F0F05"/>
    <w:rsid w:val="714608FC"/>
    <w:rsid w:val="714A2AC0"/>
    <w:rsid w:val="715B5300"/>
    <w:rsid w:val="715E071C"/>
    <w:rsid w:val="715F4BD7"/>
    <w:rsid w:val="71662034"/>
    <w:rsid w:val="716A0E8B"/>
    <w:rsid w:val="716E29D2"/>
    <w:rsid w:val="716F36E5"/>
    <w:rsid w:val="71870711"/>
    <w:rsid w:val="719C7804"/>
    <w:rsid w:val="719E43C3"/>
    <w:rsid w:val="71A14E1B"/>
    <w:rsid w:val="71A95425"/>
    <w:rsid w:val="71BA41A2"/>
    <w:rsid w:val="71C15243"/>
    <w:rsid w:val="71D138A4"/>
    <w:rsid w:val="71D27F8A"/>
    <w:rsid w:val="71E57D58"/>
    <w:rsid w:val="71F744C6"/>
    <w:rsid w:val="71F960CF"/>
    <w:rsid w:val="71FB277D"/>
    <w:rsid w:val="71FF7E88"/>
    <w:rsid w:val="72037883"/>
    <w:rsid w:val="7207622B"/>
    <w:rsid w:val="72165879"/>
    <w:rsid w:val="72192C03"/>
    <w:rsid w:val="722D3761"/>
    <w:rsid w:val="722F2426"/>
    <w:rsid w:val="723444E8"/>
    <w:rsid w:val="72435DBC"/>
    <w:rsid w:val="72477A33"/>
    <w:rsid w:val="72532832"/>
    <w:rsid w:val="72545178"/>
    <w:rsid w:val="72564634"/>
    <w:rsid w:val="72693BBE"/>
    <w:rsid w:val="728409C4"/>
    <w:rsid w:val="729A312E"/>
    <w:rsid w:val="729B7ABC"/>
    <w:rsid w:val="72B62B48"/>
    <w:rsid w:val="72D34823"/>
    <w:rsid w:val="72D73FCC"/>
    <w:rsid w:val="72EE0533"/>
    <w:rsid w:val="72EE2B37"/>
    <w:rsid w:val="731F25E1"/>
    <w:rsid w:val="731F5D5E"/>
    <w:rsid w:val="73283EC8"/>
    <w:rsid w:val="732C66C0"/>
    <w:rsid w:val="732F685F"/>
    <w:rsid w:val="733018C0"/>
    <w:rsid w:val="73563DFF"/>
    <w:rsid w:val="735C36EF"/>
    <w:rsid w:val="73634C6B"/>
    <w:rsid w:val="73775B51"/>
    <w:rsid w:val="73916786"/>
    <w:rsid w:val="73946B15"/>
    <w:rsid w:val="73954E31"/>
    <w:rsid w:val="73957D41"/>
    <w:rsid w:val="73B34CC0"/>
    <w:rsid w:val="73B61051"/>
    <w:rsid w:val="73CA3E50"/>
    <w:rsid w:val="73CF3EC1"/>
    <w:rsid w:val="73D13C71"/>
    <w:rsid w:val="73D257AD"/>
    <w:rsid w:val="73DC567D"/>
    <w:rsid w:val="73F152F7"/>
    <w:rsid w:val="73F60E9B"/>
    <w:rsid w:val="73F92DFA"/>
    <w:rsid w:val="73FF0D8F"/>
    <w:rsid w:val="73FF7999"/>
    <w:rsid w:val="7419214C"/>
    <w:rsid w:val="7419513C"/>
    <w:rsid w:val="741E793C"/>
    <w:rsid w:val="74320B5B"/>
    <w:rsid w:val="74650698"/>
    <w:rsid w:val="747B4256"/>
    <w:rsid w:val="74836360"/>
    <w:rsid w:val="748E5B2A"/>
    <w:rsid w:val="74A40EAA"/>
    <w:rsid w:val="74A604DC"/>
    <w:rsid w:val="74B0419D"/>
    <w:rsid w:val="74B41B64"/>
    <w:rsid w:val="74BD38ED"/>
    <w:rsid w:val="74CC0400"/>
    <w:rsid w:val="74D231A2"/>
    <w:rsid w:val="74DB687E"/>
    <w:rsid w:val="74F3064C"/>
    <w:rsid w:val="750641BE"/>
    <w:rsid w:val="750F4CEA"/>
    <w:rsid w:val="751D2A0A"/>
    <w:rsid w:val="7538616A"/>
    <w:rsid w:val="75471BF3"/>
    <w:rsid w:val="756923C9"/>
    <w:rsid w:val="757B15CF"/>
    <w:rsid w:val="758D75E2"/>
    <w:rsid w:val="75A14D82"/>
    <w:rsid w:val="75A924F0"/>
    <w:rsid w:val="75B00738"/>
    <w:rsid w:val="75B31FF5"/>
    <w:rsid w:val="75B55338"/>
    <w:rsid w:val="75F06371"/>
    <w:rsid w:val="75FA41CB"/>
    <w:rsid w:val="75FF2B3D"/>
    <w:rsid w:val="762104FB"/>
    <w:rsid w:val="762B5FAA"/>
    <w:rsid w:val="763149BF"/>
    <w:rsid w:val="763A3BAC"/>
    <w:rsid w:val="763D3D03"/>
    <w:rsid w:val="765249D4"/>
    <w:rsid w:val="767B4C71"/>
    <w:rsid w:val="76814B12"/>
    <w:rsid w:val="76845BC0"/>
    <w:rsid w:val="769E7B7B"/>
    <w:rsid w:val="76A1035E"/>
    <w:rsid w:val="76A955CC"/>
    <w:rsid w:val="76B26E4F"/>
    <w:rsid w:val="76C0034F"/>
    <w:rsid w:val="76C173EC"/>
    <w:rsid w:val="76D324EB"/>
    <w:rsid w:val="76D417EE"/>
    <w:rsid w:val="76D43CD8"/>
    <w:rsid w:val="76D65566"/>
    <w:rsid w:val="76E557A9"/>
    <w:rsid w:val="76EB23E6"/>
    <w:rsid w:val="76F11F48"/>
    <w:rsid w:val="76FB31EA"/>
    <w:rsid w:val="771340C5"/>
    <w:rsid w:val="771F0CBB"/>
    <w:rsid w:val="77215EB3"/>
    <w:rsid w:val="77390066"/>
    <w:rsid w:val="77473B82"/>
    <w:rsid w:val="77677A1A"/>
    <w:rsid w:val="77762421"/>
    <w:rsid w:val="777C7EBC"/>
    <w:rsid w:val="777D2923"/>
    <w:rsid w:val="778B68E4"/>
    <w:rsid w:val="7793469B"/>
    <w:rsid w:val="77A2369A"/>
    <w:rsid w:val="77C11D73"/>
    <w:rsid w:val="77E25935"/>
    <w:rsid w:val="77F95B58"/>
    <w:rsid w:val="780F09F4"/>
    <w:rsid w:val="78112CFA"/>
    <w:rsid w:val="78126A72"/>
    <w:rsid w:val="781A07A2"/>
    <w:rsid w:val="782A1B7A"/>
    <w:rsid w:val="782D0D26"/>
    <w:rsid w:val="78570480"/>
    <w:rsid w:val="78715547"/>
    <w:rsid w:val="787B2617"/>
    <w:rsid w:val="78870772"/>
    <w:rsid w:val="788D434B"/>
    <w:rsid w:val="789C4F47"/>
    <w:rsid w:val="78A376CA"/>
    <w:rsid w:val="78A63EDA"/>
    <w:rsid w:val="78A90480"/>
    <w:rsid w:val="78C86EDB"/>
    <w:rsid w:val="78D40DD0"/>
    <w:rsid w:val="78E709CC"/>
    <w:rsid w:val="78EA52F9"/>
    <w:rsid w:val="78FF37B1"/>
    <w:rsid w:val="79062094"/>
    <w:rsid w:val="79126D2A"/>
    <w:rsid w:val="793E3D29"/>
    <w:rsid w:val="795B595E"/>
    <w:rsid w:val="796721E3"/>
    <w:rsid w:val="79811327"/>
    <w:rsid w:val="79926E35"/>
    <w:rsid w:val="799534B7"/>
    <w:rsid w:val="79975C89"/>
    <w:rsid w:val="79AA43AA"/>
    <w:rsid w:val="79AB0862"/>
    <w:rsid w:val="79B169BE"/>
    <w:rsid w:val="79B7010F"/>
    <w:rsid w:val="79B853F7"/>
    <w:rsid w:val="79BD656A"/>
    <w:rsid w:val="79C30B80"/>
    <w:rsid w:val="79CE559F"/>
    <w:rsid w:val="79D42231"/>
    <w:rsid w:val="79E220C0"/>
    <w:rsid w:val="79EF2A3D"/>
    <w:rsid w:val="79EF46F2"/>
    <w:rsid w:val="79FF3026"/>
    <w:rsid w:val="7A153478"/>
    <w:rsid w:val="7A1A2956"/>
    <w:rsid w:val="7A1F2194"/>
    <w:rsid w:val="7A214D4A"/>
    <w:rsid w:val="7A301A0A"/>
    <w:rsid w:val="7A364017"/>
    <w:rsid w:val="7A37456E"/>
    <w:rsid w:val="7A3F5061"/>
    <w:rsid w:val="7A683A81"/>
    <w:rsid w:val="7A6B5489"/>
    <w:rsid w:val="7A8265E1"/>
    <w:rsid w:val="7A84692E"/>
    <w:rsid w:val="7A9138E3"/>
    <w:rsid w:val="7AA35ED7"/>
    <w:rsid w:val="7ABE43F7"/>
    <w:rsid w:val="7ABE6779"/>
    <w:rsid w:val="7ACB69BE"/>
    <w:rsid w:val="7ADA4AD2"/>
    <w:rsid w:val="7ADA65C4"/>
    <w:rsid w:val="7B0B2C6E"/>
    <w:rsid w:val="7B117237"/>
    <w:rsid w:val="7B1464D5"/>
    <w:rsid w:val="7B2D31CD"/>
    <w:rsid w:val="7B3B184D"/>
    <w:rsid w:val="7B497151"/>
    <w:rsid w:val="7B4A5522"/>
    <w:rsid w:val="7B607AF4"/>
    <w:rsid w:val="7B686D42"/>
    <w:rsid w:val="7B6E6183"/>
    <w:rsid w:val="7B7006E4"/>
    <w:rsid w:val="7B7526B1"/>
    <w:rsid w:val="7B841746"/>
    <w:rsid w:val="7B947FF6"/>
    <w:rsid w:val="7BA9149B"/>
    <w:rsid w:val="7BAA15BE"/>
    <w:rsid w:val="7BBC4968"/>
    <w:rsid w:val="7BBC5B92"/>
    <w:rsid w:val="7BC43259"/>
    <w:rsid w:val="7BCD1A43"/>
    <w:rsid w:val="7BCE7A36"/>
    <w:rsid w:val="7BD94B3E"/>
    <w:rsid w:val="7BE023AA"/>
    <w:rsid w:val="7BE03502"/>
    <w:rsid w:val="7BE947B4"/>
    <w:rsid w:val="7BEE3352"/>
    <w:rsid w:val="7BF70EF8"/>
    <w:rsid w:val="7C081E3E"/>
    <w:rsid w:val="7C0E57A2"/>
    <w:rsid w:val="7C144ADD"/>
    <w:rsid w:val="7C190ABB"/>
    <w:rsid w:val="7C211032"/>
    <w:rsid w:val="7C255E2F"/>
    <w:rsid w:val="7C262AEC"/>
    <w:rsid w:val="7C2B620C"/>
    <w:rsid w:val="7C321491"/>
    <w:rsid w:val="7C336917"/>
    <w:rsid w:val="7C500AA8"/>
    <w:rsid w:val="7C5D62A7"/>
    <w:rsid w:val="7C786475"/>
    <w:rsid w:val="7C885BC7"/>
    <w:rsid w:val="7C8D2B6B"/>
    <w:rsid w:val="7CB2612E"/>
    <w:rsid w:val="7CB63E0B"/>
    <w:rsid w:val="7CBB55D4"/>
    <w:rsid w:val="7CD60D99"/>
    <w:rsid w:val="7CEC6928"/>
    <w:rsid w:val="7CF14955"/>
    <w:rsid w:val="7CF90201"/>
    <w:rsid w:val="7CFE4B1F"/>
    <w:rsid w:val="7D0239FF"/>
    <w:rsid w:val="7D130611"/>
    <w:rsid w:val="7D1868D9"/>
    <w:rsid w:val="7D1F05C5"/>
    <w:rsid w:val="7D1F7C67"/>
    <w:rsid w:val="7D286455"/>
    <w:rsid w:val="7D365A9E"/>
    <w:rsid w:val="7D366711"/>
    <w:rsid w:val="7D371F45"/>
    <w:rsid w:val="7D3947B3"/>
    <w:rsid w:val="7D5E40CD"/>
    <w:rsid w:val="7D63567A"/>
    <w:rsid w:val="7D693BED"/>
    <w:rsid w:val="7D7F4392"/>
    <w:rsid w:val="7D812D19"/>
    <w:rsid w:val="7D8D24C8"/>
    <w:rsid w:val="7D965A4F"/>
    <w:rsid w:val="7DA12EDC"/>
    <w:rsid w:val="7DA325F5"/>
    <w:rsid w:val="7DA95783"/>
    <w:rsid w:val="7DCB56F9"/>
    <w:rsid w:val="7DCC0C12"/>
    <w:rsid w:val="7DD24CD9"/>
    <w:rsid w:val="7DF369FE"/>
    <w:rsid w:val="7E0E08A5"/>
    <w:rsid w:val="7E2E5C88"/>
    <w:rsid w:val="7E3741B9"/>
    <w:rsid w:val="7E397209"/>
    <w:rsid w:val="7E4B4A8C"/>
    <w:rsid w:val="7E657CAD"/>
    <w:rsid w:val="7E661BCC"/>
    <w:rsid w:val="7E7D24D3"/>
    <w:rsid w:val="7E857F9E"/>
    <w:rsid w:val="7E8A5D41"/>
    <w:rsid w:val="7E9C52E7"/>
    <w:rsid w:val="7E9E2C87"/>
    <w:rsid w:val="7E9E43D0"/>
    <w:rsid w:val="7EAB72D9"/>
    <w:rsid w:val="7EAD63A6"/>
    <w:rsid w:val="7EAE000A"/>
    <w:rsid w:val="7EC954F4"/>
    <w:rsid w:val="7ED607F9"/>
    <w:rsid w:val="7EFD46DF"/>
    <w:rsid w:val="7F0864D9"/>
    <w:rsid w:val="7F2E6AF1"/>
    <w:rsid w:val="7F514320"/>
    <w:rsid w:val="7F5170F9"/>
    <w:rsid w:val="7F610FB3"/>
    <w:rsid w:val="7F61279E"/>
    <w:rsid w:val="7F625C90"/>
    <w:rsid w:val="7F70200D"/>
    <w:rsid w:val="7F714955"/>
    <w:rsid w:val="7F805B66"/>
    <w:rsid w:val="7F9219EC"/>
    <w:rsid w:val="7F9E7BBC"/>
    <w:rsid w:val="7FA06711"/>
    <w:rsid w:val="7FAA3FF3"/>
    <w:rsid w:val="7FC6780E"/>
    <w:rsid w:val="7FCC11DD"/>
    <w:rsid w:val="7FD55677"/>
    <w:rsid w:val="7FE17456"/>
    <w:rsid w:val="7FE20E7F"/>
    <w:rsid w:val="7FE40CF4"/>
    <w:rsid w:val="7FE43C33"/>
    <w:rsid w:val="7FE47E50"/>
    <w:rsid w:val="7FE624A6"/>
    <w:rsid w:val="7FEC6AD2"/>
    <w:rsid w:val="7FF363D0"/>
    <w:rsid w:val="7FFE6DC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ocked="1"/>
    <w:lsdException w:qFormat="1" w:uiPriority="0" w:semiHidden="0" w:name="heading 3" w:locked="1"/>
    <w:lsdException w:qFormat="1" w:unhideWhenUsed="0" w:uiPriority="9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21"/>
    <w:qFormat/>
    <w:uiPriority w:val="0"/>
    <w:pPr>
      <w:keepNext/>
      <w:overflowPunct w:val="0"/>
      <w:adjustRightInd w:val="0"/>
      <w:snapToGrid w:val="0"/>
      <w:spacing w:before="50" w:beforeLines="50" w:after="50" w:afterLines="50" w:line="240" w:lineRule="auto"/>
      <w:ind w:left="0" w:firstLine="0" w:firstLineChars="0"/>
      <w:jc w:val="center"/>
      <w:outlineLvl w:val="0"/>
    </w:pPr>
    <w:rPr>
      <w:rFonts w:eastAsia="黑体"/>
      <w:b/>
      <w:bCs/>
      <w:color w:val="000000"/>
      <w:kern w:val="44"/>
      <w:sz w:val="21"/>
      <w:szCs w:val="30"/>
    </w:rPr>
  </w:style>
  <w:style w:type="paragraph" w:styleId="4">
    <w:name w:val="heading 2"/>
    <w:basedOn w:val="1"/>
    <w:next w:val="1"/>
    <w:qFormat/>
    <w:locked/>
    <w:uiPriority w:val="99"/>
    <w:pPr>
      <w:keepNext/>
      <w:keepLines/>
      <w:adjustRightInd w:val="0"/>
      <w:snapToGrid w:val="0"/>
      <w:spacing w:before="50" w:beforeLines="50" w:after="50" w:afterLines="50" w:line="240" w:lineRule="auto"/>
      <w:ind w:firstLine="0" w:firstLineChars="0"/>
      <w:jc w:val="left"/>
      <w:outlineLvl w:val="1"/>
    </w:pPr>
    <w:rPr>
      <w:b/>
      <w:bCs/>
      <w:kern w:val="0"/>
      <w:szCs w:val="28"/>
    </w:rPr>
  </w:style>
  <w:style w:type="paragraph" w:styleId="5">
    <w:name w:val="heading 3"/>
    <w:basedOn w:val="1"/>
    <w:next w:val="1"/>
    <w:unhideWhenUsed/>
    <w:qFormat/>
    <w:locked/>
    <w:uiPriority w:val="0"/>
    <w:pPr>
      <w:keepNext/>
      <w:keepLines/>
      <w:spacing w:before="260" w:after="260" w:line="416" w:lineRule="auto"/>
      <w:outlineLvl w:val="2"/>
    </w:pPr>
    <w:rPr>
      <w:b/>
      <w:bCs/>
      <w:sz w:val="32"/>
      <w:szCs w:val="32"/>
    </w:rPr>
  </w:style>
  <w:style w:type="paragraph" w:styleId="6">
    <w:name w:val="heading 4"/>
    <w:basedOn w:val="1"/>
    <w:next w:val="1"/>
    <w:qFormat/>
    <w:locked/>
    <w:uiPriority w:val="99"/>
    <w:pPr>
      <w:keepNext/>
      <w:keepLines/>
      <w:spacing w:line="376" w:lineRule="auto"/>
      <w:outlineLvl w:val="3"/>
    </w:pPr>
    <w:rPr>
      <w:rFonts w:ascii="Cambria" w:hAnsi="Cambria"/>
      <w:b/>
      <w:sz w:val="28"/>
      <w:szCs w:val="20"/>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表头"/>
    <w:basedOn w:val="1"/>
    <w:next w:val="1"/>
    <w:qFormat/>
    <w:uiPriority w:val="0"/>
    <w:pPr>
      <w:ind w:firstLine="0" w:firstLineChars="0"/>
      <w:jc w:val="center"/>
    </w:pPr>
    <w:rPr>
      <w:rFonts w:ascii="Calibri" w:hAnsi="Calibri"/>
      <w:b/>
    </w:rPr>
  </w:style>
  <w:style w:type="paragraph" w:styleId="7">
    <w:name w:val="annotation text"/>
    <w:basedOn w:val="1"/>
    <w:qFormat/>
    <w:uiPriority w:val="0"/>
    <w:pPr>
      <w:jc w:val="left"/>
    </w:pPr>
  </w:style>
  <w:style w:type="paragraph" w:styleId="8">
    <w:name w:val="Body Text"/>
    <w:basedOn w:val="1"/>
    <w:semiHidden/>
    <w:qFormat/>
    <w:uiPriority w:val="0"/>
    <w:rPr>
      <w:rFonts w:ascii="Arial" w:hAnsi="Arial" w:eastAsia="Arial" w:cs="Arial"/>
      <w:sz w:val="21"/>
      <w:szCs w:val="21"/>
      <w:lang w:val="en-US" w:eastAsia="en-US" w:bidi="ar-SA"/>
    </w:rPr>
  </w:style>
  <w:style w:type="paragraph" w:styleId="9">
    <w:name w:val="Plain Text"/>
    <w:basedOn w:val="1"/>
    <w:qFormat/>
    <w:uiPriority w:val="0"/>
    <w:pPr>
      <w:widowControl/>
      <w:spacing w:before="100" w:beforeLines="0" w:beforeAutospacing="1" w:after="100" w:afterLines="0" w:afterAutospacing="1" w:line="240" w:lineRule="auto"/>
      <w:ind w:firstLine="0" w:firstLineChars="0"/>
      <w:jc w:val="left"/>
    </w:pPr>
    <w:rPr>
      <w:rFonts w:ascii="宋体" w:hAnsi="宋体" w:cs="宋体"/>
      <w:kern w:val="0"/>
      <w:szCs w:val="24"/>
    </w:rPr>
  </w:style>
  <w:style w:type="paragraph" w:styleId="10">
    <w:name w:val="header"/>
    <w:basedOn w:val="1"/>
    <w:next w:val="1"/>
    <w:qFormat/>
    <w:uiPriority w:val="99"/>
    <w:pPr>
      <w:pBdr>
        <w:bottom w:val="single" w:color="auto" w:sz="6" w:space="1"/>
      </w:pBdr>
      <w:tabs>
        <w:tab w:val="center" w:pos="4153"/>
        <w:tab w:val="right" w:pos="8306"/>
      </w:tabs>
      <w:snapToGrid w:val="0"/>
      <w:jc w:val="center"/>
    </w:pPr>
    <w:rPr>
      <w:sz w:val="18"/>
      <w:szCs w:val="20"/>
    </w:rPr>
  </w:style>
  <w:style w:type="paragraph" w:styleId="11">
    <w:name w:val="Title"/>
    <w:basedOn w:val="1"/>
    <w:next w:val="1"/>
    <w:qFormat/>
    <w:locked/>
    <w:uiPriority w:val="0"/>
    <w:pPr>
      <w:spacing w:line="300" w:lineRule="exact"/>
      <w:contextualSpacing/>
      <w:jc w:val="center"/>
    </w:pPr>
    <w:rPr>
      <w:rFonts w:eastAsia="宋体" w:cs="Times New Roman"/>
      <w:spacing w:val="5"/>
      <w:szCs w:val="52"/>
    </w:rPr>
  </w:style>
  <w:style w:type="table" w:styleId="13">
    <w:name w:val="Table Grid"/>
    <w:basedOn w:val="1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mphasis"/>
    <w:basedOn w:val="14"/>
    <w:qFormat/>
    <w:locked/>
    <w:uiPriority w:val="0"/>
    <w:rPr>
      <w:i/>
    </w:rPr>
  </w:style>
  <w:style w:type="character" w:styleId="16">
    <w:name w:val="Hyperlink"/>
    <w:basedOn w:val="14"/>
    <w:qFormat/>
    <w:uiPriority w:val="0"/>
    <w:rPr>
      <w:color w:val="0000FF"/>
      <w:u w:val="single"/>
    </w:rPr>
  </w:style>
  <w:style w:type="paragraph" w:customStyle="1" w:styleId="17">
    <w:name w:val="表格内"/>
    <w:basedOn w:val="1"/>
    <w:qFormat/>
    <w:uiPriority w:val="0"/>
    <w:pPr>
      <w:adjustRightInd w:val="0"/>
      <w:snapToGrid w:val="0"/>
      <w:spacing w:line="240" w:lineRule="auto"/>
      <w:ind w:firstLine="0" w:firstLineChars="0"/>
      <w:jc w:val="center"/>
    </w:pPr>
    <w:rPr>
      <w:snapToGrid w:val="0"/>
      <w:kern w:val="0"/>
      <w:sz w:val="21"/>
      <w:szCs w:val="21"/>
    </w:rPr>
  </w:style>
  <w:style w:type="paragraph" w:customStyle="1" w:styleId="18">
    <w:name w:val="表格标题"/>
    <w:basedOn w:val="1"/>
    <w:qFormat/>
    <w:uiPriority w:val="0"/>
    <w:pPr>
      <w:spacing w:line="540" w:lineRule="exact"/>
      <w:ind w:firstLine="0" w:firstLineChars="0"/>
    </w:pPr>
    <w:rPr>
      <w:rFonts w:ascii="黑体" w:hAnsi="宋体" w:eastAsia="黑体"/>
      <w:kern w:val="0"/>
      <w:sz w:val="28"/>
      <w:szCs w:val="20"/>
    </w:rPr>
  </w:style>
  <w:style w:type="table" w:customStyle="1" w:styleId="19">
    <w:name w:val="Table Normal"/>
    <w:basedOn w:val="12"/>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宋体" w:hAnsi="宋体" w:eastAsia="宋体" w:cs="宋体"/>
      <w:sz w:val="24"/>
      <w:szCs w:val="24"/>
      <w:lang w:val="en-US" w:eastAsia="en-US" w:bidi="ar-SA"/>
    </w:rPr>
  </w:style>
  <w:style w:type="character" w:customStyle="1" w:styleId="21">
    <w:name w:val="标题 1 Char"/>
    <w:link w:val="3"/>
    <w:qFormat/>
    <w:uiPriority w:val="0"/>
    <w:rPr>
      <w:rFonts w:eastAsia="黑体"/>
      <w:b/>
      <w:bCs/>
      <w:color w:val="000000"/>
      <w:kern w:val="44"/>
      <w:sz w:val="21"/>
      <w:szCs w:val="30"/>
    </w:rPr>
  </w:style>
  <w:style w:type="paragraph" w:customStyle="1" w:styleId="22">
    <w:name w:val="表内文字"/>
    <w:basedOn w:val="1"/>
    <w:qFormat/>
    <w:uiPriority w:val="0"/>
    <w:pPr>
      <w:spacing w:line="240" w:lineRule="auto"/>
      <w:ind w:firstLine="0" w:firstLineChars="0"/>
      <w:jc w:val="center"/>
    </w:pPr>
    <w:rPr>
      <w:rFonts w:ascii="仿宋_GB2312"/>
      <w:color w:val="FF0000"/>
      <w:sz w:val="21"/>
      <w:szCs w:val="21"/>
    </w:rPr>
  </w:style>
  <w:style w:type="paragraph" w:customStyle="1" w:styleId="23">
    <w:name w:val="Default"/>
    <w:basedOn w:val="24"/>
    <w:next w:val="1"/>
    <w:qFormat/>
    <w:uiPriority w:val="0"/>
    <w:pPr>
      <w:widowControl w:val="0"/>
      <w:tabs>
        <w:tab w:val="left" w:pos="2760"/>
      </w:tabs>
      <w:autoSpaceDE w:val="0"/>
      <w:autoSpaceDN w:val="0"/>
      <w:adjustRightInd w:val="0"/>
    </w:pPr>
    <w:rPr>
      <w:rFonts w:ascii="隶书" w:eastAsia="隶书" w:cs="隶书"/>
      <w:color w:val="000000"/>
      <w:sz w:val="24"/>
      <w:szCs w:val="24"/>
      <w:lang w:val="en-US" w:eastAsia="zh-CN" w:bidi="ar-SA"/>
    </w:rPr>
  </w:style>
  <w:style w:type="paragraph" w:customStyle="1" w:styleId="24">
    <w:name w:val="纯文本1"/>
    <w:basedOn w:val="1"/>
    <w:qFormat/>
    <w:uiPriority w:val="0"/>
    <w:pPr>
      <w:tabs>
        <w:tab w:val="left" w:pos="2760"/>
      </w:tabs>
      <w:adjustRightInd w:val="0"/>
    </w:pPr>
    <w:rPr>
      <w:rFonts w:ascii="宋体" w:hAnsi="Courier New"/>
      <w:szCs w:val="20"/>
    </w:rPr>
  </w:style>
  <w:style w:type="paragraph" w:customStyle="1" w:styleId="25">
    <w:name w:val="0正文"/>
    <w:basedOn w:val="1"/>
    <w:qFormat/>
    <w:uiPriority w:val="99"/>
    <w:pPr>
      <w:adjustRightInd w:val="0"/>
      <w:snapToGrid w:val="0"/>
      <w:spacing w:line="360" w:lineRule="auto"/>
      <w:ind w:firstLine="480" w:firstLineChars="20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89</Pages>
  <Words>58187</Words>
  <Characters>62350</Characters>
  <Lines>250</Lines>
  <Paragraphs>70</Paragraphs>
  <TotalTime>2</TotalTime>
  <ScaleCrop>false</ScaleCrop>
  <LinksUpToDate>false</LinksUpToDate>
  <CharactersWithSpaces>62487</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tt</cp:lastModifiedBy>
  <cp:lastPrinted>2020-12-24T01:50:00Z</cp:lastPrinted>
  <dcterms:modified xsi:type="dcterms:W3CDTF">2024-05-28T04:13:59Z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64CC6868E7224CA98FA6A13CA15CD543_13</vt:lpwstr>
  </property>
</Properties>
</file>