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eastAsia="仿宋_GB2312"/>
          <w:b/>
          <w:kern w:val="0"/>
          <w:sz w:val="52"/>
          <w:szCs w:val="52"/>
        </w:rPr>
      </w:pPr>
    </w:p>
    <w:p>
      <w:pPr>
        <w:spacing w:line="560" w:lineRule="exact"/>
        <w:rPr>
          <w:rFonts w:eastAsia="仿宋_GB2312"/>
          <w:b/>
          <w:kern w:val="0"/>
          <w:sz w:val="52"/>
          <w:szCs w:val="52"/>
        </w:rPr>
      </w:pPr>
    </w:p>
    <w:p>
      <w:pPr>
        <w:spacing w:line="560" w:lineRule="exact"/>
        <w:rPr>
          <w:rFonts w:eastAsia="仿宋_GB2312"/>
          <w:b/>
          <w:kern w:val="0"/>
          <w:sz w:val="52"/>
          <w:szCs w:val="52"/>
        </w:rPr>
      </w:pPr>
    </w:p>
    <w:p>
      <w:pPr>
        <w:spacing w:line="560" w:lineRule="exact"/>
        <w:rPr>
          <w:rFonts w:eastAsia="仿宋_GB2312"/>
          <w:b/>
          <w:kern w:val="0"/>
          <w:sz w:val="52"/>
          <w:szCs w:val="52"/>
        </w:rPr>
      </w:pPr>
    </w:p>
    <w:p>
      <w:pPr>
        <w:spacing w:line="560" w:lineRule="exact"/>
        <w:rPr>
          <w:rFonts w:eastAsia="仿宋_GB2312"/>
          <w:b/>
          <w:kern w:val="0"/>
          <w:sz w:val="52"/>
          <w:szCs w:val="52"/>
        </w:rPr>
      </w:pPr>
    </w:p>
    <w:p>
      <w:pPr>
        <w:spacing w:line="560" w:lineRule="exact"/>
        <w:jc w:val="center"/>
        <w:rPr>
          <w:rFonts w:ascii="方正小标宋简体" w:eastAsia="方正小标宋简体"/>
          <w:kern w:val="0"/>
          <w:sz w:val="52"/>
          <w:szCs w:val="52"/>
        </w:rPr>
      </w:pPr>
      <w:r>
        <w:rPr>
          <w:rFonts w:hint="eastAsia" w:ascii="方正小标宋简体" w:eastAsia="方正小标宋简体"/>
          <w:kern w:val="0"/>
          <w:sz w:val="52"/>
          <w:szCs w:val="52"/>
        </w:rPr>
        <w:t>伊犁州医疗保险支出</w:t>
      </w:r>
    </w:p>
    <w:p>
      <w:pPr>
        <w:spacing w:line="560" w:lineRule="exact"/>
        <w:jc w:val="center"/>
        <w:rPr>
          <w:rFonts w:ascii="方正小标宋简体" w:eastAsia="方正小标宋简体"/>
          <w:kern w:val="0"/>
          <w:sz w:val="52"/>
          <w:szCs w:val="52"/>
        </w:rPr>
      </w:pPr>
      <w:r>
        <w:rPr>
          <w:rFonts w:hint="eastAsia" w:ascii="方正小标宋简体" w:eastAsia="方正小标宋简体"/>
          <w:kern w:val="0"/>
          <w:sz w:val="52"/>
          <w:szCs w:val="52"/>
        </w:rPr>
        <w:t>绩效评价报告</w:t>
      </w:r>
    </w:p>
    <w:p>
      <w:pPr>
        <w:spacing w:line="560" w:lineRule="exact"/>
        <w:rPr>
          <w:rFonts w:eastAsia="仿宋_GB2312"/>
          <w:b/>
          <w:kern w:val="0"/>
          <w:sz w:val="52"/>
          <w:szCs w:val="52"/>
        </w:rPr>
      </w:pPr>
    </w:p>
    <w:p>
      <w:pPr>
        <w:spacing w:line="560" w:lineRule="exact"/>
        <w:jc w:val="center"/>
        <w:rPr>
          <w:rFonts w:eastAsia="仿宋_GB2312"/>
          <w:kern w:val="0"/>
          <w:sz w:val="36"/>
          <w:szCs w:val="36"/>
        </w:rPr>
      </w:pPr>
      <w:r>
        <w:rPr>
          <w:rFonts w:eastAsia="仿宋_GB2312"/>
          <w:kern w:val="0"/>
          <w:sz w:val="36"/>
          <w:szCs w:val="36"/>
        </w:rPr>
        <w:t>（2019年度）</w:t>
      </w:r>
    </w:p>
    <w:p>
      <w:pPr>
        <w:spacing w:line="560" w:lineRule="exact"/>
        <w:rPr>
          <w:rFonts w:eastAsia="仿宋_GB2312"/>
          <w:kern w:val="0"/>
          <w:sz w:val="30"/>
          <w:szCs w:val="30"/>
        </w:rPr>
      </w:pPr>
    </w:p>
    <w:p>
      <w:pPr>
        <w:spacing w:line="560" w:lineRule="exact"/>
        <w:rPr>
          <w:rFonts w:eastAsia="仿宋_GB2312"/>
          <w:kern w:val="0"/>
          <w:sz w:val="30"/>
          <w:szCs w:val="30"/>
        </w:rPr>
      </w:pPr>
    </w:p>
    <w:p>
      <w:pPr>
        <w:spacing w:line="560" w:lineRule="exact"/>
        <w:rPr>
          <w:rFonts w:eastAsia="仿宋_GB2312"/>
          <w:kern w:val="0"/>
          <w:sz w:val="30"/>
          <w:szCs w:val="30"/>
        </w:rPr>
      </w:pPr>
    </w:p>
    <w:p>
      <w:pPr>
        <w:spacing w:line="560" w:lineRule="exact"/>
        <w:rPr>
          <w:rFonts w:eastAsia="仿宋_GB2312"/>
          <w:kern w:val="0"/>
          <w:sz w:val="30"/>
          <w:szCs w:val="30"/>
        </w:rPr>
      </w:pPr>
    </w:p>
    <w:p>
      <w:pPr>
        <w:spacing w:line="560" w:lineRule="exact"/>
        <w:rPr>
          <w:rFonts w:eastAsia="仿宋_GB2312"/>
          <w:kern w:val="0"/>
          <w:sz w:val="30"/>
          <w:szCs w:val="30"/>
        </w:rPr>
      </w:pPr>
    </w:p>
    <w:p>
      <w:pPr>
        <w:spacing w:line="560" w:lineRule="exact"/>
        <w:rPr>
          <w:rFonts w:eastAsia="仿宋_GB2312"/>
          <w:kern w:val="0"/>
          <w:sz w:val="30"/>
          <w:szCs w:val="30"/>
        </w:rPr>
      </w:pPr>
    </w:p>
    <w:p>
      <w:pPr>
        <w:spacing w:line="560" w:lineRule="exact"/>
        <w:rPr>
          <w:rFonts w:eastAsia="仿宋_GB2312"/>
          <w:kern w:val="0"/>
          <w:sz w:val="30"/>
          <w:szCs w:val="30"/>
        </w:rPr>
      </w:pPr>
    </w:p>
    <w:p>
      <w:pPr>
        <w:spacing w:line="560" w:lineRule="exact"/>
        <w:rPr>
          <w:rFonts w:eastAsia="仿宋_GB2312"/>
          <w:kern w:val="0"/>
          <w:sz w:val="30"/>
          <w:szCs w:val="30"/>
        </w:rPr>
      </w:pPr>
    </w:p>
    <w:p>
      <w:pPr>
        <w:spacing w:line="560" w:lineRule="exact"/>
        <w:ind w:firstLine="900" w:firstLineChars="250"/>
        <w:jc w:val="left"/>
        <w:rPr>
          <w:rFonts w:eastAsia="仿宋_GB2312"/>
          <w:kern w:val="0"/>
          <w:sz w:val="36"/>
          <w:szCs w:val="36"/>
        </w:rPr>
      </w:pPr>
      <w:r>
        <w:rPr>
          <w:rFonts w:eastAsia="仿宋_GB2312"/>
          <w:kern w:val="0"/>
          <w:sz w:val="36"/>
          <w:szCs w:val="36"/>
        </w:rPr>
        <w:t>项目名称：</w:t>
      </w:r>
      <w:r>
        <w:rPr>
          <w:rFonts w:eastAsia="楷体_GB2312"/>
          <w:kern w:val="0"/>
          <w:sz w:val="36"/>
          <w:szCs w:val="36"/>
        </w:rPr>
        <w:t>医疗保险基金支出</w:t>
      </w:r>
    </w:p>
    <w:p>
      <w:pPr>
        <w:spacing w:line="560" w:lineRule="exact"/>
        <w:ind w:firstLine="900" w:firstLineChars="250"/>
        <w:jc w:val="left"/>
        <w:rPr>
          <w:rFonts w:eastAsia="仿宋_GB2312"/>
          <w:kern w:val="0"/>
          <w:sz w:val="36"/>
          <w:szCs w:val="36"/>
        </w:rPr>
      </w:pPr>
      <w:r>
        <w:rPr>
          <w:rFonts w:eastAsia="仿宋_GB2312"/>
          <w:kern w:val="0"/>
          <w:sz w:val="36"/>
          <w:szCs w:val="36"/>
        </w:rPr>
        <w:t>实施单位（公章）：</w:t>
      </w:r>
      <w:r>
        <w:rPr>
          <w:rFonts w:eastAsia="楷体_GB2312"/>
          <w:kern w:val="0"/>
          <w:sz w:val="36"/>
          <w:szCs w:val="36"/>
        </w:rPr>
        <w:t>伊犁州医疗保障局</w:t>
      </w:r>
    </w:p>
    <w:p>
      <w:pPr>
        <w:spacing w:line="560" w:lineRule="exact"/>
        <w:ind w:firstLine="849" w:firstLineChars="236"/>
        <w:jc w:val="left"/>
        <w:rPr>
          <w:rFonts w:eastAsia="仿宋_GB2312"/>
          <w:kern w:val="0"/>
          <w:sz w:val="36"/>
          <w:szCs w:val="36"/>
        </w:rPr>
      </w:pPr>
      <w:r>
        <w:rPr>
          <w:rFonts w:eastAsia="仿宋_GB2312"/>
          <w:kern w:val="0"/>
          <w:sz w:val="36"/>
          <w:szCs w:val="36"/>
        </w:rPr>
        <w:t>负 责 人（签章）：</w:t>
      </w:r>
      <w:r>
        <w:rPr>
          <w:rFonts w:eastAsia="楷体_GB2312"/>
          <w:kern w:val="0"/>
          <w:sz w:val="36"/>
          <w:szCs w:val="36"/>
        </w:rPr>
        <w:t>米国军</w:t>
      </w:r>
    </w:p>
    <w:p>
      <w:pPr>
        <w:spacing w:line="560" w:lineRule="exact"/>
        <w:ind w:firstLine="849" w:firstLineChars="236"/>
        <w:jc w:val="left"/>
        <w:rPr>
          <w:rFonts w:eastAsia="仿宋_GB2312"/>
          <w:kern w:val="0"/>
          <w:sz w:val="36"/>
          <w:szCs w:val="36"/>
        </w:rPr>
      </w:pPr>
      <w:r>
        <w:rPr>
          <w:rFonts w:eastAsia="仿宋_GB2312"/>
          <w:kern w:val="0"/>
          <w:sz w:val="36"/>
          <w:szCs w:val="36"/>
        </w:rPr>
        <w:t>填报时间：</w:t>
      </w:r>
      <w:r>
        <w:rPr>
          <w:rFonts w:eastAsia="楷体_GB2312"/>
          <w:kern w:val="0"/>
          <w:sz w:val="36"/>
          <w:szCs w:val="36"/>
        </w:rPr>
        <w:t>2020年3月25日</w:t>
      </w:r>
    </w:p>
    <w:p>
      <w:pPr>
        <w:spacing w:line="560" w:lineRule="exact"/>
        <w:rPr>
          <w:rStyle w:val="19"/>
          <w:rFonts w:eastAsia="仿宋_GB2312"/>
          <w:b w:val="0"/>
          <w:spacing w:val="-4"/>
          <w:sz w:val="32"/>
          <w:szCs w:val="32"/>
        </w:rPr>
      </w:pPr>
    </w:p>
    <w:p>
      <w:pPr>
        <w:adjustRightInd w:val="0"/>
        <w:snapToGrid w:val="0"/>
        <w:spacing w:line="560" w:lineRule="exact"/>
        <w:ind w:firstLine="640"/>
        <w:rPr>
          <w:rStyle w:val="19"/>
          <w:rFonts w:eastAsia="黑体"/>
          <w:b w:val="0"/>
          <w:spacing w:val="-4"/>
          <w:sz w:val="32"/>
          <w:szCs w:val="32"/>
        </w:rPr>
      </w:pPr>
      <w:r>
        <w:rPr>
          <w:rStyle w:val="19"/>
          <w:rFonts w:hAnsi="黑体" w:eastAsia="黑体"/>
          <w:b w:val="0"/>
          <w:spacing w:val="-4"/>
          <w:sz w:val="32"/>
          <w:szCs w:val="32"/>
        </w:rPr>
        <w:t>一、医疗</w:t>
      </w:r>
      <w:r>
        <w:rPr>
          <w:rStyle w:val="19"/>
          <w:rFonts w:hint="eastAsia" w:hAnsi="黑体" w:eastAsia="黑体"/>
          <w:b w:val="0"/>
          <w:spacing w:val="-4"/>
          <w:sz w:val="32"/>
          <w:szCs w:val="32"/>
        </w:rPr>
        <w:t>保障</w:t>
      </w:r>
      <w:r>
        <w:rPr>
          <w:rStyle w:val="19"/>
          <w:rFonts w:hAnsi="黑体" w:eastAsia="黑体"/>
          <w:b w:val="0"/>
          <w:spacing w:val="-4"/>
          <w:sz w:val="32"/>
          <w:szCs w:val="32"/>
        </w:rPr>
        <w:t>基金收支余总体情况</w:t>
      </w:r>
    </w:p>
    <w:p>
      <w:pPr>
        <w:adjustRightInd w:val="0"/>
        <w:snapToGrid w:val="0"/>
        <w:spacing w:line="560" w:lineRule="exact"/>
        <w:ind w:firstLine="567"/>
        <w:rPr>
          <w:rStyle w:val="19"/>
          <w:rFonts w:ascii="楷体_GB2312" w:eastAsia="楷体_GB2312"/>
          <w:spacing w:val="-4"/>
          <w:sz w:val="32"/>
          <w:szCs w:val="32"/>
        </w:rPr>
      </w:pPr>
      <w:r>
        <w:rPr>
          <w:rStyle w:val="19"/>
          <w:rFonts w:hint="eastAsia" w:ascii="楷体_GB2312" w:eastAsia="楷体_GB2312"/>
          <w:spacing w:val="-4"/>
          <w:sz w:val="32"/>
          <w:szCs w:val="32"/>
        </w:rPr>
        <w:t>（一）医疗保险基金总体情况</w:t>
      </w:r>
    </w:p>
    <w:p>
      <w:pPr>
        <w:tabs>
          <w:tab w:val="left" w:pos="0"/>
        </w:tabs>
        <w:adjustRightInd w:val="0"/>
        <w:snapToGrid w:val="0"/>
        <w:spacing w:line="560" w:lineRule="exact"/>
        <w:ind w:firstLine="640" w:firstLineChars="200"/>
        <w:rPr>
          <w:rFonts w:ascii="仿宋_GB2312" w:eastAsia="仿宋_GB2312"/>
          <w:sz w:val="32"/>
          <w:szCs w:val="32"/>
        </w:rPr>
      </w:pPr>
      <w:r>
        <w:rPr>
          <w:rFonts w:eastAsia="仿宋_GB2312"/>
          <w:sz w:val="32"/>
          <w:szCs w:val="32"/>
        </w:rPr>
        <w:t>2019年，</w:t>
      </w:r>
      <w:r>
        <w:rPr>
          <w:rFonts w:eastAsia="仿宋_GB2312"/>
          <w:snapToGrid w:val="0"/>
          <w:sz w:val="32"/>
          <w:szCs w:val="32"/>
        </w:rPr>
        <w:t>伊犁州党委、政府高度重视医疗保障工作，始终坚持</w:t>
      </w:r>
      <w:r>
        <w:rPr>
          <w:rFonts w:eastAsia="仿宋_GB2312"/>
          <w:bCs/>
          <w:snapToGrid w:val="0"/>
          <w:sz w:val="32"/>
          <w:szCs w:val="32"/>
        </w:rPr>
        <w:t>以习近平新时代中国特色社会主义思想为指导，牢固树立</w:t>
      </w:r>
      <w:bookmarkStart w:id="8" w:name="_GoBack"/>
      <w:bookmarkEnd w:id="8"/>
      <w:r>
        <w:rPr>
          <w:rFonts w:eastAsia="仿宋_GB2312"/>
          <w:snapToGrid w:val="0"/>
          <w:sz w:val="32"/>
          <w:szCs w:val="32"/>
        </w:rPr>
        <w:t>以人民为中心的发展思想，下大力气突出练好“三功”</w:t>
      </w:r>
      <w:r>
        <w:rPr>
          <w:rFonts w:hint="eastAsia" w:eastAsia="仿宋_GB2312"/>
          <w:snapToGrid w:val="0"/>
          <w:sz w:val="32"/>
          <w:szCs w:val="32"/>
        </w:rPr>
        <w:t>（</w:t>
      </w:r>
      <w:r>
        <w:rPr>
          <w:rFonts w:eastAsia="仿宋_GB2312"/>
          <w:snapToGrid w:val="0"/>
          <w:sz w:val="32"/>
          <w:szCs w:val="32"/>
        </w:rPr>
        <w:t>政策规范、资源利用、管理创新</w:t>
      </w:r>
      <w:r>
        <w:rPr>
          <w:rFonts w:hint="eastAsia" w:eastAsia="仿宋_GB2312"/>
          <w:snapToGrid w:val="0"/>
          <w:sz w:val="32"/>
          <w:szCs w:val="32"/>
        </w:rPr>
        <w:t>）</w:t>
      </w:r>
      <w:r>
        <w:rPr>
          <w:rFonts w:eastAsia="仿宋_GB2312"/>
          <w:snapToGrid w:val="0"/>
          <w:sz w:val="32"/>
          <w:szCs w:val="32"/>
        </w:rPr>
        <w:t>，不断夯实基础，完善各项制度，持续强化管理，努力提高各族群众健康的获得感、幸福感。</w:t>
      </w:r>
      <w:r>
        <w:rPr>
          <w:rFonts w:eastAsia="仿宋_GB2312"/>
          <w:sz w:val="32"/>
          <w:szCs w:val="32"/>
        </w:rPr>
        <w:t>州直各级</w:t>
      </w:r>
      <w:r>
        <w:rPr>
          <w:rFonts w:hint="eastAsia" w:eastAsia="仿宋_GB2312"/>
          <w:sz w:val="32"/>
          <w:szCs w:val="32"/>
        </w:rPr>
        <w:t>医疗</w:t>
      </w:r>
      <w:r>
        <w:rPr>
          <w:rFonts w:eastAsia="仿宋_GB2312"/>
          <w:sz w:val="32"/>
          <w:szCs w:val="32"/>
        </w:rPr>
        <w:t>保障部门按照</w:t>
      </w:r>
      <w:r>
        <w:rPr>
          <w:rFonts w:hint="eastAsia" w:eastAsia="仿宋_GB2312"/>
          <w:sz w:val="32"/>
          <w:szCs w:val="32"/>
        </w:rPr>
        <w:t>国家、</w:t>
      </w:r>
      <w:r>
        <w:rPr>
          <w:rFonts w:eastAsia="仿宋_GB2312"/>
          <w:sz w:val="32"/>
          <w:szCs w:val="32"/>
        </w:rPr>
        <w:t>自治区医疗</w:t>
      </w:r>
      <w:r>
        <w:rPr>
          <w:rFonts w:hint="eastAsia" w:eastAsia="仿宋_GB2312"/>
          <w:sz w:val="32"/>
          <w:szCs w:val="32"/>
        </w:rPr>
        <w:t>保障</w:t>
      </w:r>
      <w:r>
        <w:rPr>
          <w:rFonts w:eastAsia="仿宋_GB2312"/>
          <w:sz w:val="32"/>
          <w:szCs w:val="32"/>
        </w:rPr>
        <w:t>工作要点，</w:t>
      </w:r>
      <w:r>
        <w:rPr>
          <w:rFonts w:hint="eastAsia" w:eastAsia="仿宋_GB2312"/>
          <w:sz w:val="32"/>
          <w:szCs w:val="32"/>
        </w:rPr>
        <w:t>切实强化预决算管理，规范优化收支和经办流程，加强医保基金监管，</w:t>
      </w:r>
      <w:r>
        <w:rPr>
          <w:rFonts w:eastAsia="仿宋_GB2312"/>
          <w:sz w:val="32"/>
          <w:szCs w:val="32"/>
        </w:rPr>
        <w:t>确保</w:t>
      </w:r>
      <w:r>
        <w:rPr>
          <w:rFonts w:hint="eastAsia" w:eastAsia="仿宋_GB2312"/>
          <w:sz w:val="32"/>
          <w:szCs w:val="32"/>
        </w:rPr>
        <w:t>医保基金</w:t>
      </w:r>
      <w:r>
        <w:rPr>
          <w:rFonts w:eastAsia="仿宋_GB2312"/>
          <w:sz w:val="32"/>
          <w:szCs w:val="32"/>
        </w:rPr>
        <w:t>基金安全</w:t>
      </w:r>
      <w:r>
        <w:rPr>
          <w:rFonts w:hint="eastAsia" w:eastAsia="仿宋_GB2312"/>
          <w:sz w:val="32"/>
          <w:szCs w:val="32"/>
        </w:rPr>
        <w:t>和可持续，有效发挥</w:t>
      </w:r>
      <w:r>
        <w:rPr>
          <w:rFonts w:hint="eastAsia" w:ascii="仿宋_GB2312" w:eastAsia="仿宋_GB2312"/>
          <w:snapToGrid w:val="0"/>
          <w:sz w:val="32"/>
          <w:szCs w:val="32"/>
        </w:rPr>
        <w:t>医疗保障是事关人民健康福祉的重大民生工程、是实现社会稳定的重要压舱石、是构建和谐社会的重要减压阀的功能作用。</w:t>
      </w:r>
    </w:p>
    <w:p>
      <w:pPr>
        <w:adjustRightInd w:val="0"/>
        <w:snapToGrid w:val="0"/>
        <w:spacing w:line="560" w:lineRule="exact"/>
        <w:ind w:firstLine="659" w:firstLineChars="205"/>
        <w:rPr>
          <w:rFonts w:eastAsia="仿宋_GB2312"/>
          <w:b/>
          <w:bCs/>
          <w:sz w:val="32"/>
          <w:szCs w:val="32"/>
        </w:rPr>
      </w:pPr>
      <w:r>
        <w:rPr>
          <w:rFonts w:eastAsia="仿宋_GB2312"/>
          <w:b/>
          <w:bCs/>
          <w:sz w:val="32"/>
          <w:szCs w:val="32"/>
        </w:rPr>
        <w:t>1.城镇职工基本医疗保险基金</w:t>
      </w:r>
    </w:p>
    <w:p>
      <w:pPr>
        <w:adjustRightInd w:val="0"/>
        <w:snapToGrid w:val="0"/>
        <w:spacing w:line="560" w:lineRule="exact"/>
        <w:ind w:firstLine="640" w:firstLineChars="200"/>
        <w:rPr>
          <w:rFonts w:eastAsia="仿宋_GB2312"/>
          <w:sz w:val="32"/>
          <w:szCs w:val="32"/>
        </w:rPr>
      </w:pPr>
      <w:r>
        <w:rPr>
          <w:rFonts w:eastAsia="仿宋_GB2312"/>
          <w:sz w:val="32"/>
          <w:szCs w:val="32"/>
        </w:rPr>
        <w:t>2019年底，州直城镇职工基本医疗保险基金资产总计245202万元。其中，支出户存款50572万元，财政专户存款189195万元，暂付款（异地就医预付金）5435万元。负债总计1万元，全部为暂收款。</w:t>
      </w:r>
    </w:p>
    <w:p>
      <w:pPr>
        <w:adjustRightInd w:val="0"/>
        <w:snapToGrid w:val="0"/>
        <w:spacing w:line="560" w:lineRule="exact"/>
        <w:ind w:firstLine="640" w:firstLineChars="200"/>
        <w:rPr>
          <w:rFonts w:eastAsia="仿宋_GB2312"/>
          <w:sz w:val="32"/>
          <w:szCs w:val="32"/>
        </w:rPr>
      </w:pPr>
      <w:r>
        <w:rPr>
          <w:rFonts w:eastAsia="仿宋_GB2312"/>
          <w:sz w:val="32"/>
          <w:szCs w:val="32"/>
        </w:rPr>
        <w:t>2</w:t>
      </w:r>
      <w:r>
        <w:rPr>
          <w:rFonts w:eastAsia="仿宋_GB2312"/>
          <w:spacing w:val="-6"/>
          <w:sz w:val="32"/>
          <w:szCs w:val="32"/>
        </w:rPr>
        <w:t>019年，州直城镇职工基本医疗保险基金总收入196816万元，总支出147841万元，当年结余48975万元，累计结余245201万元</w:t>
      </w:r>
      <w:r>
        <w:rPr>
          <w:rFonts w:eastAsia="仿宋_GB2312"/>
          <w:sz w:val="32"/>
          <w:szCs w:val="32"/>
        </w:rPr>
        <w:t>。</w:t>
      </w:r>
    </w:p>
    <w:p>
      <w:pPr>
        <w:adjustRightInd w:val="0"/>
        <w:snapToGrid w:val="0"/>
        <w:spacing w:line="560" w:lineRule="exact"/>
        <w:ind w:firstLine="659" w:firstLineChars="205"/>
        <w:rPr>
          <w:rFonts w:eastAsia="仿宋_GB2312"/>
          <w:b/>
          <w:bCs/>
          <w:sz w:val="32"/>
          <w:szCs w:val="32"/>
        </w:rPr>
      </w:pPr>
      <w:r>
        <w:rPr>
          <w:rFonts w:eastAsia="仿宋_GB2312"/>
          <w:b/>
          <w:bCs/>
          <w:sz w:val="32"/>
          <w:szCs w:val="32"/>
        </w:rPr>
        <w:t>2.城乡居民基本医疗保险基金</w:t>
      </w:r>
    </w:p>
    <w:p>
      <w:pPr>
        <w:adjustRightInd w:val="0"/>
        <w:snapToGrid w:val="0"/>
        <w:spacing w:line="560" w:lineRule="exact"/>
        <w:ind w:firstLine="640" w:firstLineChars="200"/>
        <w:rPr>
          <w:rFonts w:eastAsia="仿宋_GB2312"/>
          <w:sz w:val="32"/>
          <w:szCs w:val="32"/>
        </w:rPr>
      </w:pPr>
      <w:r>
        <w:rPr>
          <w:rFonts w:eastAsia="仿宋_GB2312"/>
          <w:sz w:val="32"/>
          <w:szCs w:val="32"/>
        </w:rPr>
        <w:t>2019年底，州直城乡居民基本医疗保险基金资产总计116047万元。其中，支出户存款20435万元，财政专户存款95611万元，暂付款0.24万元，无负债。</w:t>
      </w:r>
    </w:p>
    <w:p>
      <w:pPr>
        <w:adjustRightInd w:val="0"/>
        <w:snapToGrid w:val="0"/>
        <w:spacing w:line="560" w:lineRule="exact"/>
        <w:ind w:firstLine="640" w:firstLineChars="200"/>
        <w:rPr>
          <w:rFonts w:eastAsia="仿宋_GB2312"/>
          <w:sz w:val="32"/>
          <w:szCs w:val="32"/>
        </w:rPr>
      </w:pPr>
      <w:r>
        <w:rPr>
          <w:rFonts w:eastAsia="仿宋_GB2312"/>
          <w:sz w:val="32"/>
          <w:szCs w:val="32"/>
        </w:rPr>
        <w:t>2</w:t>
      </w:r>
      <w:r>
        <w:rPr>
          <w:rFonts w:eastAsia="仿宋_GB2312"/>
          <w:spacing w:val="-6"/>
          <w:sz w:val="32"/>
          <w:szCs w:val="32"/>
        </w:rPr>
        <w:t>019年，州直城乡居民基本医疗保险基金总收入148514万元，总支出130090万元，当年结余18424万元，累计结余116053万元。</w:t>
      </w:r>
    </w:p>
    <w:p>
      <w:pPr>
        <w:adjustRightInd w:val="0"/>
        <w:snapToGrid w:val="0"/>
        <w:spacing w:line="560" w:lineRule="exact"/>
        <w:ind w:firstLine="659" w:firstLineChars="205"/>
        <w:rPr>
          <w:rFonts w:eastAsia="仿宋_GB2312"/>
          <w:b/>
          <w:bCs/>
          <w:sz w:val="32"/>
          <w:szCs w:val="32"/>
        </w:rPr>
      </w:pPr>
      <w:r>
        <w:rPr>
          <w:rFonts w:eastAsia="仿宋_GB2312"/>
          <w:b/>
          <w:bCs/>
          <w:sz w:val="32"/>
          <w:szCs w:val="32"/>
        </w:rPr>
        <w:t>3.生育保险基金</w:t>
      </w:r>
    </w:p>
    <w:p>
      <w:pPr>
        <w:adjustRightInd w:val="0"/>
        <w:snapToGrid w:val="0"/>
        <w:spacing w:line="560" w:lineRule="exact"/>
        <w:ind w:firstLine="640" w:firstLineChars="200"/>
        <w:rPr>
          <w:rFonts w:eastAsia="仿宋_GB2312"/>
          <w:sz w:val="32"/>
          <w:szCs w:val="32"/>
        </w:rPr>
      </w:pPr>
      <w:r>
        <w:rPr>
          <w:rFonts w:eastAsia="仿宋_GB2312"/>
          <w:sz w:val="32"/>
          <w:szCs w:val="32"/>
        </w:rPr>
        <w:t>2</w:t>
      </w:r>
      <w:r>
        <w:rPr>
          <w:rFonts w:eastAsia="仿宋_GB2312"/>
          <w:spacing w:val="-8"/>
          <w:sz w:val="32"/>
          <w:szCs w:val="32"/>
        </w:rPr>
        <w:t>019年底，州直生育保险基金资产总计21474万元。其中，支出户存款875万元，财政专户存款20599万元，无暂付款，无负债。</w:t>
      </w:r>
    </w:p>
    <w:p>
      <w:pPr>
        <w:adjustRightInd w:val="0"/>
        <w:snapToGrid w:val="0"/>
        <w:spacing w:line="560" w:lineRule="exact"/>
        <w:ind w:firstLine="640" w:firstLineChars="200"/>
        <w:rPr>
          <w:rFonts w:eastAsia="仿宋_GB2312"/>
          <w:sz w:val="32"/>
          <w:szCs w:val="32"/>
        </w:rPr>
      </w:pPr>
      <w:r>
        <w:rPr>
          <w:rFonts w:eastAsia="仿宋_GB2312"/>
          <w:sz w:val="32"/>
          <w:szCs w:val="32"/>
        </w:rPr>
        <w:t>2019年，州直生育保险基金总收入7557万元，总支出6839万元，当年结余718万元，累计结余21474万元。</w:t>
      </w:r>
    </w:p>
    <w:p>
      <w:pPr>
        <w:adjustRightInd w:val="0"/>
        <w:snapToGrid w:val="0"/>
        <w:spacing w:line="560" w:lineRule="exact"/>
        <w:ind w:firstLine="567"/>
        <w:rPr>
          <w:rStyle w:val="19"/>
          <w:rFonts w:eastAsia="仿宋_GB2312"/>
          <w:spacing w:val="-4"/>
          <w:sz w:val="32"/>
          <w:szCs w:val="32"/>
        </w:rPr>
      </w:pPr>
      <w:r>
        <w:rPr>
          <w:rStyle w:val="19"/>
          <w:rFonts w:eastAsia="仿宋_GB2312"/>
          <w:spacing w:val="-4"/>
          <w:sz w:val="32"/>
          <w:szCs w:val="32"/>
        </w:rPr>
        <w:t>（二）医疗保险基金支出预算绩效目标设定情况</w:t>
      </w:r>
    </w:p>
    <w:p>
      <w:pPr>
        <w:adjustRightInd w:val="0"/>
        <w:snapToGrid w:val="0"/>
        <w:spacing w:line="560" w:lineRule="exact"/>
        <w:ind w:firstLine="640" w:firstLineChars="200"/>
        <w:rPr>
          <w:rFonts w:eastAsia="仿宋_GB2312"/>
          <w:sz w:val="32"/>
          <w:szCs w:val="32"/>
        </w:rPr>
      </w:pPr>
      <w:r>
        <w:rPr>
          <w:rFonts w:eastAsia="仿宋_GB2312"/>
          <w:sz w:val="32"/>
          <w:szCs w:val="32"/>
        </w:rPr>
        <w:t>2019年初，城镇职工医疗保险、城乡居民医疗保险、生育保险三项医疗保险项目设定支出绩效目标值。</w:t>
      </w:r>
    </w:p>
    <w:p>
      <w:pPr>
        <w:adjustRightInd w:val="0"/>
        <w:snapToGrid w:val="0"/>
        <w:spacing w:line="560" w:lineRule="exact"/>
        <w:ind w:firstLine="640"/>
        <w:rPr>
          <w:rFonts w:eastAsia="仿宋_GB2312"/>
          <w:sz w:val="32"/>
          <w:szCs w:val="32"/>
        </w:rPr>
      </w:pPr>
      <w:r>
        <w:rPr>
          <w:rFonts w:eastAsia="仿宋_GB2312"/>
          <w:sz w:val="32"/>
          <w:szCs w:val="32"/>
        </w:rPr>
        <w:t>2019年预算伊犁州</w:t>
      </w:r>
      <w:r>
        <w:rPr>
          <w:rFonts w:eastAsia="仿宋_GB2312"/>
          <w:b/>
          <w:bCs/>
          <w:sz w:val="32"/>
          <w:szCs w:val="32"/>
        </w:rPr>
        <w:t>城镇职工医</w:t>
      </w:r>
      <w:r>
        <w:rPr>
          <w:rFonts w:hint="eastAsia" w:eastAsia="仿宋_GB2312"/>
          <w:b/>
          <w:bCs/>
          <w:sz w:val="32"/>
          <w:szCs w:val="32"/>
        </w:rPr>
        <w:t>保</w:t>
      </w:r>
      <w:r>
        <w:rPr>
          <w:rFonts w:eastAsia="仿宋_GB2312"/>
          <w:b/>
          <w:bCs/>
          <w:sz w:val="32"/>
          <w:szCs w:val="32"/>
        </w:rPr>
        <w:t>基金</w:t>
      </w:r>
      <w:r>
        <w:rPr>
          <w:rFonts w:eastAsia="仿宋_GB2312"/>
          <w:sz w:val="32"/>
          <w:szCs w:val="32"/>
        </w:rPr>
        <w:t>总支出147736万元，其中</w:t>
      </w:r>
      <w:r>
        <w:rPr>
          <w:rFonts w:hint="eastAsia" w:eastAsia="仿宋_GB2312"/>
          <w:sz w:val="32"/>
          <w:szCs w:val="32"/>
        </w:rPr>
        <w:t>：</w:t>
      </w:r>
      <w:r>
        <w:rPr>
          <w:rFonts w:eastAsia="仿宋_GB2312"/>
          <w:sz w:val="32"/>
          <w:szCs w:val="32"/>
        </w:rPr>
        <w:t>待遇支出146635万元</w:t>
      </w:r>
      <w:r>
        <w:rPr>
          <w:rFonts w:hint="eastAsia" w:eastAsia="仿宋_GB2312"/>
          <w:sz w:val="32"/>
          <w:szCs w:val="32"/>
        </w:rPr>
        <w:t>、</w:t>
      </w:r>
      <w:r>
        <w:rPr>
          <w:rFonts w:eastAsia="仿宋_GB2312"/>
          <w:sz w:val="32"/>
          <w:szCs w:val="32"/>
        </w:rPr>
        <w:t>其他支出（职工大病保险支出）926万元</w:t>
      </w:r>
      <w:r>
        <w:rPr>
          <w:rFonts w:hint="eastAsia" w:eastAsia="仿宋_GB2312"/>
          <w:sz w:val="32"/>
          <w:szCs w:val="32"/>
        </w:rPr>
        <w:t>、</w:t>
      </w:r>
      <w:r>
        <w:rPr>
          <w:rFonts w:eastAsia="仿宋_GB2312"/>
          <w:sz w:val="32"/>
          <w:szCs w:val="32"/>
        </w:rPr>
        <w:t>转移支出175万元。</w:t>
      </w:r>
    </w:p>
    <w:p>
      <w:pPr>
        <w:adjustRightInd w:val="0"/>
        <w:snapToGrid w:val="0"/>
        <w:spacing w:line="560" w:lineRule="exact"/>
        <w:ind w:firstLine="640"/>
        <w:rPr>
          <w:rFonts w:eastAsia="仿宋_GB2312"/>
          <w:sz w:val="32"/>
          <w:szCs w:val="32"/>
        </w:rPr>
      </w:pPr>
      <w:r>
        <w:rPr>
          <w:rFonts w:eastAsia="仿宋_GB2312"/>
          <w:sz w:val="32"/>
          <w:szCs w:val="32"/>
        </w:rPr>
        <w:t>2</w:t>
      </w:r>
      <w:r>
        <w:rPr>
          <w:rFonts w:eastAsia="仿宋_GB2312"/>
          <w:spacing w:val="-6"/>
          <w:sz w:val="32"/>
          <w:szCs w:val="32"/>
        </w:rPr>
        <w:t>019年预算伊犁州</w:t>
      </w:r>
      <w:r>
        <w:rPr>
          <w:rFonts w:eastAsia="仿宋_GB2312"/>
          <w:b/>
          <w:bCs/>
          <w:spacing w:val="-6"/>
          <w:sz w:val="32"/>
          <w:szCs w:val="32"/>
        </w:rPr>
        <w:t>城乡居民医保基金</w:t>
      </w:r>
      <w:r>
        <w:rPr>
          <w:rFonts w:eastAsia="仿宋_GB2312"/>
          <w:spacing w:val="-6"/>
          <w:sz w:val="32"/>
          <w:szCs w:val="32"/>
        </w:rPr>
        <w:t>总支出109351万元，其中</w:t>
      </w:r>
      <w:r>
        <w:rPr>
          <w:rFonts w:hint="eastAsia" w:eastAsia="仿宋_GB2312"/>
          <w:spacing w:val="-6"/>
          <w:sz w:val="32"/>
          <w:szCs w:val="32"/>
        </w:rPr>
        <w:t>：</w:t>
      </w:r>
      <w:r>
        <w:rPr>
          <w:rFonts w:eastAsia="仿宋_GB2312"/>
          <w:spacing w:val="-6"/>
          <w:sz w:val="32"/>
          <w:szCs w:val="32"/>
        </w:rPr>
        <w:t>基本医疗待遇支出99383万元</w:t>
      </w:r>
      <w:r>
        <w:rPr>
          <w:rFonts w:hint="eastAsia" w:eastAsia="仿宋_GB2312"/>
          <w:spacing w:val="-6"/>
          <w:sz w:val="32"/>
          <w:szCs w:val="32"/>
        </w:rPr>
        <w:t>、</w:t>
      </w:r>
      <w:r>
        <w:rPr>
          <w:rFonts w:eastAsia="仿宋_GB2312"/>
          <w:spacing w:val="-6"/>
          <w:sz w:val="32"/>
          <w:szCs w:val="32"/>
        </w:rPr>
        <w:t>划转大病保险支出9968万元</w:t>
      </w:r>
      <w:r>
        <w:rPr>
          <w:rFonts w:eastAsia="仿宋_GB2312"/>
          <w:sz w:val="32"/>
          <w:szCs w:val="32"/>
        </w:rPr>
        <w:t>。</w:t>
      </w:r>
    </w:p>
    <w:p>
      <w:pPr>
        <w:adjustRightInd w:val="0"/>
        <w:snapToGrid w:val="0"/>
        <w:spacing w:line="560" w:lineRule="exact"/>
        <w:ind w:firstLine="640"/>
        <w:rPr>
          <w:rFonts w:eastAsia="仿宋_GB2312"/>
          <w:sz w:val="32"/>
          <w:szCs w:val="32"/>
        </w:rPr>
      </w:pPr>
      <w:r>
        <w:rPr>
          <w:rFonts w:eastAsia="仿宋_GB2312"/>
          <w:sz w:val="32"/>
          <w:szCs w:val="32"/>
        </w:rPr>
        <w:t>2019年预算伊犁州</w:t>
      </w:r>
      <w:r>
        <w:rPr>
          <w:rFonts w:eastAsia="仿宋_GB2312"/>
          <w:b/>
          <w:bCs/>
          <w:sz w:val="32"/>
          <w:szCs w:val="32"/>
        </w:rPr>
        <w:t>生育保险基金</w:t>
      </w:r>
      <w:r>
        <w:rPr>
          <w:rFonts w:eastAsia="仿宋_GB2312"/>
          <w:sz w:val="32"/>
          <w:szCs w:val="32"/>
        </w:rPr>
        <w:t>总支出5848万元，其中</w:t>
      </w:r>
      <w:r>
        <w:rPr>
          <w:rFonts w:hint="eastAsia" w:eastAsia="仿宋_GB2312"/>
          <w:sz w:val="32"/>
          <w:szCs w:val="32"/>
        </w:rPr>
        <w:t>：</w:t>
      </w:r>
      <w:r>
        <w:rPr>
          <w:rFonts w:eastAsia="仿宋_GB2312"/>
          <w:sz w:val="32"/>
          <w:szCs w:val="32"/>
        </w:rPr>
        <w:t>生育医疗费支出2211万元</w:t>
      </w:r>
      <w:r>
        <w:rPr>
          <w:rFonts w:hint="eastAsia" w:eastAsia="仿宋_GB2312"/>
          <w:sz w:val="32"/>
          <w:szCs w:val="32"/>
        </w:rPr>
        <w:t>、</w:t>
      </w:r>
      <w:r>
        <w:rPr>
          <w:rFonts w:eastAsia="仿宋_GB2312"/>
          <w:sz w:val="32"/>
          <w:szCs w:val="32"/>
        </w:rPr>
        <w:t>生育津贴支出3637万元。</w:t>
      </w:r>
    </w:p>
    <w:p>
      <w:pPr>
        <w:adjustRightInd w:val="0"/>
        <w:snapToGrid w:val="0"/>
        <w:spacing w:line="560" w:lineRule="exact"/>
        <w:ind w:firstLine="640"/>
        <w:rPr>
          <w:rFonts w:eastAsia="仿宋_GB2312"/>
          <w:sz w:val="32"/>
          <w:szCs w:val="32"/>
        </w:rPr>
      </w:pPr>
      <w:r>
        <w:rPr>
          <w:rFonts w:eastAsia="仿宋_GB2312"/>
          <w:sz w:val="32"/>
          <w:szCs w:val="32"/>
        </w:rPr>
        <w:t>2019年，伊犁州全年预算支出执行目标95%以上，待遇计算准确率</w:t>
      </w:r>
      <w:r>
        <w:rPr>
          <w:rFonts w:hint="eastAsia" w:eastAsia="仿宋_GB2312"/>
          <w:sz w:val="32"/>
          <w:szCs w:val="32"/>
        </w:rPr>
        <w:t>、</w:t>
      </w:r>
      <w:r>
        <w:rPr>
          <w:rFonts w:eastAsia="仿宋_GB2312"/>
          <w:sz w:val="32"/>
          <w:szCs w:val="32"/>
        </w:rPr>
        <w:t>参保群众满意率99%以上。</w:t>
      </w:r>
    </w:p>
    <w:p>
      <w:pPr>
        <w:adjustRightInd w:val="0"/>
        <w:snapToGrid w:val="0"/>
        <w:spacing w:line="560" w:lineRule="exact"/>
        <w:ind w:firstLine="640"/>
        <w:rPr>
          <w:rStyle w:val="19"/>
          <w:rFonts w:eastAsia="黑体"/>
          <w:b w:val="0"/>
          <w:spacing w:val="-4"/>
          <w:sz w:val="32"/>
          <w:szCs w:val="32"/>
        </w:rPr>
      </w:pPr>
      <w:r>
        <w:rPr>
          <w:rStyle w:val="19"/>
          <w:rFonts w:hAnsi="黑体" w:eastAsia="黑体"/>
          <w:b w:val="0"/>
          <w:spacing w:val="-4"/>
          <w:sz w:val="32"/>
          <w:szCs w:val="32"/>
        </w:rPr>
        <w:t>二、医疗保险基金预算完成及运行情况</w:t>
      </w:r>
    </w:p>
    <w:p>
      <w:pPr>
        <w:adjustRightInd w:val="0"/>
        <w:snapToGrid w:val="0"/>
        <w:spacing w:line="560" w:lineRule="exact"/>
        <w:ind w:firstLine="567"/>
        <w:rPr>
          <w:rStyle w:val="19"/>
          <w:rFonts w:eastAsia="仿宋_GB2312"/>
          <w:spacing w:val="-4"/>
          <w:sz w:val="32"/>
          <w:szCs w:val="32"/>
        </w:rPr>
      </w:pPr>
      <w:r>
        <w:rPr>
          <w:rStyle w:val="19"/>
          <w:rFonts w:eastAsia="仿宋_GB2312"/>
          <w:spacing w:val="-4"/>
          <w:sz w:val="32"/>
          <w:szCs w:val="32"/>
        </w:rPr>
        <w:t>（一）城镇职工基本医疗保险基预算完成及运行情况</w:t>
      </w:r>
    </w:p>
    <w:p>
      <w:pPr>
        <w:adjustRightInd w:val="0"/>
        <w:snapToGrid w:val="0"/>
        <w:spacing w:line="560" w:lineRule="exact"/>
        <w:ind w:firstLine="640" w:firstLineChars="200"/>
        <w:rPr>
          <w:rFonts w:eastAsia="仿宋_GB2312"/>
          <w:sz w:val="32"/>
          <w:szCs w:val="32"/>
        </w:rPr>
      </w:pPr>
      <w:r>
        <w:rPr>
          <w:rFonts w:eastAsia="仿宋_GB2312"/>
          <w:sz w:val="32"/>
          <w:szCs w:val="32"/>
        </w:rPr>
        <w:t>2019年</w:t>
      </w:r>
      <w:r>
        <w:rPr>
          <w:rFonts w:hint="eastAsia" w:eastAsia="仿宋_GB2312"/>
          <w:sz w:val="32"/>
          <w:szCs w:val="32"/>
        </w:rPr>
        <w:t>，</w:t>
      </w:r>
      <w:r>
        <w:rPr>
          <w:rFonts w:eastAsia="仿宋_GB2312"/>
          <w:sz w:val="32"/>
          <w:szCs w:val="32"/>
        </w:rPr>
        <w:t>州直城镇职工基本医疗保险基金收入196816万元，完成预算任务174989万元的112.47%</w:t>
      </w:r>
      <w:r>
        <w:rPr>
          <w:rFonts w:hint="eastAsia" w:eastAsia="仿宋_GB2312"/>
          <w:sz w:val="32"/>
          <w:szCs w:val="32"/>
        </w:rPr>
        <w:t>，</w:t>
      </w:r>
      <w:r>
        <w:rPr>
          <w:rFonts w:eastAsia="仿宋_GB2312"/>
          <w:sz w:val="32"/>
          <w:szCs w:val="32"/>
        </w:rPr>
        <w:t>与上年同期相比增加25586万元</w:t>
      </w:r>
      <w:r>
        <w:rPr>
          <w:rFonts w:hint="eastAsia" w:eastAsia="仿宋_GB2312"/>
          <w:sz w:val="32"/>
          <w:szCs w:val="32"/>
        </w:rPr>
        <w:t>、</w:t>
      </w:r>
      <w:r>
        <w:rPr>
          <w:rFonts w:eastAsia="仿宋_GB2312"/>
          <w:sz w:val="32"/>
          <w:szCs w:val="32"/>
        </w:rPr>
        <w:t>增长14.94%</w:t>
      </w:r>
      <w:r>
        <w:rPr>
          <w:rFonts w:hint="eastAsia" w:eastAsia="仿宋_GB2312"/>
          <w:sz w:val="32"/>
          <w:szCs w:val="32"/>
        </w:rPr>
        <w:t>。</w:t>
      </w:r>
      <w:r>
        <w:rPr>
          <w:rFonts w:eastAsia="仿宋_GB2312"/>
          <w:sz w:val="32"/>
          <w:szCs w:val="32"/>
        </w:rPr>
        <w:t>影响基金收入变动的</w:t>
      </w:r>
      <w:r>
        <w:rPr>
          <w:rFonts w:hint="eastAsia" w:eastAsia="仿宋_GB2312"/>
          <w:sz w:val="32"/>
          <w:szCs w:val="32"/>
        </w:rPr>
        <w:t>主要</w:t>
      </w:r>
      <w:r>
        <w:rPr>
          <w:rFonts w:eastAsia="仿宋_GB2312"/>
          <w:sz w:val="32"/>
          <w:szCs w:val="32"/>
        </w:rPr>
        <w:t>因素：</w:t>
      </w:r>
    </w:p>
    <w:p>
      <w:pPr>
        <w:adjustRightInd w:val="0"/>
        <w:snapToGrid w:val="0"/>
        <w:spacing w:line="560" w:lineRule="exact"/>
        <w:ind w:firstLine="640" w:firstLineChars="200"/>
        <w:rPr>
          <w:rFonts w:eastAsia="仿宋_GB2312"/>
          <w:sz w:val="32"/>
          <w:szCs w:val="32"/>
        </w:rPr>
      </w:pPr>
      <w:r>
        <w:rPr>
          <w:rFonts w:eastAsia="仿宋_GB2312"/>
          <w:sz w:val="32"/>
          <w:szCs w:val="32"/>
        </w:rPr>
        <w:t>1.</w:t>
      </w:r>
      <w:r>
        <w:rPr>
          <w:rFonts w:eastAsia="仿宋_GB2312"/>
          <w:spacing w:val="-6"/>
          <w:sz w:val="32"/>
          <w:szCs w:val="32"/>
        </w:rPr>
        <w:t>缴费人数：2019年，州直各级医保经办机构克服经济下行</w:t>
      </w:r>
      <w:r>
        <w:rPr>
          <w:rFonts w:hint="eastAsia" w:eastAsia="仿宋_GB2312"/>
          <w:spacing w:val="-6"/>
          <w:sz w:val="32"/>
          <w:szCs w:val="32"/>
        </w:rPr>
        <w:t>、</w:t>
      </w:r>
      <w:r>
        <w:rPr>
          <w:rFonts w:eastAsia="仿宋_GB2312"/>
          <w:spacing w:val="-6"/>
          <w:sz w:val="32"/>
          <w:szCs w:val="32"/>
        </w:rPr>
        <w:t>机构组建</w:t>
      </w:r>
      <w:r>
        <w:rPr>
          <w:rFonts w:hint="eastAsia" w:eastAsia="仿宋_GB2312"/>
          <w:spacing w:val="-6"/>
          <w:sz w:val="32"/>
          <w:szCs w:val="32"/>
        </w:rPr>
        <w:t>等客观</w:t>
      </w:r>
      <w:r>
        <w:rPr>
          <w:rFonts w:eastAsia="仿宋_GB2312"/>
          <w:spacing w:val="-6"/>
          <w:sz w:val="32"/>
          <w:szCs w:val="32"/>
        </w:rPr>
        <w:t>因素，强化实施全民医保计划，</w:t>
      </w:r>
      <w:r>
        <w:rPr>
          <w:rFonts w:hint="eastAsia" w:eastAsia="仿宋_GB2312"/>
          <w:spacing w:val="-6"/>
          <w:sz w:val="32"/>
          <w:szCs w:val="32"/>
        </w:rPr>
        <w:t>持续</w:t>
      </w:r>
      <w:r>
        <w:rPr>
          <w:rFonts w:eastAsia="仿宋_GB2312"/>
          <w:spacing w:val="-6"/>
          <w:sz w:val="32"/>
          <w:szCs w:val="32"/>
        </w:rPr>
        <w:t>狠抓参保扩面，参保缴费人数稳步增长。2019年，州直城镇职工基本医疗保险缴费37.85万人，比上年同期增加2.19万人</w:t>
      </w:r>
      <w:r>
        <w:rPr>
          <w:rFonts w:hint="eastAsia" w:eastAsia="仿宋_GB2312"/>
          <w:spacing w:val="-6"/>
          <w:sz w:val="32"/>
          <w:szCs w:val="32"/>
        </w:rPr>
        <w:t>、</w:t>
      </w:r>
      <w:r>
        <w:rPr>
          <w:rFonts w:eastAsia="仿宋_GB2312"/>
          <w:spacing w:val="-6"/>
          <w:sz w:val="32"/>
          <w:szCs w:val="32"/>
        </w:rPr>
        <w:t>增长6.44%。因缴费人数增长拉动</w:t>
      </w:r>
      <w:r>
        <w:rPr>
          <w:rFonts w:hint="eastAsia" w:eastAsia="仿宋_GB2312"/>
          <w:spacing w:val="-6"/>
          <w:sz w:val="32"/>
          <w:szCs w:val="32"/>
        </w:rPr>
        <w:t>基金</w:t>
      </w:r>
      <w:r>
        <w:rPr>
          <w:rFonts w:eastAsia="仿宋_GB2312"/>
          <w:spacing w:val="-6"/>
          <w:sz w:val="32"/>
          <w:szCs w:val="32"/>
        </w:rPr>
        <w:t>增收10831万元，占本期实缴增长总量的43.29%</w:t>
      </w:r>
      <w:r>
        <w:rPr>
          <w:rFonts w:eastAsia="仿宋_GB2312"/>
          <w:sz w:val="32"/>
          <w:szCs w:val="32"/>
        </w:rPr>
        <w:t>。</w:t>
      </w:r>
    </w:p>
    <w:p>
      <w:pPr>
        <w:adjustRightInd w:val="0"/>
        <w:snapToGrid w:val="0"/>
        <w:spacing w:line="560" w:lineRule="exact"/>
        <w:ind w:firstLine="640" w:firstLineChars="200"/>
        <w:rPr>
          <w:rFonts w:eastAsia="仿宋_GB2312"/>
          <w:sz w:val="32"/>
          <w:szCs w:val="32"/>
        </w:rPr>
      </w:pPr>
      <w:r>
        <w:rPr>
          <w:rFonts w:eastAsia="仿宋_GB2312"/>
          <w:sz w:val="32"/>
          <w:szCs w:val="32"/>
        </w:rPr>
        <w:t>2.</w:t>
      </w:r>
      <w:r>
        <w:rPr>
          <w:rFonts w:eastAsia="仿宋_GB2312"/>
          <w:spacing w:val="-4"/>
          <w:sz w:val="32"/>
          <w:szCs w:val="32"/>
        </w:rPr>
        <w:t>缴费基数：</w:t>
      </w:r>
      <w:r>
        <w:rPr>
          <w:rFonts w:hint="eastAsia" w:eastAsia="仿宋_GB2312"/>
          <w:spacing w:val="-4"/>
          <w:sz w:val="32"/>
          <w:szCs w:val="32"/>
        </w:rPr>
        <w:t>实施征收体制改革，有效</w:t>
      </w:r>
      <w:r>
        <w:rPr>
          <w:rFonts w:eastAsia="仿宋_GB2312"/>
          <w:spacing w:val="-4"/>
          <w:sz w:val="32"/>
          <w:szCs w:val="32"/>
        </w:rPr>
        <w:t>规范和统一机关事业单位缴费基数，缴费基数</w:t>
      </w:r>
      <w:r>
        <w:rPr>
          <w:rFonts w:hint="eastAsia" w:eastAsia="仿宋_GB2312"/>
          <w:spacing w:val="-4"/>
          <w:sz w:val="32"/>
          <w:szCs w:val="32"/>
        </w:rPr>
        <w:t>有所</w:t>
      </w:r>
      <w:r>
        <w:rPr>
          <w:rFonts w:eastAsia="仿宋_GB2312"/>
          <w:spacing w:val="-4"/>
          <w:sz w:val="32"/>
          <w:szCs w:val="32"/>
        </w:rPr>
        <w:t>增长。2019年州直缴费基数为1964023万元，与上年同期增加175147万元</w:t>
      </w:r>
      <w:r>
        <w:rPr>
          <w:rFonts w:hint="eastAsia" w:eastAsia="仿宋_GB2312"/>
          <w:spacing w:val="-4"/>
          <w:sz w:val="32"/>
          <w:szCs w:val="32"/>
        </w:rPr>
        <w:t>、</w:t>
      </w:r>
      <w:r>
        <w:rPr>
          <w:rFonts w:eastAsia="仿宋_GB2312"/>
          <w:spacing w:val="-4"/>
          <w:sz w:val="32"/>
          <w:szCs w:val="32"/>
        </w:rPr>
        <w:t>增长9.79%。因缴费基数增长拉动</w:t>
      </w:r>
      <w:r>
        <w:rPr>
          <w:rFonts w:hint="eastAsia" w:eastAsia="仿宋_GB2312"/>
          <w:spacing w:val="-4"/>
          <w:sz w:val="32"/>
          <w:szCs w:val="32"/>
        </w:rPr>
        <w:t>基金</w:t>
      </w:r>
      <w:r>
        <w:rPr>
          <w:rFonts w:eastAsia="仿宋_GB2312"/>
          <w:spacing w:val="-4"/>
          <w:sz w:val="32"/>
          <w:szCs w:val="32"/>
        </w:rPr>
        <w:t>增入5636万元，占本期实缴增长总量的22.52%</w:t>
      </w:r>
      <w:r>
        <w:rPr>
          <w:rFonts w:eastAsia="仿宋_GB2312"/>
          <w:sz w:val="32"/>
          <w:szCs w:val="32"/>
        </w:rPr>
        <w:t>。</w:t>
      </w:r>
    </w:p>
    <w:p>
      <w:pPr>
        <w:adjustRightInd w:val="0"/>
        <w:snapToGrid w:val="0"/>
        <w:spacing w:line="560" w:lineRule="exact"/>
        <w:ind w:firstLine="640" w:firstLineChars="200"/>
        <w:rPr>
          <w:rFonts w:eastAsia="仿宋_GB2312"/>
          <w:sz w:val="32"/>
          <w:szCs w:val="32"/>
        </w:rPr>
      </w:pPr>
      <w:r>
        <w:rPr>
          <w:rFonts w:eastAsia="仿宋_GB2312"/>
          <w:sz w:val="32"/>
          <w:szCs w:val="32"/>
        </w:rPr>
        <w:t>3.平均缴费率：2019年州直平均缴费率为9.84%，与上年同期增加0.4%。因平均缴费率增长拉动</w:t>
      </w:r>
      <w:r>
        <w:rPr>
          <w:rFonts w:hint="eastAsia" w:eastAsia="仿宋_GB2312"/>
          <w:sz w:val="32"/>
          <w:szCs w:val="32"/>
        </w:rPr>
        <w:t>基金</w:t>
      </w:r>
      <w:r>
        <w:rPr>
          <w:rFonts w:eastAsia="仿宋_GB2312"/>
          <w:sz w:val="32"/>
          <w:szCs w:val="32"/>
        </w:rPr>
        <w:t>增收8555万元，占本期实缴增长总量的34.19%。</w:t>
      </w:r>
    </w:p>
    <w:p>
      <w:pPr>
        <w:adjustRightInd w:val="0"/>
        <w:snapToGrid w:val="0"/>
        <w:spacing w:line="560" w:lineRule="exact"/>
        <w:ind w:firstLine="640" w:firstLineChars="200"/>
        <w:rPr>
          <w:rFonts w:eastAsia="仿宋_GB2312"/>
          <w:sz w:val="32"/>
          <w:szCs w:val="32"/>
        </w:rPr>
      </w:pPr>
      <w:r>
        <w:rPr>
          <w:rFonts w:eastAsia="仿宋_GB2312"/>
          <w:sz w:val="32"/>
          <w:szCs w:val="32"/>
        </w:rPr>
        <w:t>4.其他原因：2019年</w:t>
      </w:r>
      <w:r>
        <w:rPr>
          <w:rFonts w:hint="eastAsia" w:eastAsia="仿宋_GB2312"/>
          <w:sz w:val="32"/>
          <w:szCs w:val="32"/>
        </w:rPr>
        <w:t>，</w:t>
      </w:r>
      <w:r>
        <w:rPr>
          <w:rFonts w:eastAsia="仿宋_GB2312"/>
          <w:sz w:val="32"/>
          <w:szCs w:val="32"/>
        </w:rPr>
        <w:t>州直补缴收入</w:t>
      </w:r>
      <w:r>
        <w:rPr>
          <w:rFonts w:hint="eastAsia" w:eastAsia="仿宋_GB2312"/>
          <w:sz w:val="32"/>
          <w:szCs w:val="32"/>
        </w:rPr>
        <w:t>为</w:t>
      </w:r>
      <w:r>
        <w:rPr>
          <w:rFonts w:eastAsia="仿宋_GB2312"/>
          <w:sz w:val="32"/>
          <w:szCs w:val="32"/>
        </w:rPr>
        <w:t>2748万元。</w:t>
      </w:r>
    </w:p>
    <w:p>
      <w:pPr>
        <w:adjustRightInd w:val="0"/>
        <w:snapToGrid w:val="0"/>
        <w:spacing w:line="560" w:lineRule="exact"/>
        <w:ind w:firstLine="640" w:firstLineChars="200"/>
        <w:rPr>
          <w:rFonts w:eastAsia="仿宋_GB2312"/>
          <w:sz w:val="32"/>
          <w:szCs w:val="32"/>
        </w:rPr>
      </w:pPr>
      <w:r>
        <w:rPr>
          <w:rFonts w:eastAsia="仿宋_GB2312"/>
          <w:sz w:val="32"/>
          <w:szCs w:val="32"/>
        </w:rPr>
        <w:t>2</w:t>
      </w:r>
      <w:r>
        <w:rPr>
          <w:rFonts w:eastAsia="仿宋_GB2312"/>
          <w:spacing w:val="-6"/>
          <w:sz w:val="32"/>
          <w:szCs w:val="32"/>
        </w:rPr>
        <w:t>019州直城镇职工基本医保基金支出147841.42万元，较上年143931.68万元增加3909.74万元</w:t>
      </w:r>
      <w:r>
        <w:rPr>
          <w:rFonts w:hint="eastAsia" w:eastAsia="仿宋_GB2312"/>
          <w:spacing w:val="-6"/>
          <w:sz w:val="32"/>
          <w:szCs w:val="32"/>
        </w:rPr>
        <w:t>、</w:t>
      </w:r>
      <w:r>
        <w:rPr>
          <w:rFonts w:eastAsia="仿宋_GB2312"/>
          <w:spacing w:val="-6"/>
          <w:sz w:val="32"/>
          <w:szCs w:val="32"/>
        </w:rPr>
        <w:t>增长2.72%，增长的主要原因</w:t>
      </w:r>
      <w:r>
        <w:rPr>
          <w:rFonts w:eastAsia="仿宋_GB2312"/>
          <w:sz w:val="32"/>
          <w:szCs w:val="32"/>
        </w:rPr>
        <w:t>：</w:t>
      </w:r>
    </w:p>
    <w:p>
      <w:pPr>
        <w:numPr>
          <w:ilvl w:val="0"/>
          <w:numId w:val="1"/>
        </w:numPr>
        <w:adjustRightInd w:val="0"/>
        <w:snapToGrid w:val="0"/>
        <w:spacing w:line="560" w:lineRule="exact"/>
        <w:ind w:left="2" w:leftChars="1" w:firstLine="640" w:firstLineChars="200"/>
        <w:rPr>
          <w:rFonts w:eastAsia="仿宋_GB2312"/>
          <w:sz w:val="32"/>
          <w:szCs w:val="32"/>
        </w:rPr>
      </w:pPr>
      <w:r>
        <w:rPr>
          <w:rFonts w:eastAsia="仿宋_GB2312"/>
          <w:sz w:val="32"/>
          <w:szCs w:val="32"/>
        </w:rPr>
        <w:t>医疗待遇支出：与上年同期相比增加3862万元，增长2.71%。其中:医疗统筹待遇支出78307万元，比上年78325万元同比减少18万元</w:t>
      </w:r>
      <w:r>
        <w:rPr>
          <w:rFonts w:hint="eastAsia" w:eastAsia="仿宋_GB2312"/>
          <w:sz w:val="32"/>
          <w:szCs w:val="32"/>
        </w:rPr>
        <w:t>、</w:t>
      </w:r>
      <w:r>
        <w:rPr>
          <w:rFonts w:eastAsia="仿宋_GB2312"/>
          <w:sz w:val="32"/>
          <w:szCs w:val="32"/>
        </w:rPr>
        <w:t>降低2.30%，医疗个人账户待遇支出68248万元</w:t>
      </w:r>
      <w:r>
        <w:rPr>
          <w:rFonts w:hint="eastAsia" w:eastAsia="仿宋_GB2312"/>
          <w:sz w:val="32"/>
          <w:szCs w:val="32"/>
        </w:rPr>
        <w:t>，</w:t>
      </w:r>
      <w:r>
        <w:rPr>
          <w:rFonts w:eastAsia="仿宋_GB2312"/>
          <w:sz w:val="32"/>
          <w:szCs w:val="32"/>
        </w:rPr>
        <w:t>比上年64368万元同比增加3880万元</w:t>
      </w:r>
      <w:r>
        <w:rPr>
          <w:rFonts w:hint="eastAsia" w:eastAsia="仿宋_GB2312"/>
          <w:sz w:val="32"/>
          <w:szCs w:val="32"/>
        </w:rPr>
        <w:t>、</w:t>
      </w:r>
      <w:r>
        <w:rPr>
          <w:rFonts w:eastAsia="仿宋_GB2312"/>
          <w:sz w:val="32"/>
          <w:szCs w:val="32"/>
        </w:rPr>
        <w:t>增长6.03%。</w:t>
      </w:r>
    </w:p>
    <w:p>
      <w:pPr>
        <w:adjustRightInd w:val="0"/>
        <w:snapToGrid w:val="0"/>
        <w:spacing w:line="560" w:lineRule="exact"/>
        <w:ind w:left="422" w:leftChars="201"/>
        <w:rPr>
          <w:rFonts w:eastAsia="仿宋_GB2312"/>
          <w:sz w:val="32"/>
          <w:szCs w:val="32"/>
        </w:rPr>
      </w:pPr>
      <w:r>
        <w:rPr>
          <w:rFonts w:eastAsia="仿宋_GB2312"/>
          <w:sz w:val="32"/>
          <w:szCs w:val="32"/>
        </w:rPr>
        <w:t>（2）其他支出：与上年同期相比减少36万元，降低-3.52%。</w:t>
      </w:r>
    </w:p>
    <w:p>
      <w:pPr>
        <w:adjustRightInd w:val="0"/>
        <w:snapToGrid w:val="0"/>
        <w:spacing w:line="560" w:lineRule="exact"/>
        <w:ind w:firstLine="480" w:firstLineChars="150"/>
        <w:rPr>
          <w:rFonts w:eastAsia="仿宋_GB2312"/>
          <w:sz w:val="32"/>
          <w:szCs w:val="32"/>
        </w:rPr>
      </w:pPr>
      <w:r>
        <w:rPr>
          <w:rFonts w:eastAsia="仿宋_GB2312"/>
          <w:sz w:val="32"/>
          <w:szCs w:val="32"/>
        </w:rPr>
        <w:t>（3）转移支出：与上年同期相比增加83万元，增长38.06%。主要</w:t>
      </w:r>
      <w:r>
        <w:rPr>
          <w:rFonts w:hint="eastAsia" w:eastAsia="仿宋_GB2312"/>
          <w:sz w:val="32"/>
          <w:szCs w:val="32"/>
        </w:rPr>
        <w:t>原因</w:t>
      </w:r>
      <w:r>
        <w:rPr>
          <w:rFonts w:eastAsia="仿宋_GB2312"/>
          <w:sz w:val="32"/>
          <w:szCs w:val="32"/>
        </w:rPr>
        <w:t>是随着人员流动加快和转移业务经办流程优化，2017年到2019年转移支出保持大幅增长。</w:t>
      </w:r>
    </w:p>
    <w:p>
      <w:pPr>
        <w:adjustRightInd w:val="0"/>
        <w:snapToGrid w:val="0"/>
        <w:spacing w:line="560" w:lineRule="exact"/>
        <w:ind w:firstLine="570"/>
        <w:rPr>
          <w:rFonts w:eastAsia="仿宋_GB2312"/>
          <w:sz w:val="32"/>
          <w:szCs w:val="32"/>
        </w:rPr>
      </w:pPr>
      <w:r>
        <w:rPr>
          <w:rFonts w:eastAsia="仿宋_GB2312"/>
          <w:sz w:val="32"/>
          <w:szCs w:val="32"/>
        </w:rPr>
        <w:t>2</w:t>
      </w:r>
      <w:r>
        <w:rPr>
          <w:rFonts w:eastAsia="仿宋_GB2312"/>
          <w:spacing w:val="-6"/>
          <w:sz w:val="32"/>
          <w:szCs w:val="32"/>
        </w:rPr>
        <w:t>019年</w:t>
      </w:r>
      <w:r>
        <w:rPr>
          <w:rFonts w:hint="eastAsia" w:eastAsia="仿宋_GB2312"/>
          <w:spacing w:val="-6"/>
          <w:sz w:val="32"/>
          <w:szCs w:val="32"/>
        </w:rPr>
        <w:t>，</w:t>
      </w:r>
      <w:r>
        <w:rPr>
          <w:rFonts w:eastAsia="仿宋_GB2312"/>
          <w:spacing w:val="-6"/>
          <w:sz w:val="32"/>
          <w:szCs w:val="32"/>
        </w:rPr>
        <w:t>州直城镇职工基本医疗保险结余245201.40万元，完成预算结余221253.53万元的110%，预算完成率在合理范围内。</w:t>
      </w:r>
    </w:p>
    <w:p>
      <w:pPr>
        <w:adjustRightInd w:val="0"/>
        <w:snapToGrid w:val="0"/>
        <w:spacing w:line="560" w:lineRule="exact"/>
        <w:ind w:firstLine="567"/>
        <w:rPr>
          <w:rStyle w:val="19"/>
          <w:rFonts w:eastAsia="仿宋_GB2312"/>
          <w:spacing w:val="-4"/>
          <w:sz w:val="32"/>
          <w:szCs w:val="32"/>
        </w:rPr>
      </w:pPr>
      <w:r>
        <w:rPr>
          <w:rStyle w:val="19"/>
          <w:rFonts w:eastAsia="仿宋_GB2312"/>
          <w:spacing w:val="-4"/>
          <w:sz w:val="32"/>
          <w:szCs w:val="32"/>
        </w:rPr>
        <w:t>（二）城乡居民基本医疗保险基金预算完成及运行情况分析</w:t>
      </w:r>
    </w:p>
    <w:p>
      <w:pPr>
        <w:adjustRightInd w:val="0"/>
        <w:snapToGrid w:val="0"/>
        <w:spacing w:line="560" w:lineRule="exact"/>
        <w:ind w:firstLine="640" w:firstLineChars="200"/>
        <w:rPr>
          <w:rFonts w:eastAsia="仿宋_GB2312"/>
          <w:sz w:val="32"/>
          <w:szCs w:val="32"/>
        </w:rPr>
      </w:pPr>
      <w:r>
        <w:rPr>
          <w:rFonts w:eastAsia="仿宋_GB2312"/>
          <w:sz w:val="32"/>
          <w:szCs w:val="32"/>
        </w:rPr>
        <w:t>2019年</w:t>
      </w:r>
      <w:r>
        <w:rPr>
          <w:rFonts w:hint="eastAsia" w:eastAsia="仿宋_GB2312"/>
          <w:sz w:val="32"/>
          <w:szCs w:val="32"/>
        </w:rPr>
        <w:t>，</w:t>
      </w:r>
      <w:r>
        <w:rPr>
          <w:rFonts w:eastAsia="仿宋_GB2312"/>
          <w:sz w:val="32"/>
          <w:szCs w:val="32"/>
        </w:rPr>
        <w:t>州直城乡居民基本医保基金预算收入157503万元，实际收入148514万元</w:t>
      </w:r>
      <w:r>
        <w:rPr>
          <w:rFonts w:hint="eastAsia" w:eastAsia="仿宋_GB2312"/>
          <w:sz w:val="32"/>
          <w:szCs w:val="32"/>
        </w:rPr>
        <w:t>。</w:t>
      </w:r>
      <w:r>
        <w:rPr>
          <w:rFonts w:eastAsia="仿宋_GB2312"/>
          <w:sz w:val="32"/>
          <w:szCs w:val="32"/>
        </w:rPr>
        <w:t>其中</w:t>
      </w:r>
      <w:r>
        <w:rPr>
          <w:rFonts w:hint="eastAsia" w:eastAsia="仿宋_GB2312"/>
          <w:sz w:val="32"/>
          <w:szCs w:val="32"/>
        </w:rPr>
        <w:t>：</w:t>
      </w:r>
      <w:r>
        <w:rPr>
          <w:rFonts w:eastAsia="仿宋_GB2312"/>
          <w:sz w:val="32"/>
          <w:szCs w:val="32"/>
        </w:rPr>
        <w:t>缴费收入5677万元，财政补贴收入90663万元，完成年初预算的94.29%。基金收入比上年减少10772万元</w:t>
      </w:r>
      <w:r>
        <w:rPr>
          <w:rFonts w:hint="eastAsia" w:eastAsia="仿宋_GB2312"/>
          <w:sz w:val="32"/>
          <w:szCs w:val="32"/>
        </w:rPr>
        <w:t>、</w:t>
      </w:r>
      <w:r>
        <w:rPr>
          <w:rFonts w:eastAsia="仿宋_GB2312"/>
          <w:sz w:val="32"/>
          <w:szCs w:val="32"/>
        </w:rPr>
        <w:t>降低6.76%。基金减收的主要原因：</w:t>
      </w:r>
    </w:p>
    <w:p>
      <w:pPr>
        <w:adjustRightInd w:val="0"/>
        <w:snapToGrid w:val="0"/>
        <w:spacing w:line="56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缴费人数：2019年缴费184万人，比上年缴费人数188万人减少4万人</w:t>
      </w:r>
      <w:r>
        <w:rPr>
          <w:rFonts w:hint="eastAsia" w:eastAsia="仿宋_GB2312"/>
          <w:sz w:val="32"/>
          <w:szCs w:val="32"/>
        </w:rPr>
        <w:t>、</w:t>
      </w:r>
      <w:r>
        <w:rPr>
          <w:rFonts w:eastAsia="仿宋_GB2312"/>
          <w:sz w:val="32"/>
          <w:szCs w:val="32"/>
        </w:rPr>
        <w:t>降低2.1%，拉动</w:t>
      </w:r>
      <w:r>
        <w:rPr>
          <w:rFonts w:hint="eastAsia" w:eastAsia="仿宋_GB2312"/>
          <w:sz w:val="32"/>
          <w:szCs w:val="32"/>
        </w:rPr>
        <w:t>基金</w:t>
      </w:r>
      <w:r>
        <w:rPr>
          <w:rFonts w:eastAsia="仿宋_GB2312"/>
          <w:sz w:val="32"/>
          <w:szCs w:val="32"/>
        </w:rPr>
        <w:t>收入减少3389万元。</w:t>
      </w:r>
    </w:p>
    <w:p>
      <w:pPr>
        <w:adjustRightInd w:val="0"/>
        <w:snapToGrid w:val="0"/>
        <w:spacing w:line="560" w:lineRule="exact"/>
        <w:ind w:firstLine="640" w:firstLineChars="200"/>
        <w:rPr>
          <w:rFonts w:eastAsia="仿宋_GB2312"/>
          <w:sz w:val="32"/>
          <w:szCs w:val="32"/>
        </w:rPr>
      </w:pPr>
      <w:r>
        <w:rPr>
          <w:rFonts w:eastAsia="仿宋_GB2312"/>
          <w:sz w:val="32"/>
          <w:szCs w:val="32"/>
        </w:rPr>
        <w:t>2.人均缴费额：2019年州直人均缴费807.14元，与上年同期相比减少40元</w:t>
      </w:r>
      <w:r>
        <w:rPr>
          <w:rFonts w:hint="eastAsia" w:eastAsia="仿宋_GB2312"/>
          <w:sz w:val="32"/>
          <w:szCs w:val="32"/>
        </w:rPr>
        <w:t>、</w:t>
      </w:r>
      <w:r>
        <w:rPr>
          <w:rFonts w:eastAsia="仿宋_GB2312"/>
          <w:sz w:val="32"/>
          <w:szCs w:val="32"/>
        </w:rPr>
        <w:t>降低4.74%。2018年包含两年的征缴收入（部分2018年和全部2019）</w:t>
      </w:r>
      <w:r>
        <w:rPr>
          <w:rFonts w:hint="eastAsia" w:eastAsia="仿宋_GB2312"/>
          <w:sz w:val="32"/>
          <w:szCs w:val="32"/>
        </w:rPr>
        <w:t>，</w:t>
      </w:r>
      <w:r>
        <w:rPr>
          <w:rFonts w:eastAsia="仿宋_GB2312"/>
          <w:sz w:val="32"/>
          <w:szCs w:val="32"/>
        </w:rPr>
        <w:t>而2019年仅仅是2020年度集中征缴</w:t>
      </w:r>
      <w:r>
        <w:rPr>
          <w:rFonts w:hint="eastAsia" w:eastAsia="仿宋_GB2312"/>
          <w:sz w:val="32"/>
          <w:szCs w:val="32"/>
        </w:rPr>
        <w:t>额度。</w:t>
      </w:r>
      <w:r>
        <w:rPr>
          <w:rFonts w:eastAsia="仿宋_GB2312"/>
          <w:sz w:val="32"/>
          <w:szCs w:val="32"/>
        </w:rPr>
        <w:t>所以</w:t>
      </w:r>
      <w:r>
        <w:rPr>
          <w:rFonts w:hint="eastAsia" w:eastAsia="仿宋_GB2312"/>
          <w:sz w:val="32"/>
          <w:szCs w:val="32"/>
        </w:rPr>
        <w:t>，</w:t>
      </w:r>
      <w:r>
        <w:rPr>
          <w:rFonts w:eastAsia="仿宋_GB2312"/>
          <w:sz w:val="32"/>
          <w:szCs w:val="32"/>
        </w:rPr>
        <w:t>2018年缴费收入比2019年高。</w:t>
      </w:r>
    </w:p>
    <w:p>
      <w:pPr>
        <w:adjustRightInd w:val="0"/>
        <w:snapToGrid w:val="0"/>
        <w:spacing w:line="560" w:lineRule="exact"/>
        <w:ind w:firstLine="640" w:firstLineChars="200"/>
        <w:rPr>
          <w:rFonts w:eastAsia="仿宋_GB2312"/>
          <w:sz w:val="32"/>
          <w:szCs w:val="32"/>
        </w:rPr>
      </w:pPr>
      <w:r>
        <w:rPr>
          <w:rFonts w:eastAsia="仿宋_GB2312"/>
          <w:sz w:val="32"/>
          <w:szCs w:val="32"/>
        </w:rPr>
        <w:t>2019年</w:t>
      </w:r>
      <w:r>
        <w:rPr>
          <w:rFonts w:hint="eastAsia" w:eastAsia="仿宋_GB2312"/>
          <w:sz w:val="32"/>
          <w:szCs w:val="32"/>
        </w:rPr>
        <w:t>，</w:t>
      </w:r>
      <w:r>
        <w:rPr>
          <w:rFonts w:eastAsia="仿宋_GB2312"/>
          <w:sz w:val="32"/>
          <w:szCs w:val="32"/>
        </w:rPr>
        <w:t>基金支出预算109351万元，实际支出130090万元，完成预算的118.97%。</w:t>
      </w:r>
    </w:p>
    <w:p>
      <w:pPr>
        <w:adjustRightInd w:val="0"/>
        <w:snapToGrid w:val="0"/>
        <w:spacing w:line="560" w:lineRule="exact"/>
        <w:ind w:firstLine="640" w:firstLineChars="200"/>
        <w:rPr>
          <w:rFonts w:eastAsia="仿宋_GB2312"/>
          <w:sz w:val="32"/>
          <w:szCs w:val="32"/>
        </w:rPr>
      </w:pPr>
      <w:r>
        <w:rPr>
          <w:rFonts w:eastAsia="仿宋_GB2312"/>
          <w:sz w:val="32"/>
          <w:szCs w:val="32"/>
        </w:rPr>
        <w:t>2019年</w:t>
      </w:r>
      <w:r>
        <w:rPr>
          <w:rFonts w:hint="eastAsia" w:eastAsia="仿宋_GB2312"/>
          <w:sz w:val="32"/>
          <w:szCs w:val="32"/>
        </w:rPr>
        <w:t>，</w:t>
      </w:r>
      <w:r>
        <w:rPr>
          <w:rFonts w:eastAsia="仿宋_GB2312"/>
          <w:sz w:val="32"/>
          <w:szCs w:val="32"/>
        </w:rPr>
        <w:t>州直城乡居民基本医疗保险待遇支出113519.24万元，与上年109266.23万元相比增加4253.01万元</w:t>
      </w:r>
      <w:r>
        <w:rPr>
          <w:rFonts w:hint="eastAsia" w:eastAsia="仿宋_GB2312"/>
          <w:sz w:val="32"/>
          <w:szCs w:val="32"/>
        </w:rPr>
        <w:t>、</w:t>
      </w:r>
      <w:r>
        <w:rPr>
          <w:rFonts w:eastAsia="仿宋_GB2312"/>
          <w:sz w:val="32"/>
          <w:szCs w:val="32"/>
        </w:rPr>
        <w:t>增长3.89％。</w:t>
      </w:r>
    </w:p>
    <w:p>
      <w:pPr>
        <w:adjustRightInd w:val="0"/>
        <w:snapToGrid w:val="0"/>
        <w:spacing w:line="560" w:lineRule="exact"/>
        <w:rPr>
          <w:rFonts w:eastAsia="仿宋_GB2312"/>
          <w:sz w:val="32"/>
          <w:szCs w:val="32"/>
        </w:rPr>
      </w:pPr>
      <w:r>
        <w:rPr>
          <w:rFonts w:eastAsia="仿宋_GB2312"/>
          <w:sz w:val="32"/>
          <w:szCs w:val="32"/>
        </w:rPr>
        <w:t>影响待遇支出变动的</w:t>
      </w:r>
      <w:r>
        <w:rPr>
          <w:rFonts w:hint="eastAsia" w:eastAsia="仿宋_GB2312"/>
          <w:sz w:val="32"/>
          <w:szCs w:val="32"/>
        </w:rPr>
        <w:t>主要</w:t>
      </w:r>
      <w:r>
        <w:rPr>
          <w:rFonts w:eastAsia="仿宋_GB2312"/>
          <w:sz w:val="32"/>
          <w:szCs w:val="32"/>
        </w:rPr>
        <w:t>因素：</w:t>
      </w:r>
    </w:p>
    <w:p>
      <w:pPr>
        <w:adjustRightInd w:val="0"/>
        <w:snapToGrid w:val="0"/>
        <w:spacing w:line="560" w:lineRule="exact"/>
        <w:ind w:firstLine="640" w:firstLineChars="200"/>
        <w:rPr>
          <w:rFonts w:eastAsia="仿宋_GB2312"/>
          <w:sz w:val="32"/>
          <w:szCs w:val="32"/>
        </w:rPr>
      </w:pPr>
      <w:r>
        <w:rPr>
          <w:rFonts w:eastAsia="仿宋_GB2312"/>
          <w:sz w:val="32"/>
          <w:szCs w:val="32"/>
        </w:rPr>
        <w:t>1.享受待遇人数：2019年州直享受待遇人数777606人，与上年同期增加16017人</w:t>
      </w:r>
      <w:r>
        <w:rPr>
          <w:rFonts w:hint="eastAsia" w:eastAsia="仿宋_GB2312"/>
          <w:sz w:val="32"/>
          <w:szCs w:val="32"/>
        </w:rPr>
        <w:t>、</w:t>
      </w:r>
      <w:r>
        <w:rPr>
          <w:rFonts w:eastAsia="仿宋_GB2312"/>
          <w:sz w:val="32"/>
          <w:szCs w:val="32"/>
        </w:rPr>
        <w:t>增长2.1%。因享受待遇人数增长拉动医疗待遇增加支出2298万元</w:t>
      </w:r>
      <w:r>
        <w:rPr>
          <w:rFonts w:hint="eastAsia" w:eastAsia="仿宋_GB2312"/>
          <w:sz w:val="32"/>
          <w:szCs w:val="32"/>
        </w:rPr>
        <w:t>、</w:t>
      </w:r>
      <w:r>
        <w:rPr>
          <w:rFonts w:eastAsia="仿宋_GB2312"/>
          <w:sz w:val="32"/>
          <w:szCs w:val="32"/>
        </w:rPr>
        <w:t>占增长总量的54.03%。</w:t>
      </w:r>
    </w:p>
    <w:p>
      <w:pPr>
        <w:adjustRightInd w:val="0"/>
        <w:snapToGrid w:val="0"/>
        <w:spacing w:line="560" w:lineRule="exact"/>
        <w:ind w:firstLine="640" w:firstLineChars="200"/>
        <w:rPr>
          <w:rFonts w:eastAsia="仿宋_GB2312"/>
          <w:sz w:val="32"/>
          <w:szCs w:val="32"/>
        </w:rPr>
      </w:pPr>
      <w:r>
        <w:rPr>
          <w:rFonts w:eastAsia="仿宋_GB2312"/>
          <w:sz w:val="32"/>
          <w:szCs w:val="32"/>
        </w:rPr>
        <w:t>2.人均待遇支出：2019年州直人均待遇支出为1460元，与上年同期增加25元</w:t>
      </w:r>
      <w:r>
        <w:rPr>
          <w:rFonts w:hint="eastAsia" w:eastAsia="仿宋_GB2312"/>
          <w:sz w:val="32"/>
          <w:szCs w:val="32"/>
        </w:rPr>
        <w:t>、</w:t>
      </w:r>
      <w:r>
        <w:rPr>
          <w:rFonts w:eastAsia="仿宋_GB2312"/>
          <w:sz w:val="32"/>
          <w:szCs w:val="32"/>
        </w:rPr>
        <w:t>增长1.75%。因人均待遇支出</w:t>
      </w:r>
      <w:r>
        <w:rPr>
          <w:rFonts w:hint="eastAsia" w:eastAsia="仿宋_GB2312"/>
          <w:sz w:val="32"/>
          <w:szCs w:val="32"/>
        </w:rPr>
        <w:t>增加，</w:t>
      </w:r>
      <w:r>
        <w:rPr>
          <w:rFonts w:eastAsia="仿宋_GB2312"/>
          <w:sz w:val="32"/>
          <w:szCs w:val="32"/>
        </w:rPr>
        <w:t>影响医疗待遇增加支出1955万元，占增长总量的45.97%。</w:t>
      </w:r>
    </w:p>
    <w:p>
      <w:pPr>
        <w:pStyle w:val="15"/>
        <w:adjustRightInd w:val="0"/>
        <w:snapToGrid w:val="0"/>
        <w:spacing w:beforeAutospacing="0" w:afterAutospacing="0" w:line="560" w:lineRule="exact"/>
        <w:ind w:firstLine="640" w:firstLineChars="200"/>
        <w:rPr>
          <w:rFonts w:eastAsia="仿宋_GB2312"/>
          <w:sz w:val="32"/>
          <w:szCs w:val="32"/>
        </w:rPr>
      </w:pPr>
      <w:r>
        <w:rPr>
          <w:rFonts w:eastAsia="仿宋_GB2312"/>
          <w:sz w:val="32"/>
          <w:szCs w:val="32"/>
        </w:rPr>
        <w:t>州直城乡居民基本医疗保险2019年累计结余116052万元，比上年增加18423万元</w:t>
      </w:r>
      <w:r>
        <w:rPr>
          <w:rFonts w:hint="eastAsia" w:eastAsia="仿宋_GB2312"/>
          <w:sz w:val="32"/>
          <w:szCs w:val="32"/>
        </w:rPr>
        <w:t>、</w:t>
      </w:r>
      <w:r>
        <w:rPr>
          <w:rFonts w:eastAsia="仿宋_GB2312"/>
          <w:sz w:val="32"/>
          <w:szCs w:val="32"/>
        </w:rPr>
        <w:t>增长18.87%，增长</w:t>
      </w:r>
      <w:r>
        <w:rPr>
          <w:rFonts w:hint="eastAsia" w:eastAsia="仿宋_GB2312"/>
          <w:sz w:val="32"/>
          <w:szCs w:val="32"/>
        </w:rPr>
        <w:t>幅度相对</w:t>
      </w:r>
      <w:r>
        <w:rPr>
          <w:rFonts w:eastAsia="仿宋_GB2312"/>
          <w:sz w:val="32"/>
          <w:szCs w:val="32"/>
        </w:rPr>
        <w:t>较快。</w:t>
      </w:r>
    </w:p>
    <w:p>
      <w:pPr>
        <w:adjustRightInd w:val="0"/>
        <w:snapToGrid w:val="0"/>
        <w:spacing w:line="560" w:lineRule="exact"/>
        <w:ind w:firstLine="567"/>
        <w:rPr>
          <w:rStyle w:val="19"/>
          <w:rFonts w:eastAsia="仿宋_GB2312"/>
          <w:spacing w:val="-4"/>
          <w:sz w:val="32"/>
          <w:szCs w:val="32"/>
        </w:rPr>
      </w:pPr>
      <w:r>
        <w:rPr>
          <w:rStyle w:val="19"/>
          <w:rFonts w:eastAsia="仿宋_GB2312"/>
          <w:spacing w:val="-4"/>
          <w:sz w:val="32"/>
          <w:szCs w:val="32"/>
        </w:rPr>
        <w:t>（三）生育保险基金预算完成及运行情况分析</w:t>
      </w:r>
    </w:p>
    <w:p>
      <w:pPr>
        <w:adjustRightInd w:val="0"/>
        <w:snapToGrid w:val="0"/>
        <w:spacing w:line="560" w:lineRule="exact"/>
        <w:ind w:firstLine="567"/>
        <w:rPr>
          <w:rFonts w:eastAsia="仿宋_GB2312"/>
          <w:sz w:val="32"/>
          <w:szCs w:val="32"/>
        </w:rPr>
      </w:pPr>
      <w:r>
        <w:rPr>
          <w:rFonts w:eastAsia="仿宋_GB2312"/>
          <w:sz w:val="32"/>
          <w:szCs w:val="32"/>
        </w:rPr>
        <w:t>2019年州直生育保险基金总收入7557万元，完成年初预算112.34%，与上年同期增加1124万元</w:t>
      </w:r>
      <w:r>
        <w:rPr>
          <w:rFonts w:hint="eastAsia" w:eastAsia="仿宋_GB2312"/>
          <w:sz w:val="32"/>
          <w:szCs w:val="32"/>
        </w:rPr>
        <w:t>、</w:t>
      </w:r>
      <w:r>
        <w:rPr>
          <w:rFonts w:eastAsia="仿宋_GB2312"/>
          <w:sz w:val="32"/>
          <w:szCs w:val="32"/>
        </w:rPr>
        <w:t>增长17.47%。主要增长原因是征缴收入增加。2019年州直生育保险费征缴收入预算6485万元，实际征缴收入7335万元</w:t>
      </w:r>
      <w:r>
        <w:rPr>
          <w:rFonts w:hint="eastAsia" w:eastAsia="仿宋_GB2312"/>
          <w:sz w:val="32"/>
          <w:szCs w:val="32"/>
        </w:rPr>
        <w:t>、</w:t>
      </w:r>
      <w:r>
        <w:rPr>
          <w:rFonts w:eastAsia="仿宋_GB2312"/>
          <w:sz w:val="32"/>
          <w:szCs w:val="32"/>
        </w:rPr>
        <w:t>完成预算的113.11%，征缴超额完成预算。影响征缴收入增长的</w:t>
      </w:r>
      <w:r>
        <w:rPr>
          <w:rFonts w:hint="eastAsia" w:eastAsia="仿宋_GB2312"/>
          <w:sz w:val="32"/>
          <w:szCs w:val="32"/>
        </w:rPr>
        <w:t>主要</w:t>
      </w:r>
      <w:r>
        <w:rPr>
          <w:rFonts w:eastAsia="仿宋_GB2312"/>
          <w:sz w:val="32"/>
          <w:szCs w:val="32"/>
        </w:rPr>
        <w:t xml:space="preserve">因素： </w:t>
      </w:r>
    </w:p>
    <w:p>
      <w:pPr>
        <w:adjustRightInd w:val="0"/>
        <w:snapToGrid w:val="0"/>
        <w:spacing w:line="560" w:lineRule="exact"/>
        <w:ind w:firstLine="640" w:firstLineChars="200"/>
        <w:rPr>
          <w:rFonts w:eastAsia="仿宋_GB2312"/>
          <w:sz w:val="32"/>
          <w:szCs w:val="32"/>
        </w:rPr>
      </w:pPr>
      <w:r>
        <w:rPr>
          <w:rFonts w:eastAsia="仿宋_GB2312"/>
          <w:sz w:val="32"/>
          <w:szCs w:val="32"/>
        </w:rPr>
        <w:t>1.缴费人数：2019年州直生育保险缴费人数244113人，与上年同期增加19430人</w:t>
      </w:r>
      <w:r>
        <w:rPr>
          <w:rFonts w:hint="eastAsia" w:eastAsia="仿宋_GB2312"/>
          <w:sz w:val="32"/>
          <w:szCs w:val="32"/>
        </w:rPr>
        <w:t>、</w:t>
      </w:r>
      <w:r>
        <w:rPr>
          <w:rFonts w:eastAsia="仿宋_GB2312"/>
          <w:sz w:val="32"/>
          <w:szCs w:val="32"/>
        </w:rPr>
        <w:t>增长8.64%。因缴费人数增长拉动</w:t>
      </w:r>
      <w:r>
        <w:rPr>
          <w:rFonts w:hint="eastAsia" w:eastAsia="仿宋_GB2312"/>
          <w:sz w:val="32"/>
          <w:szCs w:val="32"/>
        </w:rPr>
        <w:t>基金</w:t>
      </w:r>
      <w:r>
        <w:rPr>
          <w:rFonts w:eastAsia="仿宋_GB2312"/>
          <w:sz w:val="32"/>
          <w:szCs w:val="32"/>
        </w:rPr>
        <w:t>增收686万元，占本期实缴增加总量的59.78%。</w:t>
      </w:r>
    </w:p>
    <w:p>
      <w:pPr>
        <w:adjustRightInd w:val="0"/>
        <w:snapToGrid w:val="0"/>
        <w:spacing w:line="560" w:lineRule="exact"/>
        <w:ind w:firstLine="640" w:firstLineChars="200"/>
        <w:rPr>
          <w:rFonts w:eastAsia="仿宋_GB2312"/>
          <w:sz w:val="32"/>
          <w:szCs w:val="32"/>
        </w:rPr>
      </w:pPr>
      <w:r>
        <w:rPr>
          <w:rFonts w:eastAsia="仿宋_GB2312"/>
          <w:sz w:val="32"/>
          <w:szCs w:val="32"/>
        </w:rPr>
        <w:t>2.缴费基数：2019年州直生育保险缴费基数为1400863万元，与上年同期增加138704万元</w:t>
      </w:r>
      <w:r>
        <w:rPr>
          <w:rFonts w:hint="eastAsia" w:eastAsia="仿宋_GB2312"/>
          <w:sz w:val="32"/>
          <w:szCs w:val="32"/>
        </w:rPr>
        <w:t>、</w:t>
      </w:r>
      <w:r>
        <w:rPr>
          <w:rFonts w:eastAsia="仿宋_GB2312"/>
          <w:sz w:val="32"/>
          <w:szCs w:val="32"/>
        </w:rPr>
        <w:t>增长11%。因人均缴费基数增加使本期</w:t>
      </w:r>
      <w:r>
        <w:rPr>
          <w:rFonts w:hint="eastAsia" w:eastAsia="仿宋_GB2312"/>
          <w:sz w:val="32"/>
          <w:szCs w:val="32"/>
        </w:rPr>
        <w:t>基金</w:t>
      </w:r>
      <w:r>
        <w:rPr>
          <w:rFonts w:eastAsia="仿宋_GB2312"/>
          <w:sz w:val="32"/>
          <w:szCs w:val="32"/>
        </w:rPr>
        <w:t>征增收461万元，占本期实缴增加总量的40.19%。</w:t>
      </w:r>
    </w:p>
    <w:p>
      <w:pPr>
        <w:adjustRightInd w:val="0"/>
        <w:snapToGrid w:val="0"/>
        <w:spacing w:line="560" w:lineRule="exact"/>
        <w:ind w:firstLine="640" w:firstLineChars="200"/>
        <w:rPr>
          <w:rFonts w:eastAsia="仿宋_GB2312"/>
          <w:sz w:val="32"/>
          <w:szCs w:val="32"/>
        </w:rPr>
      </w:pPr>
      <w:r>
        <w:rPr>
          <w:rFonts w:eastAsia="仿宋_GB2312"/>
          <w:sz w:val="32"/>
          <w:szCs w:val="32"/>
        </w:rPr>
        <w:t>2019年州直生育保险基金支出6839万元，与上年同期增加660万元</w:t>
      </w:r>
      <w:r>
        <w:rPr>
          <w:rFonts w:hint="eastAsia" w:eastAsia="仿宋_GB2312"/>
          <w:sz w:val="32"/>
          <w:szCs w:val="32"/>
        </w:rPr>
        <w:t>、</w:t>
      </w:r>
      <w:r>
        <w:rPr>
          <w:rFonts w:eastAsia="仿宋_GB2312"/>
          <w:sz w:val="32"/>
          <w:szCs w:val="32"/>
        </w:rPr>
        <w:t>增长10.68％。待遇支出增长的</w:t>
      </w:r>
      <w:r>
        <w:rPr>
          <w:rFonts w:hint="eastAsia" w:eastAsia="仿宋_GB2312"/>
          <w:sz w:val="32"/>
          <w:szCs w:val="32"/>
        </w:rPr>
        <w:t>主要</w:t>
      </w:r>
      <w:r>
        <w:rPr>
          <w:rFonts w:eastAsia="仿宋_GB2312"/>
          <w:sz w:val="32"/>
          <w:szCs w:val="32"/>
        </w:rPr>
        <w:t>因素：</w:t>
      </w:r>
    </w:p>
    <w:p>
      <w:pPr>
        <w:adjustRightInd w:val="0"/>
        <w:snapToGrid w:val="0"/>
        <w:spacing w:line="560" w:lineRule="exact"/>
        <w:ind w:firstLine="640" w:firstLineChars="200"/>
        <w:rPr>
          <w:rFonts w:eastAsia="仿宋_GB2312"/>
          <w:sz w:val="32"/>
          <w:szCs w:val="32"/>
        </w:rPr>
      </w:pPr>
      <w:r>
        <w:rPr>
          <w:rFonts w:eastAsia="仿宋_GB2312"/>
          <w:sz w:val="32"/>
          <w:szCs w:val="32"/>
        </w:rPr>
        <w:t>1.享受待遇人次：2019年州直享受生育保险待遇10050人次，与上年同期增加660人次</w:t>
      </w:r>
      <w:r>
        <w:rPr>
          <w:rFonts w:hint="eastAsia" w:eastAsia="仿宋_GB2312"/>
          <w:sz w:val="32"/>
          <w:szCs w:val="32"/>
        </w:rPr>
        <w:t>、</w:t>
      </w:r>
      <w:r>
        <w:rPr>
          <w:rFonts w:eastAsia="仿宋_GB2312"/>
          <w:sz w:val="32"/>
          <w:szCs w:val="32"/>
        </w:rPr>
        <w:t>增长7.03%。因享受待遇人次增加</w:t>
      </w:r>
      <w:r>
        <w:rPr>
          <w:rFonts w:hint="eastAsia" w:eastAsia="仿宋_GB2312"/>
          <w:sz w:val="32"/>
          <w:szCs w:val="32"/>
        </w:rPr>
        <w:t>，</w:t>
      </w:r>
      <w:r>
        <w:rPr>
          <w:rFonts w:eastAsia="仿宋_GB2312"/>
          <w:sz w:val="32"/>
          <w:szCs w:val="32"/>
        </w:rPr>
        <w:t>使待遇支出增加434万元，占增长总量的65.76%。</w:t>
      </w:r>
    </w:p>
    <w:p>
      <w:pPr>
        <w:adjustRightInd w:val="0"/>
        <w:snapToGrid w:val="0"/>
        <w:spacing w:line="560" w:lineRule="exact"/>
        <w:ind w:firstLine="640"/>
        <w:rPr>
          <w:rFonts w:eastAsia="仿宋_GB2312"/>
          <w:sz w:val="32"/>
          <w:szCs w:val="32"/>
        </w:rPr>
      </w:pPr>
      <w:r>
        <w:rPr>
          <w:rFonts w:eastAsia="仿宋_GB2312"/>
          <w:sz w:val="32"/>
          <w:szCs w:val="32"/>
        </w:rPr>
        <w:t>2.次均支出额：2019年州直生育保险次均支出额6804元，与上年同期增加224元</w:t>
      </w:r>
      <w:r>
        <w:rPr>
          <w:rFonts w:hint="eastAsia" w:eastAsia="仿宋_GB2312"/>
          <w:sz w:val="32"/>
          <w:szCs w:val="32"/>
        </w:rPr>
        <w:t>、</w:t>
      </w:r>
      <w:r>
        <w:rPr>
          <w:rFonts w:eastAsia="仿宋_GB2312"/>
          <w:sz w:val="32"/>
          <w:szCs w:val="32"/>
        </w:rPr>
        <w:t>增长3.04%。因次均支出额增长拉动待遇支出增加226万元，占增长总量的34.24%</w:t>
      </w:r>
      <w:r>
        <w:rPr>
          <w:rFonts w:hint="eastAsia" w:eastAsia="仿宋_GB2312"/>
          <w:sz w:val="32"/>
          <w:szCs w:val="32"/>
        </w:rPr>
        <w:t>。</w:t>
      </w:r>
    </w:p>
    <w:p>
      <w:pPr>
        <w:adjustRightInd w:val="0"/>
        <w:snapToGrid w:val="0"/>
        <w:spacing w:line="560" w:lineRule="exact"/>
        <w:ind w:firstLine="640"/>
        <w:rPr>
          <w:rStyle w:val="19"/>
          <w:rFonts w:eastAsia="黑体"/>
          <w:b w:val="0"/>
          <w:spacing w:val="-4"/>
          <w:sz w:val="32"/>
          <w:szCs w:val="32"/>
        </w:rPr>
      </w:pPr>
      <w:r>
        <w:rPr>
          <w:rStyle w:val="19"/>
          <w:rFonts w:eastAsia="黑体"/>
          <w:b w:val="0"/>
          <w:spacing w:val="-4"/>
          <w:sz w:val="32"/>
          <w:szCs w:val="32"/>
        </w:rPr>
        <w:t>三、医疗保险基金支出组织实施情况和绩效管理情况</w:t>
      </w:r>
    </w:p>
    <w:p>
      <w:pPr>
        <w:adjustRightInd w:val="0"/>
        <w:snapToGrid w:val="0"/>
        <w:spacing w:line="560" w:lineRule="exact"/>
        <w:ind w:firstLine="567"/>
        <w:rPr>
          <w:rStyle w:val="19"/>
          <w:rFonts w:ascii="楷体_GB2312" w:eastAsia="楷体_GB2312"/>
          <w:spacing w:val="-4"/>
          <w:sz w:val="32"/>
          <w:szCs w:val="32"/>
        </w:rPr>
      </w:pPr>
      <w:r>
        <w:rPr>
          <w:rStyle w:val="19"/>
          <w:rFonts w:hint="eastAsia" w:ascii="楷体_GB2312" w:eastAsia="楷体_GB2312"/>
          <w:spacing w:val="-4"/>
          <w:sz w:val="32"/>
          <w:szCs w:val="32"/>
        </w:rPr>
        <w:t>（一）社会保险管理情况分析</w:t>
      </w:r>
    </w:p>
    <w:p>
      <w:pPr>
        <w:adjustRightInd w:val="0"/>
        <w:snapToGrid w:val="0"/>
        <w:spacing w:line="560" w:lineRule="exact"/>
        <w:ind w:firstLine="630" w:firstLineChars="196"/>
        <w:rPr>
          <w:rFonts w:eastAsia="仿宋_GB2312"/>
          <w:bCs/>
          <w:sz w:val="32"/>
          <w:szCs w:val="32"/>
        </w:rPr>
      </w:pPr>
      <w:r>
        <w:rPr>
          <w:rFonts w:eastAsia="仿宋_GB2312"/>
          <w:b/>
          <w:sz w:val="32"/>
          <w:szCs w:val="32"/>
        </w:rPr>
        <w:t>1.加强基金预决算管理。</w:t>
      </w:r>
      <w:r>
        <w:rPr>
          <w:rFonts w:eastAsia="仿宋_GB2312"/>
          <w:bCs/>
          <w:sz w:val="32"/>
          <w:szCs w:val="32"/>
        </w:rPr>
        <w:t>与财政部门建立统筹协调、分工负责的联</w:t>
      </w:r>
      <w:r>
        <w:rPr>
          <w:rFonts w:hint="eastAsia" w:eastAsia="仿宋_GB2312"/>
          <w:bCs/>
          <w:sz w:val="32"/>
          <w:szCs w:val="32"/>
        </w:rPr>
        <w:t>动</w:t>
      </w:r>
      <w:r>
        <w:rPr>
          <w:rFonts w:eastAsia="仿宋_GB2312"/>
          <w:bCs/>
          <w:sz w:val="32"/>
          <w:szCs w:val="32"/>
        </w:rPr>
        <w:t>机制，</w:t>
      </w:r>
      <w:r>
        <w:rPr>
          <w:rFonts w:hint="eastAsia" w:eastAsia="仿宋_GB2312"/>
          <w:bCs/>
          <w:sz w:val="32"/>
          <w:szCs w:val="32"/>
        </w:rPr>
        <w:t>有效</w:t>
      </w:r>
      <w:r>
        <w:rPr>
          <w:rFonts w:eastAsia="仿宋_GB2312"/>
          <w:bCs/>
          <w:sz w:val="32"/>
          <w:szCs w:val="32"/>
        </w:rPr>
        <w:t>提高预决算编制工作效率和报表数据准确性。完善基金预算执行、考核和激励约束机制</w:t>
      </w:r>
      <w:r>
        <w:rPr>
          <w:rFonts w:hint="eastAsia" w:eastAsia="仿宋_GB2312"/>
          <w:bCs/>
          <w:sz w:val="32"/>
          <w:szCs w:val="32"/>
        </w:rPr>
        <w:t>，</w:t>
      </w:r>
      <w:r>
        <w:rPr>
          <w:rFonts w:eastAsia="仿宋_GB2312"/>
          <w:bCs/>
          <w:sz w:val="32"/>
          <w:szCs w:val="32"/>
        </w:rPr>
        <w:t>加强基金支出预算精细化管理，推动州</w:t>
      </w:r>
      <w:r>
        <w:rPr>
          <w:rFonts w:hint="eastAsia" w:eastAsia="仿宋_GB2312"/>
          <w:bCs/>
          <w:sz w:val="32"/>
          <w:szCs w:val="32"/>
        </w:rPr>
        <w:t>、</w:t>
      </w:r>
      <w:r>
        <w:rPr>
          <w:rFonts w:eastAsia="仿宋_GB2312"/>
          <w:bCs/>
          <w:sz w:val="32"/>
          <w:szCs w:val="32"/>
        </w:rPr>
        <w:t>县市两级预算编制单位的二次分配。</w:t>
      </w:r>
    </w:p>
    <w:p>
      <w:pPr>
        <w:adjustRightInd w:val="0"/>
        <w:snapToGrid w:val="0"/>
        <w:spacing w:line="560" w:lineRule="exact"/>
        <w:ind w:firstLine="630" w:firstLineChars="196"/>
        <w:rPr>
          <w:rFonts w:eastAsia="仿宋_GB2312"/>
          <w:bCs/>
          <w:sz w:val="32"/>
          <w:szCs w:val="32"/>
        </w:rPr>
      </w:pPr>
      <w:r>
        <w:rPr>
          <w:rFonts w:eastAsia="仿宋_GB2312"/>
          <w:b/>
          <w:sz w:val="32"/>
          <w:szCs w:val="32"/>
        </w:rPr>
        <w:t>2.认真开展欺诈骗保专项治理。</w:t>
      </w:r>
      <w:r>
        <w:rPr>
          <w:rFonts w:eastAsia="仿宋_GB2312"/>
          <w:snapToGrid w:val="0"/>
          <w:kern w:val="0"/>
          <w:sz w:val="32"/>
          <w:szCs w:val="32"/>
        </w:rPr>
        <w:t>4月份印发《伊犁州直2019年打击欺诈骗保专项治理实施方案》，成立工作专班，抽调业务骨干组建37个稽核小分队，开展全覆盖稽核排查</w:t>
      </w:r>
      <w:r>
        <w:rPr>
          <w:rFonts w:hint="eastAsia" w:eastAsia="仿宋_GB2312"/>
          <w:snapToGrid w:val="0"/>
          <w:kern w:val="0"/>
          <w:sz w:val="32"/>
          <w:szCs w:val="32"/>
        </w:rPr>
        <w:t>，</w:t>
      </w:r>
      <w:r>
        <w:rPr>
          <w:rFonts w:eastAsia="仿宋_GB2312"/>
          <w:snapToGrid w:val="0"/>
          <w:sz w:val="32"/>
          <w:szCs w:val="32"/>
        </w:rPr>
        <w:t>拒付或追回医保基金933.45万元</w:t>
      </w:r>
      <w:r>
        <w:rPr>
          <w:rFonts w:hint="eastAsia" w:eastAsia="仿宋_GB2312"/>
          <w:snapToGrid w:val="0"/>
          <w:sz w:val="32"/>
          <w:szCs w:val="32"/>
        </w:rPr>
        <w:t>，</w:t>
      </w:r>
      <w:r>
        <w:rPr>
          <w:rFonts w:eastAsia="仿宋_GB2312"/>
          <w:snapToGrid w:val="0"/>
          <w:sz w:val="32"/>
          <w:szCs w:val="32"/>
        </w:rPr>
        <w:t>2019年伊犁州打击欺诈骗保工作在全疆综合排名第一。</w:t>
      </w:r>
      <w:r>
        <w:rPr>
          <w:rFonts w:eastAsia="仿宋_GB2312"/>
          <w:snapToGrid w:val="0"/>
          <w:kern w:val="0"/>
          <w:sz w:val="32"/>
          <w:szCs w:val="32"/>
        </w:rPr>
        <w:t>同时，</w:t>
      </w:r>
      <w:r>
        <w:rPr>
          <w:rFonts w:eastAsia="仿宋_GB2312"/>
          <w:sz w:val="32"/>
          <w:szCs w:val="32"/>
        </w:rPr>
        <w:t>建立定点</w:t>
      </w:r>
      <w:r>
        <w:rPr>
          <w:rFonts w:hint="eastAsia" w:eastAsia="仿宋_GB2312"/>
          <w:sz w:val="32"/>
          <w:szCs w:val="32"/>
        </w:rPr>
        <w:t>零售</w:t>
      </w:r>
      <w:r>
        <w:rPr>
          <w:rFonts w:eastAsia="仿宋_GB2312"/>
          <w:sz w:val="32"/>
          <w:szCs w:val="32"/>
        </w:rPr>
        <w:t>药店档案台账，对643家定点药店重新签订服务协议；建立药品价格监测报告制度，确定1家公立医院、2家零售药店为监测点。</w:t>
      </w:r>
    </w:p>
    <w:p>
      <w:pPr>
        <w:adjustRightInd w:val="0"/>
        <w:snapToGrid w:val="0"/>
        <w:spacing w:line="560" w:lineRule="exact"/>
        <w:ind w:firstLine="643" w:firstLineChars="200"/>
        <w:rPr>
          <w:rFonts w:eastAsia="仿宋_GB2312"/>
          <w:snapToGrid w:val="0"/>
          <w:sz w:val="32"/>
          <w:szCs w:val="32"/>
        </w:rPr>
      </w:pPr>
      <w:r>
        <w:rPr>
          <w:rFonts w:eastAsia="仿宋_GB2312"/>
          <w:b/>
          <w:sz w:val="32"/>
          <w:szCs w:val="32"/>
        </w:rPr>
        <w:t>3.高效推动异地就医基金结算工作。</w:t>
      </w:r>
      <w:r>
        <w:rPr>
          <w:rFonts w:eastAsia="仿宋_GB2312"/>
          <w:snapToGrid w:val="0"/>
          <w:sz w:val="32"/>
          <w:szCs w:val="32"/>
        </w:rPr>
        <w:t>州直1</w:t>
      </w:r>
      <w:r>
        <w:rPr>
          <w:rFonts w:hint="eastAsia" w:eastAsia="仿宋_GB2312"/>
          <w:snapToGrid w:val="0"/>
          <w:sz w:val="32"/>
          <w:szCs w:val="32"/>
        </w:rPr>
        <w:t>50</w:t>
      </w:r>
      <w:r>
        <w:rPr>
          <w:rFonts w:eastAsia="仿宋_GB2312"/>
          <w:snapToGrid w:val="0"/>
          <w:sz w:val="32"/>
          <w:szCs w:val="32"/>
        </w:rPr>
        <w:t>家公立医院</w:t>
      </w:r>
      <w:r>
        <w:rPr>
          <w:rFonts w:hint="eastAsia" w:eastAsia="仿宋_GB2312"/>
          <w:snapToGrid w:val="0"/>
          <w:sz w:val="32"/>
          <w:szCs w:val="32"/>
        </w:rPr>
        <w:t>和</w:t>
      </w:r>
      <w:r>
        <w:rPr>
          <w:rFonts w:eastAsia="仿宋_GB2312"/>
          <w:snapToGrid w:val="0"/>
          <w:sz w:val="32"/>
          <w:szCs w:val="32"/>
        </w:rPr>
        <w:t>47社会办</w:t>
      </w:r>
      <w:bookmarkStart w:id="0" w:name="_Hlk14022073"/>
      <w:r>
        <w:rPr>
          <w:rFonts w:eastAsia="仿宋_GB2312"/>
          <w:snapToGrid w:val="0"/>
          <w:sz w:val="32"/>
          <w:szCs w:val="32"/>
        </w:rPr>
        <w:t>医疗机构</w:t>
      </w:r>
      <w:bookmarkEnd w:id="0"/>
      <w:r>
        <w:rPr>
          <w:rFonts w:eastAsia="仿宋_GB2312"/>
          <w:snapToGrid w:val="0"/>
          <w:sz w:val="32"/>
          <w:szCs w:val="32"/>
        </w:rPr>
        <w:t>开通跨省就医联网直接结算</w:t>
      </w:r>
      <w:r>
        <w:rPr>
          <w:rFonts w:hint="eastAsia" w:eastAsia="仿宋_GB2312"/>
          <w:snapToGrid w:val="0"/>
          <w:sz w:val="32"/>
          <w:szCs w:val="32"/>
        </w:rPr>
        <w:t>。</w:t>
      </w:r>
      <w:r>
        <w:rPr>
          <w:rFonts w:eastAsia="仿宋_GB2312"/>
          <w:bCs/>
          <w:sz w:val="32"/>
          <w:szCs w:val="32"/>
        </w:rPr>
        <w:t>按照《关于印发自治区医疗保险异地就医预付金管理和费用清算暂行办法的通知》（新人社发〔2017〕55号）要求，强化参保地基金管理职责</w:t>
      </w:r>
      <w:r>
        <w:rPr>
          <w:rFonts w:hint="eastAsia" w:eastAsia="仿宋_GB2312"/>
          <w:bCs/>
          <w:sz w:val="32"/>
          <w:szCs w:val="32"/>
        </w:rPr>
        <w:t>，</w:t>
      </w:r>
      <w:r>
        <w:rPr>
          <w:rFonts w:eastAsia="仿宋_GB2312"/>
          <w:bCs/>
          <w:sz w:val="32"/>
          <w:szCs w:val="32"/>
        </w:rPr>
        <w:t>确保各项异地就医资金按时足额清算。</w:t>
      </w:r>
    </w:p>
    <w:p>
      <w:pPr>
        <w:adjustRightInd w:val="0"/>
        <w:snapToGrid w:val="0"/>
        <w:spacing w:line="560" w:lineRule="exact"/>
        <w:ind w:firstLine="643" w:firstLineChars="200"/>
        <w:rPr>
          <w:rFonts w:eastAsia="仿宋_GB2312"/>
          <w:bCs/>
          <w:sz w:val="32"/>
          <w:szCs w:val="32"/>
        </w:rPr>
      </w:pPr>
      <w:r>
        <w:rPr>
          <w:rFonts w:eastAsia="仿宋_GB2312"/>
          <w:b/>
          <w:sz w:val="32"/>
          <w:szCs w:val="32"/>
        </w:rPr>
        <w:t>4.妥善解决历史遗留问题。</w:t>
      </w:r>
      <w:r>
        <w:rPr>
          <w:rFonts w:eastAsia="仿宋_GB2312"/>
          <w:snapToGrid w:val="0"/>
          <w:kern w:val="0"/>
          <w:sz w:val="32"/>
          <w:szCs w:val="32"/>
        </w:rPr>
        <w:t>制定《妥善解决州直原新型农牧区合作医疗未结算资金工作方案》，对16家自治区</w:t>
      </w:r>
      <w:bookmarkStart w:id="1" w:name="_Hlk21602547"/>
      <w:r>
        <w:rPr>
          <w:rFonts w:eastAsia="仿宋_GB2312"/>
          <w:snapToGrid w:val="0"/>
          <w:kern w:val="0"/>
          <w:sz w:val="32"/>
          <w:szCs w:val="32"/>
        </w:rPr>
        <w:t>级医疗机构</w:t>
      </w:r>
      <w:bookmarkEnd w:id="1"/>
      <w:r>
        <w:rPr>
          <w:rFonts w:eastAsia="仿宋_GB2312"/>
          <w:snapToGrid w:val="0"/>
          <w:kern w:val="0"/>
          <w:sz w:val="32"/>
          <w:szCs w:val="32"/>
        </w:rPr>
        <w:t>、6家州级医疗机构、6家县级医疗机构和部分乡镇卫生院历年未结算资金进行全面排查清算，结算资金354.66万元。</w:t>
      </w:r>
    </w:p>
    <w:p>
      <w:pPr>
        <w:adjustRightInd w:val="0"/>
        <w:snapToGrid w:val="0"/>
        <w:spacing w:line="560" w:lineRule="exact"/>
        <w:ind w:firstLine="567"/>
        <w:rPr>
          <w:rStyle w:val="19"/>
          <w:rFonts w:ascii="楷体_GB2312" w:eastAsia="楷体_GB2312"/>
          <w:spacing w:val="-4"/>
          <w:sz w:val="32"/>
          <w:szCs w:val="32"/>
        </w:rPr>
      </w:pPr>
      <w:r>
        <w:rPr>
          <w:rStyle w:val="19"/>
          <w:rFonts w:hint="eastAsia" w:ascii="楷体_GB2312" w:eastAsia="楷体_GB2312"/>
          <w:spacing w:val="-4"/>
          <w:sz w:val="32"/>
          <w:szCs w:val="32"/>
        </w:rPr>
        <w:t>（二）绩效目标完成情况分析</w:t>
      </w:r>
    </w:p>
    <w:p>
      <w:pPr>
        <w:adjustRightInd w:val="0"/>
        <w:snapToGrid w:val="0"/>
        <w:spacing w:line="560" w:lineRule="exact"/>
        <w:ind w:firstLine="640" w:firstLineChars="200"/>
        <w:rPr>
          <w:rFonts w:eastAsia="仿宋_GB2312"/>
          <w:sz w:val="32"/>
          <w:szCs w:val="32"/>
        </w:rPr>
      </w:pPr>
      <w:r>
        <w:rPr>
          <w:rFonts w:eastAsia="仿宋_GB2312"/>
          <w:sz w:val="32"/>
          <w:szCs w:val="32"/>
        </w:rPr>
        <w:t>1.2019年伊犁州</w:t>
      </w:r>
      <w:r>
        <w:rPr>
          <w:rFonts w:hint="eastAsia" w:eastAsia="仿宋_GB2312"/>
          <w:sz w:val="32"/>
          <w:szCs w:val="32"/>
        </w:rPr>
        <w:t>城镇</w:t>
      </w:r>
      <w:r>
        <w:rPr>
          <w:rFonts w:eastAsia="仿宋_GB2312"/>
          <w:sz w:val="32"/>
          <w:szCs w:val="32"/>
        </w:rPr>
        <w:t>职工基本医疗保险基金支出预算数147736.22万元，实际执行数147841.42万元</w:t>
      </w:r>
      <w:r>
        <w:rPr>
          <w:rFonts w:hint="eastAsia" w:eastAsia="仿宋_GB2312"/>
          <w:sz w:val="32"/>
          <w:szCs w:val="32"/>
        </w:rPr>
        <w:t>（</w:t>
      </w:r>
      <w:r>
        <w:rPr>
          <w:rFonts w:eastAsia="仿宋_GB2312"/>
          <w:sz w:val="32"/>
          <w:szCs w:val="32"/>
        </w:rPr>
        <w:t>其中医疗保险待遇支出146554.59万元</w:t>
      </w:r>
      <w:r>
        <w:rPr>
          <w:rFonts w:hint="eastAsia" w:eastAsia="仿宋_GB2312"/>
          <w:sz w:val="32"/>
          <w:szCs w:val="32"/>
        </w:rPr>
        <w:t>）</w:t>
      </w:r>
      <w:r>
        <w:rPr>
          <w:rFonts w:eastAsia="仿宋_GB2312"/>
          <w:sz w:val="32"/>
          <w:szCs w:val="32"/>
        </w:rPr>
        <w:t>，全年预算支出执行率100.07%。</w:t>
      </w:r>
    </w:p>
    <w:p>
      <w:pPr>
        <w:adjustRightInd w:val="0"/>
        <w:snapToGrid w:val="0"/>
        <w:spacing w:line="560" w:lineRule="exact"/>
        <w:ind w:firstLine="640" w:firstLineChars="200"/>
        <w:rPr>
          <w:rFonts w:eastAsia="仿宋_GB2312"/>
          <w:sz w:val="32"/>
          <w:szCs w:val="32"/>
        </w:rPr>
      </w:pPr>
      <w:r>
        <w:rPr>
          <w:rFonts w:eastAsia="仿宋_GB2312"/>
          <w:sz w:val="32"/>
          <w:szCs w:val="32"/>
        </w:rPr>
        <w:t>2019年伊犁州城乡居民基本医疗保险基金支出预算数109351.06万元，实际执行数130089.85万元</w:t>
      </w:r>
      <w:r>
        <w:rPr>
          <w:rFonts w:hint="eastAsia" w:eastAsia="仿宋_GB2312"/>
          <w:sz w:val="32"/>
          <w:szCs w:val="32"/>
        </w:rPr>
        <w:t>（</w:t>
      </w:r>
      <w:r>
        <w:rPr>
          <w:rFonts w:eastAsia="仿宋_GB2312"/>
          <w:sz w:val="32"/>
          <w:szCs w:val="32"/>
        </w:rPr>
        <w:t>其中</w:t>
      </w:r>
      <w:r>
        <w:rPr>
          <w:rFonts w:hint="eastAsia" w:eastAsia="仿宋_GB2312"/>
          <w:sz w:val="32"/>
          <w:szCs w:val="32"/>
        </w:rPr>
        <w:t>：</w:t>
      </w:r>
      <w:r>
        <w:rPr>
          <w:rFonts w:eastAsia="仿宋_GB2312"/>
          <w:sz w:val="32"/>
          <w:szCs w:val="32"/>
        </w:rPr>
        <w:t>医疗保险待遇支出113519.24万元，购买大额医疗保险支出16570.61万元</w:t>
      </w:r>
      <w:r>
        <w:rPr>
          <w:rFonts w:hint="eastAsia" w:eastAsia="仿宋_GB2312"/>
          <w:sz w:val="32"/>
          <w:szCs w:val="32"/>
        </w:rPr>
        <w:t>），</w:t>
      </w:r>
      <w:r>
        <w:rPr>
          <w:rFonts w:eastAsia="仿宋_GB2312"/>
          <w:sz w:val="32"/>
          <w:szCs w:val="32"/>
        </w:rPr>
        <w:t>全年预算支出执行率118.97%。</w:t>
      </w:r>
    </w:p>
    <w:p>
      <w:pPr>
        <w:adjustRightInd w:val="0"/>
        <w:snapToGrid w:val="0"/>
        <w:spacing w:line="560" w:lineRule="exact"/>
        <w:ind w:firstLine="640" w:firstLineChars="200"/>
        <w:rPr>
          <w:rFonts w:eastAsia="仿宋_GB2312"/>
          <w:sz w:val="32"/>
          <w:szCs w:val="32"/>
        </w:rPr>
      </w:pPr>
      <w:r>
        <w:rPr>
          <w:rFonts w:eastAsia="仿宋_GB2312"/>
          <w:sz w:val="32"/>
          <w:szCs w:val="32"/>
        </w:rPr>
        <w:t>2019年伊犁州生育保险基金支出预算数5847.96万元，实际执行数6839.14万元</w:t>
      </w:r>
      <w:r>
        <w:rPr>
          <w:rFonts w:hint="eastAsia" w:eastAsia="仿宋_GB2312"/>
          <w:sz w:val="32"/>
          <w:szCs w:val="32"/>
        </w:rPr>
        <w:t>（</w:t>
      </w:r>
      <w:r>
        <w:rPr>
          <w:rFonts w:eastAsia="仿宋_GB2312"/>
          <w:sz w:val="32"/>
          <w:szCs w:val="32"/>
        </w:rPr>
        <w:t>其中</w:t>
      </w:r>
      <w:r>
        <w:rPr>
          <w:rFonts w:hint="eastAsia" w:eastAsia="仿宋_GB2312"/>
          <w:sz w:val="32"/>
          <w:szCs w:val="32"/>
        </w:rPr>
        <w:t>：</w:t>
      </w:r>
      <w:r>
        <w:rPr>
          <w:rFonts w:eastAsia="仿宋_GB2312"/>
          <w:sz w:val="32"/>
          <w:szCs w:val="32"/>
        </w:rPr>
        <w:t>生育医疗费支出2658.88万元</w:t>
      </w:r>
      <w:r>
        <w:rPr>
          <w:rFonts w:hint="eastAsia" w:eastAsia="仿宋_GB2312"/>
          <w:sz w:val="32"/>
          <w:szCs w:val="32"/>
        </w:rPr>
        <w:t>、</w:t>
      </w:r>
      <w:r>
        <w:rPr>
          <w:rFonts w:eastAsia="仿宋_GB2312"/>
          <w:sz w:val="32"/>
          <w:szCs w:val="32"/>
        </w:rPr>
        <w:t>生育津贴支出4152.39万元</w:t>
      </w:r>
      <w:r>
        <w:rPr>
          <w:rFonts w:hint="eastAsia" w:eastAsia="仿宋_GB2312"/>
          <w:sz w:val="32"/>
          <w:szCs w:val="32"/>
        </w:rPr>
        <w:t>、</w:t>
      </w:r>
      <w:r>
        <w:rPr>
          <w:rFonts w:eastAsia="仿宋_GB2312"/>
          <w:sz w:val="32"/>
          <w:szCs w:val="32"/>
        </w:rPr>
        <w:t>计划生育支出27.87万元</w:t>
      </w:r>
      <w:r>
        <w:rPr>
          <w:rFonts w:hint="eastAsia" w:eastAsia="仿宋_GB2312"/>
          <w:sz w:val="32"/>
          <w:szCs w:val="32"/>
        </w:rPr>
        <w:t>），</w:t>
      </w:r>
      <w:r>
        <w:rPr>
          <w:rFonts w:eastAsia="仿宋_GB2312"/>
          <w:sz w:val="32"/>
          <w:szCs w:val="32"/>
        </w:rPr>
        <w:t>全年预算支出执行率116.95%，全年享受生育医疗费报销10050人、生育津贴待遇领取2086人。</w:t>
      </w:r>
    </w:p>
    <w:p>
      <w:pPr>
        <w:adjustRightInd w:val="0"/>
        <w:snapToGrid w:val="0"/>
        <w:spacing w:line="560" w:lineRule="exact"/>
        <w:ind w:firstLine="640" w:firstLineChars="200"/>
        <w:rPr>
          <w:rFonts w:eastAsia="仿宋_GB2312"/>
          <w:sz w:val="32"/>
          <w:szCs w:val="32"/>
        </w:rPr>
      </w:pPr>
      <w:r>
        <w:rPr>
          <w:rFonts w:eastAsia="仿宋_GB2312"/>
          <w:sz w:val="32"/>
          <w:szCs w:val="32"/>
        </w:rPr>
        <w:t>2.2019年伊犁州医疗保障局挂牌成立以来，严格执行各项医保政策，注重政策研究和补短板，</w:t>
      </w:r>
      <w:r>
        <w:rPr>
          <w:rFonts w:hint="eastAsia" w:eastAsia="仿宋_GB2312"/>
          <w:sz w:val="32"/>
          <w:szCs w:val="32"/>
        </w:rPr>
        <w:t>引导</w:t>
      </w:r>
      <w:r>
        <w:rPr>
          <w:rFonts w:eastAsia="仿宋_GB2312"/>
          <w:sz w:val="32"/>
          <w:szCs w:val="32"/>
        </w:rPr>
        <w:t>参保患者合规医疗</w:t>
      </w:r>
      <w:r>
        <w:rPr>
          <w:rFonts w:hint="eastAsia" w:eastAsia="仿宋_GB2312"/>
          <w:sz w:val="32"/>
          <w:szCs w:val="32"/>
        </w:rPr>
        <w:t>，做到</w:t>
      </w:r>
      <w:r>
        <w:rPr>
          <w:rFonts w:eastAsia="仿宋_GB2312"/>
          <w:sz w:val="32"/>
          <w:szCs w:val="32"/>
        </w:rPr>
        <w:t>生育保险应享受待遇金额与实际享受待遇金额差额为零。</w:t>
      </w:r>
    </w:p>
    <w:p>
      <w:pPr>
        <w:adjustRightInd w:val="0"/>
        <w:snapToGrid w:val="0"/>
        <w:spacing w:line="560" w:lineRule="exact"/>
        <w:ind w:firstLine="640" w:firstLineChars="200"/>
        <w:rPr>
          <w:rFonts w:eastAsia="仿宋_GB2312"/>
          <w:sz w:val="32"/>
          <w:szCs w:val="32"/>
        </w:rPr>
      </w:pPr>
      <w:r>
        <w:rPr>
          <w:rFonts w:eastAsia="仿宋_GB2312"/>
          <w:sz w:val="32"/>
          <w:szCs w:val="32"/>
        </w:rPr>
        <w:t>3.通过一站式结算，依靠系统结算、人工审核等保证了医疗、生育待遇计算准确率99.99%以上。</w:t>
      </w:r>
    </w:p>
    <w:p>
      <w:pPr>
        <w:adjustRightInd w:val="0"/>
        <w:snapToGrid w:val="0"/>
        <w:spacing w:line="560" w:lineRule="exact"/>
        <w:ind w:firstLine="640" w:firstLineChars="200"/>
        <w:rPr>
          <w:rFonts w:eastAsia="仿宋_GB2312"/>
          <w:sz w:val="32"/>
          <w:szCs w:val="32"/>
        </w:rPr>
      </w:pPr>
      <w:r>
        <w:rPr>
          <w:rFonts w:eastAsia="仿宋_GB2312"/>
          <w:sz w:val="32"/>
          <w:szCs w:val="32"/>
        </w:rPr>
        <w:t>4.全年有95416</w:t>
      </w:r>
      <w:r>
        <w:rPr>
          <w:rFonts w:hint="eastAsia" w:eastAsia="仿宋_GB2312"/>
          <w:sz w:val="32"/>
          <w:szCs w:val="32"/>
        </w:rPr>
        <w:t>人享受城镇</w:t>
      </w:r>
      <w:r>
        <w:rPr>
          <w:rFonts w:eastAsia="仿宋_GB2312"/>
          <w:sz w:val="32"/>
          <w:szCs w:val="32"/>
        </w:rPr>
        <w:t>职工住院就医</w:t>
      </w:r>
      <w:r>
        <w:rPr>
          <w:rFonts w:hint="eastAsia" w:eastAsia="仿宋_GB2312"/>
          <w:sz w:val="32"/>
          <w:szCs w:val="32"/>
        </w:rPr>
        <w:t>、</w:t>
      </w:r>
      <w:r>
        <w:rPr>
          <w:rFonts w:eastAsia="仿宋_GB2312"/>
          <w:sz w:val="32"/>
          <w:szCs w:val="32"/>
        </w:rPr>
        <w:t>54768</w:t>
      </w:r>
      <w:r>
        <w:rPr>
          <w:rFonts w:hint="eastAsia" w:eastAsia="仿宋_GB2312"/>
          <w:sz w:val="32"/>
          <w:szCs w:val="32"/>
        </w:rPr>
        <w:t>人</w:t>
      </w:r>
      <w:r>
        <w:rPr>
          <w:rFonts w:eastAsia="仿宋_GB2312"/>
          <w:sz w:val="32"/>
          <w:szCs w:val="32"/>
        </w:rPr>
        <w:t>享受门诊统筹待遇</w:t>
      </w:r>
      <w:r>
        <w:rPr>
          <w:rFonts w:hint="eastAsia" w:eastAsia="仿宋_GB2312"/>
          <w:sz w:val="32"/>
          <w:szCs w:val="32"/>
        </w:rPr>
        <w:t>；</w:t>
      </w:r>
      <w:r>
        <w:rPr>
          <w:rFonts w:eastAsia="仿宋_GB2312"/>
          <w:sz w:val="32"/>
          <w:szCs w:val="32"/>
        </w:rPr>
        <w:t>777606人享受城乡居民医保待遇。全年</w:t>
      </w:r>
      <w:r>
        <w:rPr>
          <w:rFonts w:hint="eastAsia" w:eastAsia="仿宋_GB2312"/>
          <w:sz w:val="32"/>
          <w:szCs w:val="32"/>
        </w:rPr>
        <w:t>生</w:t>
      </w:r>
      <w:r>
        <w:rPr>
          <w:rFonts w:eastAsia="仿宋_GB2312"/>
          <w:sz w:val="32"/>
          <w:szCs w:val="32"/>
        </w:rPr>
        <w:t>育保险医疗费报销10050人</w:t>
      </w:r>
      <w:r>
        <w:rPr>
          <w:rFonts w:hint="eastAsia" w:eastAsia="仿宋_GB2312"/>
          <w:sz w:val="32"/>
          <w:szCs w:val="32"/>
        </w:rPr>
        <w:t>次</w:t>
      </w:r>
      <w:r>
        <w:rPr>
          <w:rFonts w:eastAsia="仿宋_GB2312"/>
          <w:sz w:val="32"/>
          <w:szCs w:val="32"/>
        </w:rPr>
        <w:t>，完成预期目标8251人次的121.80%。</w:t>
      </w:r>
    </w:p>
    <w:p>
      <w:pPr>
        <w:adjustRightInd w:val="0"/>
        <w:snapToGrid w:val="0"/>
        <w:spacing w:line="560" w:lineRule="exact"/>
        <w:ind w:firstLine="640" w:firstLineChars="200"/>
        <w:rPr>
          <w:rFonts w:eastAsia="仿宋_GB2312"/>
          <w:sz w:val="32"/>
          <w:szCs w:val="32"/>
        </w:rPr>
      </w:pPr>
      <w:r>
        <w:rPr>
          <w:rFonts w:eastAsia="仿宋_GB2312"/>
          <w:sz w:val="32"/>
          <w:szCs w:val="32"/>
        </w:rPr>
        <w:t>5.州医疗保障局每月10日前向财政部门提交次月资金需求申请、每月20日前拨付至各县市医保局，州本级及县市医保局每月25日前支付各家医疗机构预付金，次月10前完成各医疗机构及药店上月医保基金结算工作。通过及时拨款，保障就医参保人员医疗生育保险各项待遇按时兑现。</w:t>
      </w:r>
    </w:p>
    <w:p>
      <w:pPr>
        <w:adjustRightInd w:val="0"/>
        <w:snapToGrid w:val="0"/>
        <w:spacing w:line="560" w:lineRule="exact"/>
        <w:ind w:firstLine="640" w:firstLineChars="200"/>
        <w:rPr>
          <w:rFonts w:eastAsia="仿宋_GB2312"/>
          <w:snapToGrid w:val="0"/>
          <w:kern w:val="0"/>
          <w:sz w:val="32"/>
          <w:szCs w:val="32"/>
        </w:rPr>
      </w:pPr>
      <w:r>
        <w:rPr>
          <w:rFonts w:eastAsia="仿宋_GB2312"/>
          <w:sz w:val="32"/>
          <w:szCs w:val="32"/>
        </w:rPr>
        <w:t>6.事前通过政策研究</w:t>
      </w:r>
      <w:r>
        <w:rPr>
          <w:rFonts w:hint="eastAsia" w:eastAsia="仿宋_GB2312"/>
          <w:sz w:val="32"/>
          <w:szCs w:val="32"/>
        </w:rPr>
        <w:t>、</w:t>
      </w:r>
      <w:r>
        <w:rPr>
          <w:rFonts w:eastAsia="仿宋_GB2312"/>
          <w:sz w:val="32"/>
          <w:szCs w:val="32"/>
        </w:rPr>
        <w:t>严格把关，避免违规操作</w:t>
      </w:r>
      <w:r>
        <w:rPr>
          <w:rFonts w:hint="eastAsia" w:eastAsia="仿宋_GB2312"/>
          <w:sz w:val="32"/>
          <w:szCs w:val="32"/>
        </w:rPr>
        <w:t>；</w:t>
      </w:r>
      <w:r>
        <w:rPr>
          <w:rFonts w:eastAsia="仿宋_GB2312"/>
          <w:sz w:val="32"/>
          <w:szCs w:val="32"/>
        </w:rPr>
        <w:t>事后</w:t>
      </w:r>
      <w:r>
        <w:rPr>
          <w:rFonts w:eastAsia="仿宋_GB2312"/>
          <w:snapToGrid w:val="0"/>
          <w:kern w:val="0"/>
          <w:sz w:val="32"/>
          <w:szCs w:val="32"/>
        </w:rPr>
        <w:t>通过现场稽核、智能监控、信息比对、数据检索等手段，开展全覆盖稽核排查，保证基金</w:t>
      </w:r>
      <w:r>
        <w:rPr>
          <w:rFonts w:hint="eastAsia" w:eastAsia="仿宋_GB2312"/>
          <w:snapToGrid w:val="0"/>
          <w:kern w:val="0"/>
          <w:sz w:val="32"/>
          <w:szCs w:val="32"/>
        </w:rPr>
        <w:t>收支</w:t>
      </w:r>
      <w:r>
        <w:rPr>
          <w:rFonts w:eastAsia="仿宋_GB2312"/>
          <w:snapToGrid w:val="0"/>
          <w:kern w:val="0"/>
          <w:sz w:val="32"/>
          <w:szCs w:val="32"/>
        </w:rPr>
        <w:t>合规。</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7.为基金支出与政策研究相匹配，控制可支付月数在合理范围内。2019年</w:t>
      </w:r>
      <w:r>
        <w:rPr>
          <w:rFonts w:hint="eastAsia" w:eastAsia="仿宋_GB2312"/>
          <w:snapToGrid w:val="0"/>
          <w:kern w:val="0"/>
          <w:sz w:val="32"/>
          <w:szCs w:val="32"/>
        </w:rPr>
        <w:t>，</w:t>
      </w:r>
      <w:r>
        <w:rPr>
          <w:rFonts w:eastAsia="仿宋_GB2312"/>
          <w:snapToGrid w:val="0"/>
          <w:kern w:val="0"/>
          <w:sz w:val="32"/>
          <w:szCs w:val="32"/>
        </w:rPr>
        <w:t>城镇职工医疗保险基金可支付月数</w:t>
      </w:r>
      <w:r>
        <w:rPr>
          <w:rFonts w:hint="eastAsia" w:eastAsia="仿宋_GB2312"/>
          <w:snapToGrid w:val="0"/>
          <w:kern w:val="0"/>
          <w:sz w:val="32"/>
          <w:szCs w:val="32"/>
        </w:rPr>
        <w:t>为</w:t>
      </w:r>
      <w:r>
        <w:rPr>
          <w:rFonts w:eastAsia="仿宋_GB2312"/>
          <w:snapToGrid w:val="0"/>
          <w:kern w:val="0"/>
          <w:sz w:val="32"/>
          <w:szCs w:val="32"/>
        </w:rPr>
        <w:t>14.69</w:t>
      </w:r>
      <w:r>
        <w:rPr>
          <w:rFonts w:hint="eastAsia" w:eastAsia="仿宋_GB2312"/>
          <w:snapToGrid w:val="0"/>
          <w:kern w:val="0"/>
          <w:sz w:val="32"/>
          <w:szCs w:val="32"/>
        </w:rPr>
        <w:t>个月</w:t>
      </w:r>
      <w:r>
        <w:rPr>
          <w:rFonts w:eastAsia="仿宋_GB2312"/>
          <w:snapToGrid w:val="0"/>
          <w:kern w:val="0"/>
          <w:sz w:val="32"/>
          <w:szCs w:val="32"/>
        </w:rPr>
        <w:t>，城乡居民医疗保险基金可支付月数</w:t>
      </w:r>
      <w:r>
        <w:rPr>
          <w:rFonts w:hint="eastAsia" w:eastAsia="仿宋_GB2312"/>
          <w:snapToGrid w:val="0"/>
          <w:kern w:val="0"/>
          <w:sz w:val="32"/>
          <w:szCs w:val="32"/>
        </w:rPr>
        <w:t>为</w:t>
      </w:r>
      <w:r>
        <w:rPr>
          <w:rFonts w:eastAsia="仿宋_GB2312"/>
          <w:snapToGrid w:val="0"/>
          <w:kern w:val="0"/>
          <w:sz w:val="32"/>
          <w:szCs w:val="32"/>
        </w:rPr>
        <w:t>9.4</w:t>
      </w:r>
      <w:r>
        <w:rPr>
          <w:rFonts w:hint="eastAsia" w:eastAsia="仿宋_GB2312"/>
          <w:snapToGrid w:val="0"/>
          <w:kern w:val="0"/>
          <w:sz w:val="32"/>
          <w:szCs w:val="32"/>
        </w:rPr>
        <w:t>个月</w:t>
      </w:r>
      <w:r>
        <w:rPr>
          <w:rFonts w:eastAsia="仿宋_GB2312"/>
          <w:snapToGrid w:val="0"/>
          <w:kern w:val="0"/>
          <w:sz w:val="32"/>
          <w:szCs w:val="32"/>
        </w:rPr>
        <w:t>，生育保险基金可支付月数</w:t>
      </w:r>
      <w:r>
        <w:rPr>
          <w:rFonts w:hint="eastAsia" w:eastAsia="仿宋_GB2312"/>
          <w:snapToGrid w:val="0"/>
          <w:kern w:val="0"/>
          <w:sz w:val="32"/>
          <w:szCs w:val="32"/>
        </w:rPr>
        <w:t>为</w:t>
      </w:r>
      <w:r>
        <w:rPr>
          <w:rFonts w:eastAsia="仿宋_GB2312"/>
          <w:snapToGrid w:val="0"/>
          <w:kern w:val="0"/>
          <w:sz w:val="32"/>
          <w:szCs w:val="32"/>
        </w:rPr>
        <w:t>33</w:t>
      </w:r>
      <w:r>
        <w:rPr>
          <w:rFonts w:hint="eastAsia" w:eastAsia="仿宋_GB2312"/>
          <w:snapToGrid w:val="0"/>
          <w:kern w:val="0"/>
          <w:sz w:val="32"/>
          <w:szCs w:val="32"/>
        </w:rPr>
        <w:t>个月</w:t>
      </w:r>
      <w:r>
        <w:rPr>
          <w:rFonts w:eastAsia="仿宋_GB2312"/>
          <w:snapToGrid w:val="0"/>
          <w:kern w:val="0"/>
          <w:sz w:val="32"/>
          <w:szCs w:val="32"/>
        </w:rPr>
        <w:t>，基金支付能力较强。</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8.采取预拨方式向定点医疗机构提前拨付医保支付范围内的资金，延伸结算平台终端至各医疗机构，实现医疗救助与基本医疗保险、城乡居民大病保险和低保补充医疗保险结算的无缝衔接，做到让群众少跑腿、信息数据多跑路。通过政策宣传、热情接待、耐心回答</w:t>
      </w:r>
      <w:r>
        <w:rPr>
          <w:rFonts w:hint="eastAsia" w:eastAsia="仿宋_GB2312"/>
          <w:snapToGrid w:val="0"/>
          <w:kern w:val="0"/>
          <w:sz w:val="32"/>
          <w:szCs w:val="32"/>
        </w:rPr>
        <w:t>，</w:t>
      </w:r>
      <w:r>
        <w:rPr>
          <w:rFonts w:eastAsia="仿宋_GB2312"/>
          <w:snapToGrid w:val="0"/>
          <w:kern w:val="0"/>
          <w:sz w:val="32"/>
          <w:szCs w:val="32"/>
        </w:rPr>
        <w:t>群众满意率</w:t>
      </w:r>
      <w:r>
        <w:rPr>
          <w:rFonts w:hint="eastAsia" w:eastAsia="仿宋_GB2312"/>
          <w:snapToGrid w:val="0"/>
          <w:kern w:val="0"/>
          <w:sz w:val="32"/>
          <w:szCs w:val="32"/>
        </w:rPr>
        <w:t>较高</w:t>
      </w:r>
      <w:r>
        <w:rPr>
          <w:rFonts w:eastAsia="仿宋_GB2312"/>
          <w:snapToGrid w:val="0"/>
          <w:kern w:val="0"/>
          <w:sz w:val="32"/>
          <w:szCs w:val="32"/>
        </w:rPr>
        <w:t>。</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9.形成</w:t>
      </w:r>
      <w:r>
        <w:rPr>
          <w:rFonts w:hint="eastAsia" w:eastAsia="仿宋_GB2312"/>
          <w:snapToGrid w:val="0"/>
          <w:kern w:val="0"/>
          <w:sz w:val="32"/>
          <w:szCs w:val="32"/>
        </w:rPr>
        <w:t>定期与</w:t>
      </w:r>
      <w:r>
        <w:rPr>
          <w:rFonts w:eastAsia="仿宋_GB2312"/>
          <w:snapToGrid w:val="0"/>
          <w:kern w:val="0"/>
          <w:sz w:val="32"/>
          <w:szCs w:val="32"/>
        </w:rPr>
        <w:t>财政、税务</w:t>
      </w:r>
      <w:r>
        <w:rPr>
          <w:rFonts w:hint="eastAsia" w:eastAsia="仿宋_GB2312"/>
          <w:snapToGrid w:val="0"/>
          <w:kern w:val="0"/>
          <w:sz w:val="32"/>
          <w:szCs w:val="32"/>
        </w:rPr>
        <w:t>等部门</w:t>
      </w:r>
      <w:r>
        <w:rPr>
          <w:rFonts w:eastAsia="仿宋_GB2312"/>
          <w:snapToGrid w:val="0"/>
          <w:kern w:val="0"/>
          <w:sz w:val="32"/>
          <w:szCs w:val="32"/>
        </w:rPr>
        <w:t>对账机制，保证基金核算准确性。及时编制月度、季度、年度基金报表，每月结束5日内报送月报，每季度结束15日内报送基金季报及分析，年度结束20日内报送决算报表及年报分析。</w:t>
      </w:r>
    </w:p>
    <w:p>
      <w:pPr>
        <w:adjustRightInd w:val="0"/>
        <w:snapToGrid w:val="0"/>
        <w:spacing w:line="560" w:lineRule="exact"/>
        <w:ind w:firstLine="640"/>
        <w:rPr>
          <w:rStyle w:val="19"/>
          <w:rFonts w:eastAsia="黑体"/>
          <w:b w:val="0"/>
          <w:spacing w:val="-4"/>
          <w:sz w:val="32"/>
          <w:szCs w:val="32"/>
        </w:rPr>
      </w:pPr>
      <w:bookmarkStart w:id="2" w:name="_Toc317761057"/>
      <w:bookmarkStart w:id="3" w:name="_Toc24892"/>
      <w:bookmarkStart w:id="4" w:name="_Toc475126038"/>
      <w:bookmarkStart w:id="5" w:name="_Toc443496973"/>
      <w:r>
        <w:rPr>
          <w:rStyle w:val="19"/>
          <w:rFonts w:eastAsia="黑体"/>
          <w:b w:val="0"/>
          <w:spacing w:val="-4"/>
          <w:sz w:val="32"/>
          <w:szCs w:val="32"/>
        </w:rPr>
        <w:t>四、其他需要说明的问题</w:t>
      </w:r>
    </w:p>
    <w:p>
      <w:pPr>
        <w:adjustRightInd w:val="0"/>
        <w:snapToGrid w:val="0"/>
        <w:spacing w:line="560" w:lineRule="exact"/>
        <w:ind w:firstLine="567"/>
        <w:rPr>
          <w:rStyle w:val="19"/>
          <w:rFonts w:ascii="楷体_GB2312" w:eastAsia="楷体_GB2312"/>
          <w:spacing w:val="-4"/>
          <w:sz w:val="32"/>
          <w:szCs w:val="32"/>
        </w:rPr>
      </w:pPr>
      <w:r>
        <w:rPr>
          <w:rStyle w:val="19"/>
          <w:rFonts w:hint="eastAsia" w:ascii="楷体_GB2312" w:eastAsia="楷体_GB2312"/>
          <w:spacing w:val="-4"/>
          <w:sz w:val="32"/>
          <w:szCs w:val="32"/>
        </w:rPr>
        <w:t>（一）后续工作计划</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1</w:t>
      </w:r>
      <w:r>
        <w:rPr>
          <w:rFonts w:eastAsia="仿宋_GB2312"/>
          <w:b/>
          <w:snapToGrid w:val="0"/>
          <w:kern w:val="0"/>
          <w:sz w:val="32"/>
          <w:szCs w:val="32"/>
        </w:rPr>
        <w:t>.推进医保精准扶贫</w:t>
      </w:r>
      <w:r>
        <w:rPr>
          <w:rFonts w:eastAsia="仿宋_GB2312"/>
          <w:snapToGrid w:val="0"/>
          <w:kern w:val="0"/>
          <w:sz w:val="32"/>
          <w:szCs w:val="32"/>
        </w:rPr>
        <w:t>。从严落实贫困人口应保尽保硬指标，贫困人口基本医疗保险、大病保险、医疗救助覆盖率达到100%。精准落实贫困人口缴费资助政策，严格执行特困人员全额资助和建档立卡贫困人口、低保对象定额资助要求。继续实行医保扶贫政策清单管理，按照《医疗保障扶贫三年行动实施方案》，进一步完善基本医保、大病保险和医疗救助“三道防线”。</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2</w:t>
      </w:r>
      <w:r>
        <w:rPr>
          <w:rFonts w:eastAsia="仿宋_GB2312"/>
          <w:b/>
          <w:snapToGrid w:val="0"/>
          <w:kern w:val="0"/>
          <w:sz w:val="32"/>
          <w:szCs w:val="32"/>
        </w:rPr>
        <w:t>.加强医保基金监管</w:t>
      </w:r>
      <w:r>
        <w:rPr>
          <w:rFonts w:eastAsia="仿宋_GB2312"/>
          <w:snapToGrid w:val="0"/>
          <w:kern w:val="0"/>
          <w:sz w:val="32"/>
          <w:szCs w:val="32"/>
        </w:rPr>
        <w:t>。继续推进全民医保计划，</w:t>
      </w:r>
      <w:bookmarkStart w:id="6" w:name="_Hlk21601759"/>
      <w:r>
        <w:rPr>
          <w:rFonts w:eastAsia="仿宋_GB2312"/>
          <w:snapToGrid w:val="0"/>
          <w:kern w:val="0"/>
          <w:sz w:val="32"/>
          <w:szCs w:val="32"/>
        </w:rPr>
        <w:t>全力做好参保登记，</w:t>
      </w:r>
      <w:bookmarkEnd w:id="6"/>
      <w:r>
        <w:rPr>
          <w:rFonts w:eastAsia="仿宋_GB2312"/>
          <w:snapToGrid w:val="0"/>
          <w:kern w:val="0"/>
          <w:sz w:val="32"/>
          <w:szCs w:val="32"/>
        </w:rPr>
        <w:t>确保州直基本医疗保险参保率在95%以上。加强账户运行、人员培训、系统维护等工作，预算偏离度控制在10%以内。巩固提升“打击欺诈骗保专项治理”成果，落实举报奖励办法，推进医疗保障基金智能监控系统建设和应用，完善第三方监督机制。</w:t>
      </w:r>
      <w:r>
        <w:rPr>
          <w:rFonts w:eastAsia="仿宋_GB2312"/>
          <w:snapToGrid w:val="0"/>
          <w:color w:val="000000"/>
          <w:kern w:val="0"/>
          <w:sz w:val="32"/>
          <w:szCs w:val="32"/>
        </w:rPr>
        <w:t>统一制定基金管理和风险防控流程，建立起涵盖业务受理、审核复核、稽核审计、财务管理、分管领导等全要素口径的监管流程。</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3</w:t>
      </w:r>
      <w:r>
        <w:rPr>
          <w:rFonts w:eastAsia="仿宋_GB2312"/>
          <w:b/>
          <w:snapToGrid w:val="0"/>
          <w:kern w:val="0"/>
          <w:sz w:val="32"/>
          <w:szCs w:val="32"/>
        </w:rPr>
        <w:t>.稳步整合基础制度</w:t>
      </w:r>
      <w:r>
        <w:rPr>
          <w:rFonts w:eastAsia="仿宋_GB2312"/>
          <w:snapToGrid w:val="0"/>
          <w:kern w:val="0"/>
          <w:sz w:val="32"/>
          <w:szCs w:val="32"/>
        </w:rPr>
        <w:t>。总结生育保险和职工基本医疗保险合并实施进展情况，持续推动“两险”的政策、经办的无缝衔接。积极借鉴国家和自治区长期护理保险制度试点经验，推进自治州长期护理保险制度试点工作。对照国家医疗保障待遇清单，认真梳理州直范围内各项医保政策，统一规范“保基本”的内涵外延。完善医疗救助经办规程，</w:t>
      </w:r>
      <w:r>
        <w:rPr>
          <w:rStyle w:val="19"/>
          <w:rFonts w:hint="eastAsia" w:eastAsia="仿宋_GB2312"/>
          <w:b w:val="0"/>
          <w:snapToGrid w:val="0"/>
          <w:kern w:val="0"/>
          <w:sz w:val="32"/>
          <w:szCs w:val="32"/>
        </w:rPr>
        <w:t>完善</w:t>
      </w:r>
      <w:r>
        <w:rPr>
          <w:rStyle w:val="19"/>
          <w:rFonts w:eastAsia="仿宋_GB2312"/>
          <w:b w:val="0"/>
          <w:snapToGrid w:val="0"/>
          <w:kern w:val="0"/>
          <w:sz w:val="32"/>
          <w:szCs w:val="32"/>
        </w:rPr>
        <w:t>二次救助政策</w:t>
      </w:r>
      <w:r>
        <w:rPr>
          <w:rStyle w:val="19"/>
          <w:rFonts w:hint="eastAsia" w:eastAsia="仿宋_GB2312"/>
          <w:b w:val="0"/>
          <w:snapToGrid w:val="0"/>
          <w:kern w:val="0"/>
          <w:sz w:val="32"/>
          <w:szCs w:val="32"/>
        </w:rPr>
        <w:t>、</w:t>
      </w:r>
      <w:r>
        <w:rPr>
          <w:rStyle w:val="19"/>
          <w:rFonts w:eastAsia="仿宋_GB2312"/>
          <w:b w:val="0"/>
          <w:snapToGrid w:val="0"/>
          <w:kern w:val="0"/>
          <w:sz w:val="32"/>
          <w:szCs w:val="32"/>
        </w:rPr>
        <w:t>流程和标准。</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4</w:t>
      </w:r>
      <w:r>
        <w:rPr>
          <w:rFonts w:eastAsia="仿宋_GB2312"/>
          <w:b/>
          <w:snapToGrid w:val="0"/>
          <w:kern w:val="0"/>
          <w:sz w:val="32"/>
          <w:szCs w:val="32"/>
        </w:rPr>
        <w:t>.深化支付方式改革</w:t>
      </w:r>
      <w:r>
        <w:rPr>
          <w:rFonts w:eastAsia="仿宋_GB2312"/>
          <w:snapToGrid w:val="0"/>
          <w:kern w:val="0"/>
          <w:sz w:val="32"/>
          <w:szCs w:val="32"/>
        </w:rPr>
        <w:t>。完善“总额预付+四项指标核算”支付方式，全面推开按病种付费改革，逐步扩大按病种付费的病种数量，切实激发医疗机构规范行为、控制成本、合理收治的内生动力。继续开展跨省异地就医平台联网的扩围工作，将更多符合条件的医疗机构纳入</w:t>
      </w:r>
      <w:bookmarkStart w:id="7" w:name="_Hlk13913520"/>
      <w:r>
        <w:rPr>
          <w:rFonts w:eastAsia="仿宋_GB2312"/>
          <w:snapToGrid w:val="0"/>
          <w:kern w:val="0"/>
          <w:sz w:val="32"/>
          <w:szCs w:val="32"/>
        </w:rPr>
        <w:t>跨省就医直接结算</w:t>
      </w:r>
      <w:bookmarkEnd w:id="7"/>
      <w:r>
        <w:rPr>
          <w:rFonts w:eastAsia="仿宋_GB2312"/>
          <w:snapToGrid w:val="0"/>
          <w:kern w:val="0"/>
          <w:sz w:val="32"/>
          <w:szCs w:val="32"/>
        </w:rPr>
        <w:t>范围。</w:t>
      </w:r>
    </w:p>
    <w:p>
      <w:pPr>
        <w:adjustRightInd w:val="0"/>
        <w:snapToGrid w:val="0"/>
        <w:spacing w:line="560" w:lineRule="exact"/>
        <w:ind w:firstLine="640" w:firstLineChars="200"/>
        <w:rPr>
          <w:rFonts w:eastAsia="仿宋_GB2312"/>
          <w:snapToGrid w:val="0"/>
          <w:kern w:val="0"/>
          <w:sz w:val="32"/>
          <w:szCs w:val="32"/>
        </w:rPr>
      </w:pPr>
      <w:r>
        <w:rPr>
          <w:rFonts w:eastAsia="仿宋_GB2312"/>
          <w:snapToGrid w:val="0"/>
          <w:kern w:val="0"/>
          <w:sz w:val="32"/>
          <w:szCs w:val="32"/>
        </w:rPr>
        <w:t>5.</w:t>
      </w:r>
      <w:r>
        <w:rPr>
          <w:rFonts w:eastAsia="仿宋_GB2312"/>
          <w:b/>
          <w:snapToGrid w:val="0"/>
          <w:kern w:val="0"/>
          <w:sz w:val="32"/>
          <w:szCs w:val="32"/>
        </w:rPr>
        <w:t>提升信息建设水平</w:t>
      </w:r>
      <w:r>
        <w:rPr>
          <w:rFonts w:eastAsia="仿宋_GB2312"/>
          <w:snapToGrid w:val="0"/>
          <w:kern w:val="0"/>
          <w:sz w:val="32"/>
          <w:szCs w:val="32"/>
        </w:rPr>
        <w:t>。落实《关于医疗保障信息化工作的指导意见》要求，积极会同人社部门推进三版系统的上线升级，做好网上缴费、线上结算、后台查询、数据比对、智能监控等工作。完善监管数据库，实现与卫健等部门的数据对接，建立完善“事前预防、事中控制、事后审核”的监控流程和指标体系。</w:t>
      </w:r>
    </w:p>
    <w:p>
      <w:pPr>
        <w:adjustRightInd w:val="0"/>
        <w:snapToGrid w:val="0"/>
        <w:spacing w:line="560" w:lineRule="exact"/>
        <w:ind w:firstLine="640" w:firstLineChars="200"/>
        <w:rPr>
          <w:rStyle w:val="19"/>
          <w:rFonts w:eastAsia="仿宋_GB2312"/>
          <w:spacing w:val="-4"/>
          <w:sz w:val="32"/>
          <w:szCs w:val="32"/>
        </w:rPr>
      </w:pPr>
      <w:r>
        <w:rPr>
          <w:rFonts w:eastAsia="仿宋_GB2312"/>
          <w:snapToGrid w:val="0"/>
          <w:kern w:val="0"/>
          <w:sz w:val="32"/>
          <w:szCs w:val="32"/>
        </w:rPr>
        <w:t>6</w:t>
      </w:r>
      <w:r>
        <w:rPr>
          <w:rFonts w:eastAsia="仿宋_GB2312"/>
          <w:b/>
          <w:snapToGrid w:val="0"/>
          <w:kern w:val="0"/>
          <w:sz w:val="32"/>
          <w:szCs w:val="32"/>
        </w:rPr>
        <w:t>.助推“三医”联动改革。</w:t>
      </w:r>
      <w:r>
        <w:rPr>
          <w:rFonts w:eastAsia="仿宋_GB2312"/>
          <w:snapToGrid w:val="0"/>
          <w:kern w:val="0"/>
          <w:sz w:val="32"/>
          <w:szCs w:val="32"/>
        </w:rPr>
        <w:t>摸清医用耗材需求底数，配合自治区开展统一带量采购。在测算基金可支付安全线的基础上，总结和完善家庭医生签约工作。统筹考虑群众需求、临床路径和基金承受等因素，适度增加慢性病病种。修订完善定点医药机构服务协议，形成严格有效的定点医药机构约束、监管和退出机制。</w:t>
      </w:r>
    </w:p>
    <w:p>
      <w:pPr>
        <w:adjustRightInd w:val="0"/>
        <w:snapToGrid w:val="0"/>
        <w:spacing w:line="560" w:lineRule="exact"/>
        <w:ind w:firstLine="567"/>
        <w:rPr>
          <w:rStyle w:val="19"/>
          <w:rFonts w:ascii="楷体_GB2312" w:eastAsia="楷体_GB2312"/>
          <w:spacing w:val="-4"/>
          <w:sz w:val="32"/>
          <w:szCs w:val="32"/>
        </w:rPr>
      </w:pPr>
      <w:r>
        <w:rPr>
          <w:rStyle w:val="19"/>
          <w:rFonts w:hint="eastAsia" w:ascii="楷体_GB2312" w:eastAsia="楷体_GB2312"/>
          <w:spacing w:val="-4"/>
          <w:sz w:val="32"/>
          <w:szCs w:val="32"/>
        </w:rPr>
        <w:t>（二）存在的问题</w:t>
      </w:r>
      <w:bookmarkEnd w:id="2"/>
      <w:bookmarkEnd w:id="3"/>
      <w:bookmarkEnd w:id="4"/>
      <w:bookmarkEnd w:id="5"/>
      <w:r>
        <w:rPr>
          <w:rStyle w:val="19"/>
          <w:rFonts w:hint="eastAsia" w:ascii="楷体_GB2312" w:eastAsia="楷体_GB2312"/>
          <w:spacing w:val="-4"/>
          <w:sz w:val="32"/>
          <w:szCs w:val="32"/>
        </w:rPr>
        <w:t>及建议</w:t>
      </w:r>
    </w:p>
    <w:p>
      <w:pPr>
        <w:adjustRightInd w:val="0"/>
        <w:snapToGrid w:val="0"/>
        <w:spacing w:line="560" w:lineRule="exact"/>
        <w:ind w:firstLine="624" w:firstLineChars="195"/>
        <w:rPr>
          <w:rFonts w:eastAsia="仿宋_GB2312"/>
          <w:snapToGrid w:val="0"/>
          <w:kern w:val="0"/>
          <w:sz w:val="32"/>
          <w:szCs w:val="32"/>
        </w:rPr>
      </w:pPr>
      <w:r>
        <w:rPr>
          <w:rFonts w:eastAsia="仿宋_GB2312"/>
          <w:snapToGrid w:val="0"/>
          <w:kern w:val="0"/>
          <w:sz w:val="32"/>
          <w:szCs w:val="32"/>
        </w:rPr>
        <w:t>无。</w:t>
      </w:r>
    </w:p>
    <w:p>
      <w:pPr>
        <w:adjustRightInd w:val="0"/>
        <w:snapToGrid w:val="0"/>
        <w:spacing w:line="560" w:lineRule="exact"/>
        <w:ind w:firstLine="640"/>
        <w:rPr>
          <w:rStyle w:val="19"/>
          <w:rFonts w:eastAsia="黑体"/>
          <w:b w:val="0"/>
          <w:spacing w:val="-4"/>
          <w:sz w:val="32"/>
          <w:szCs w:val="32"/>
        </w:rPr>
      </w:pPr>
      <w:r>
        <w:rPr>
          <w:rStyle w:val="19"/>
          <w:rFonts w:eastAsia="黑体"/>
          <w:b w:val="0"/>
          <w:spacing w:val="-4"/>
          <w:sz w:val="32"/>
          <w:szCs w:val="32"/>
        </w:rPr>
        <w:t>五、附表</w:t>
      </w:r>
    </w:p>
    <w:p>
      <w:pPr>
        <w:adjustRightInd w:val="0"/>
        <w:snapToGrid w:val="0"/>
        <w:spacing w:line="560" w:lineRule="exact"/>
        <w:ind w:firstLine="640"/>
        <w:rPr>
          <w:rStyle w:val="19"/>
          <w:rFonts w:eastAsia="仿宋_GB2312"/>
          <w:b w:val="0"/>
          <w:bCs w:val="0"/>
          <w:sz w:val="32"/>
          <w:szCs w:val="32"/>
        </w:rPr>
      </w:pPr>
      <w:r>
        <w:rPr>
          <w:rFonts w:eastAsia="仿宋_GB2312"/>
          <w:sz w:val="32"/>
          <w:szCs w:val="32"/>
        </w:rPr>
        <w:t>伊犁州医疗保险支出绩效自评表</w:t>
      </w:r>
    </w:p>
    <w:sectPr>
      <w:footerReference r:id="rId3" w:type="default"/>
      <w:pgSz w:w="11906" w:h="16838"/>
      <w:pgMar w:top="2098" w:right="1531" w:bottom="1984" w:left="1531" w:header="1134" w:footer="1587"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A07951"/>
    <w:multiLevelType w:val="singleLevel"/>
    <w:tmpl w:val="06A0795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1734"/>
    <w:rsid w:val="00056465"/>
    <w:rsid w:val="00077CCF"/>
    <w:rsid w:val="00096762"/>
    <w:rsid w:val="000E7058"/>
    <w:rsid w:val="000F3878"/>
    <w:rsid w:val="00121AE4"/>
    <w:rsid w:val="00146AAD"/>
    <w:rsid w:val="001B019D"/>
    <w:rsid w:val="001B3A40"/>
    <w:rsid w:val="001B6CEB"/>
    <w:rsid w:val="002314F0"/>
    <w:rsid w:val="002C4738"/>
    <w:rsid w:val="00317D2F"/>
    <w:rsid w:val="00325819"/>
    <w:rsid w:val="00392327"/>
    <w:rsid w:val="003F2744"/>
    <w:rsid w:val="004366A8"/>
    <w:rsid w:val="004973F4"/>
    <w:rsid w:val="00502BA7"/>
    <w:rsid w:val="0051288D"/>
    <w:rsid w:val="005162F1"/>
    <w:rsid w:val="00535153"/>
    <w:rsid w:val="00536224"/>
    <w:rsid w:val="00554F82"/>
    <w:rsid w:val="0056390D"/>
    <w:rsid w:val="005719B0"/>
    <w:rsid w:val="005B0104"/>
    <w:rsid w:val="005D10D6"/>
    <w:rsid w:val="005F382E"/>
    <w:rsid w:val="006877D6"/>
    <w:rsid w:val="0070657A"/>
    <w:rsid w:val="00741077"/>
    <w:rsid w:val="00774FC7"/>
    <w:rsid w:val="00855E3A"/>
    <w:rsid w:val="00892FAA"/>
    <w:rsid w:val="00922CB9"/>
    <w:rsid w:val="00933E99"/>
    <w:rsid w:val="00970A6A"/>
    <w:rsid w:val="00982E2A"/>
    <w:rsid w:val="009A057E"/>
    <w:rsid w:val="009B5D7E"/>
    <w:rsid w:val="009E5CD9"/>
    <w:rsid w:val="009F25CA"/>
    <w:rsid w:val="009F4E7D"/>
    <w:rsid w:val="00A26421"/>
    <w:rsid w:val="00A2784C"/>
    <w:rsid w:val="00A4293B"/>
    <w:rsid w:val="00A67D50"/>
    <w:rsid w:val="00A73951"/>
    <w:rsid w:val="00A8691A"/>
    <w:rsid w:val="00AB6CCE"/>
    <w:rsid w:val="00AC1946"/>
    <w:rsid w:val="00B40063"/>
    <w:rsid w:val="00B41F61"/>
    <w:rsid w:val="00BA46E6"/>
    <w:rsid w:val="00BB200C"/>
    <w:rsid w:val="00BC5DAB"/>
    <w:rsid w:val="00C56C72"/>
    <w:rsid w:val="00C97665"/>
    <w:rsid w:val="00CA6457"/>
    <w:rsid w:val="00D17F2E"/>
    <w:rsid w:val="00D30354"/>
    <w:rsid w:val="00D74428"/>
    <w:rsid w:val="00D80F3B"/>
    <w:rsid w:val="00D95620"/>
    <w:rsid w:val="00DE266E"/>
    <w:rsid w:val="00DF42A0"/>
    <w:rsid w:val="00E25910"/>
    <w:rsid w:val="00E769FE"/>
    <w:rsid w:val="00EA2CBE"/>
    <w:rsid w:val="00EF43B7"/>
    <w:rsid w:val="00F11E8E"/>
    <w:rsid w:val="00F2562C"/>
    <w:rsid w:val="00F32FEE"/>
    <w:rsid w:val="00FB10BB"/>
    <w:rsid w:val="0599686F"/>
    <w:rsid w:val="05D81707"/>
    <w:rsid w:val="0841066D"/>
    <w:rsid w:val="0B062B4A"/>
    <w:rsid w:val="0B3C3A8A"/>
    <w:rsid w:val="0C6872A3"/>
    <w:rsid w:val="0D3C38E0"/>
    <w:rsid w:val="0FA0285C"/>
    <w:rsid w:val="10F13ED6"/>
    <w:rsid w:val="11425805"/>
    <w:rsid w:val="11963721"/>
    <w:rsid w:val="11F4227C"/>
    <w:rsid w:val="151A4F07"/>
    <w:rsid w:val="15F13163"/>
    <w:rsid w:val="17A4290C"/>
    <w:rsid w:val="1AC90D6A"/>
    <w:rsid w:val="1B766C4C"/>
    <w:rsid w:val="1D94059C"/>
    <w:rsid w:val="1DF237B1"/>
    <w:rsid w:val="22901DDD"/>
    <w:rsid w:val="22C11DED"/>
    <w:rsid w:val="23F17C44"/>
    <w:rsid w:val="26A722C7"/>
    <w:rsid w:val="287970E1"/>
    <w:rsid w:val="28C72D0C"/>
    <w:rsid w:val="2B0307B3"/>
    <w:rsid w:val="2CEA0945"/>
    <w:rsid w:val="2DA3268A"/>
    <w:rsid w:val="2FD6585F"/>
    <w:rsid w:val="301761EA"/>
    <w:rsid w:val="31433B3E"/>
    <w:rsid w:val="316F243B"/>
    <w:rsid w:val="32053D47"/>
    <w:rsid w:val="33FD6ADB"/>
    <w:rsid w:val="35461E6E"/>
    <w:rsid w:val="367C3E1A"/>
    <w:rsid w:val="382E4F99"/>
    <w:rsid w:val="387B59F4"/>
    <w:rsid w:val="39AB0EB3"/>
    <w:rsid w:val="39C873B4"/>
    <w:rsid w:val="3A527048"/>
    <w:rsid w:val="3BB219D1"/>
    <w:rsid w:val="3C094008"/>
    <w:rsid w:val="3C8B7664"/>
    <w:rsid w:val="3D66672B"/>
    <w:rsid w:val="3EAA29C9"/>
    <w:rsid w:val="3EBD35F3"/>
    <w:rsid w:val="3ECA39A7"/>
    <w:rsid w:val="401259AF"/>
    <w:rsid w:val="42253CE4"/>
    <w:rsid w:val="44324488"/>
    <w:rsid w:val="46981453"/>
    <w:rsid w:val="47084FF7"/>
    <w:rsid w:val="47986317"/>
    <w:rsid w:val="47E905C6"/>
    <w:rsid w:val="48F612F7"/>
    <w:rsid w:val="4BDD4837"/>
    <w:rsid w:val="4D2E58B2"/>
    <w:rsid w:val="4F2F6CAE"/>
    <w:rsid w:val="501B62BF"/>
    <w:rsid w:val="5322341B"/>
    <w:rsid w:val="537013CB"/>
    <w:rsid w:val="53EA7142"/>
    <w:rsid w:val="547E328F"/>
    <w:rsid w:val="54FA2F46"/>
    <w:rsid w:val="55352184"/>
    <w:rsid w:val="56C04B43"/>
    <w:rsid w:val="58FF7C21"/>
    <w:rsid w:val="59412CEC"/>
    <w:rsid w:val="5AA908CB"/>
    <w:rsid w:val="5BAA4790"/>
    <w:rsid w:val="5BC63F53"/>
    <w:rsid w:val="5D6E5115"/>
    <w:rsid w:val="5DCF386F"/>
    <w:rsid w:val="5FEF669B"/>
    <w:rsid w:val="60803338"/>
    <w:rsid w:val="61AE6F89"/>
    <w:rsid w:val="63057ED7"/>
    <w:rsid w:val="631047E2"/>
    <w:rsid w:val="63334D55"/>
    <w:rsid w:val="64920CB8"/>
    <w:rsid w:val="66A60449"/>
    <w:rsid w:val="69C366F2"/>
    <w:rsid w:val="6A4E15BE"/>
    <w:rsid w:val="6A5D44E8"/>
    <w:rsid w:val="6B1622AC"/>
    <w:rsid w:val="6B3C03CC"/>
    <w:rsid w:val="6BA81A02"/>
    <w:rsid w:val="6C8C14E6"/>
    <w:rsid w:val="6D0B6574"/>
    <w:rsid w:val="6D2F78DF"/>
    <w:rsid w:val="6DBE2C2C"/>
    <w:rsid w:val="6FD146C2"/>
    <w:rsid w:val="70321F68"/>
    <w:rsid w:val="7A690067"/>
    <w:rsid w:val="7A6F73D6"/>
    <w:rsid w:val="7C287EA5"/>
    <w:rsid w:val="7C73337E"/>
    <w:rsid w:val="7CFA49B6"/>
    <w:rsid w:val="7FDA78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7"/>
    <w:semiHidden/>
    <w:unhideWhenUsed/>
    <w:qFormat/>
    <w:uiPriority w:val="99"/>
    <w:rPr>
      <w:sz w:val="18"/>
      <w:szCs w:val="18"/>
    </w:rPr>
  </w:style>
  <w:style w:type="paragraph" w:styleId="12">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qFormat/>
    <w:uiPriority w:val="99"/>
    <w:pPr>
      <w:spacing w:beforeAutospacing="1" w:afterAutospacing="1"/>
      <w:jc w:val="left"/>
    </w:pPr>
    <w:rPr>
      <w:kern w:val="0"/>
      <w:sz w:val="24"/>
    </w:rPr>
  </w:style>
  <w:style w:type="paragraph" w:styleId="16">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page number"/>
    <w:basedOn w:val="18"/>
    <w:qFormat/>
    <w:uiPriority w:val="0"/>
  </w:style>
  <w:style w:type="character" w:styleId="21">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6"/>
    <w:qFormat/>
    <w:uiPriority w:val="10"/>
    <w:rPr>
      <w:rFonts w:asciiTheme="majorHAnsi" w:hAnsiTheme="majorHAnsi" w:eastAsiaTheme="majorEastAsia"/>
      <w:b/>
      <w:bCs/>
      <w:kern w:val="28"/>
      <w:sz w:val="32"/>
      <w:szCs w:val="32"/>
    </w:rPr>
  </w:style>
  <w:style w:type="character" w:customStyle="1" w:styleId="32">
    <w:name w:val="副标题 Char"/>
    <w:basedOn w:val="18"/>
    <w:link w:val="14"/>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85858" w:themeColor="text1" w:themeTint="A6"/>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Char"/>
    <w:basedOn w:val="18"/>
    <w:link w:val="13"/>
    <w:qFormat/>
    <w:uiPriority w:val="99"/>
    <w:rPr>
      <w:rFonts w:ascii="Calibri" w:hAnsi="Calibri" w:eastAsia="宋体"/>
      <w:kern w:val="2"/>
      <w:sz w:val="18"/>
      <w:szCs w:val="18"/>
    </w:rPr>
  </w:style>
  <w:style w:type="character" w:customStyle="1" w:styleId="46">
    <w:name w:val="页脚 Char"/>
    <w:basedOn w:val="18"/>
    <w:link w:val="12"/>
    <w:qFormat/>
    <w:uiPriority w:val="99"/>
    <w:rPr>
      <w:rFonts w:ascii="Calibri" w:hAnsi="Calibri" w:eastAsia="宋体"/>
      <w:kern w:val="2"/>
      <w:sz w:val="18"/>
      <w:szCs w:val="18"/>
    </w:rPr>
  </w:style>
  <w:style w:type="character" w:customStyle="1" w:styleId="47">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6A79B-9EC9-442E-8771-45C0FE1CC5B2}">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11</Pages>
  <Words>913</Words>
  <Characters>5209</Characters>
  <Lines>43</Lines>
  <Paragraphs>12</Paragraphs>
  <TotalTime>186</TotalTime>
  <ScaleCrop>false</ScaleCrop>
  <LinksUpToDate>false</LinksUpToDate>
  <CharactersWithSpaces>6110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tt</cp:lastModifiedBy>
  <cp:lastPrinted>2018-12-31T10:56:00Z</cp:lastPrinted>
  <dcterms:modified xsi:type="dcterms:W3CDTF">2025-02-19T04:22:48Z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D742B88E4A484A83A575F911C63BC38F</vt:lpwstr>
  </property>
</Properties>
</file>