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3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《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伊犁哈萨克自治州人民政府质量奖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3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管理办法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起草说明</w:t>
      </w: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36" w:lineRule="exact"/>
        <w:ind w:firstLine="720" w:firstLineChars="200"/>
        <w:jc w:val="both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一、起草背景及过程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36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激励全州质量工作中取得卓越绩效的组织、个人，引导全州各行各业加强质量管理、追求卓越绩效，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引导企业发展、促进产业提升、推动伊犁州经济高质量发展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依据《中华人民共和国产品质量法》《中国质量奖管理办法》和《新疆维吾尔自治区人民政府质量奖管理办法》等，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伊犁州市场监督管理局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组织专班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起草了《伊犁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哈萨克自治州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人民政府质量奖管理办法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初稿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》，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形成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《伊犁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哈萨克自治州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人民政府质量奖管理办法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征求意见稿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》，征求了自治州质量强州工作领导小组成员单位的意见建议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形成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《伊犁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哈萨克自治州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人民政府质量奖管理办法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征求意见二稿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经局党组会议审议后，征求了州党委、州政府分管领导意见，同步再次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征求了自治州质量强州工作领导小组成员单位的意见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636" w:lineRule="exact"/>
        <w:ind w:left="0" w:firstLine="720" w:firstLineChars="200"/>
        <w:textAlignment w:val="baseline"/>
        <w:rPr>
          <w:rFonts w:hint="default" w:ascii="Times New Roman" w:hAnsi="Times New Roman" w:eastAsia="黑体" w:cs="Times New Roman"/>
          <w:b w:val="0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6"/>
          <w:szCs w:val="36"/>
          <w:lang w:val="en-US" w:eastAsia="zh-CN"/>
        </w:rPr>
        <w:t>二、主要内容及征求意见情况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Autospacing="0" w:line="636" w:lineRule="exact"/>
        <w:ind w:left="0" w:firstLine="640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质量奖管理办法共计5章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条内容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其中第一章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总则</w:t>
      </w:r>
      <w:r>
        <w:rPr>
          <w:rFonts w:hint="eastAsia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共5条，规定了本办法制定目的、适用对象和奖项设置，第二章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组织管理</w:t>
      </w:r>
      <w:r>
        <w:rPr>
          <w:rFonts w:hint="eastAsia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共3条，规定了质量奖的实施部门和职责，第三章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评审与表彰</w:t>
      </w:r>
      <w:r>
        <w:rPr>
          <w:rFonts w:hint="eastAsia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共7条，规定了质量奖评审程序和审核要求，第四章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宣传推广与监督管理</w:t>
      </w:r>
      <w:r>
        <w:rPr>
          <w:rFonts w:hint="eastAsia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共8条规定了加强质量奖的推广和取消获奖组织奖励的相关情形</w:t>
      </w:r>
      <w:r>
        <w:rPr>
          <w:rFonts w:hint="eastAsia" w:eastAsia="仿宋_GB2312" w:cs="Times New Roman"/>
          <w:b w:val="0"/>
          <w:bCs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eastAsia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第五章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附则</w:t>
      </w:r>
      <w:r>
        <w:rPr>
          <w:rFonts w:hint="eastAsia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共3条，规定了鼓励和支持各县（市）建立政府质量奖。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36" w:lineRule="exact"/>
        <w:ind w:firstLine="720" w:firstLineChars="200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6"/>
          <w:szCs w:val="36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需要说明事项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36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2023年2月15日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自治区人民政府办公厅印发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新疆维吾尔自治区人民政府质量奖管理办法》，该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第五章附则第二十三条明确要求，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鼓励和支持各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州、市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）建立政府质量奖奖励制度。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2024年自治区质量工作考评要点、自治区市场监督管理局系统业务工作质量评估细则中，均将建立质量奖励制度情况纳入年底质量考评内容。目前，昌吉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回族自治州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、哈密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、博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尔塔拉蒙古自治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州、巴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音郭楞蒙古自治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州、克拉玛依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市、吐鲁番市和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阿勒泰地区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个地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州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已印发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政府质量奖管理办法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F208D"/>
    <w:rsid w:val="3ED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/>
    </w:pPr>
    <w:rPr>
      <w:rFonts w:hint="default" w:ascii="Times New Roman" w:hAnsi="Times New Roman" w:eastAsia="Times New Roman"/>
      <w:sz w:val="21"/>
      <w:szCs w:val="24"/>
    </w:rPr>
  </w:style>
  <w:style w:type="paragraph" w:styleId="3">
    <w:name w:val="Body Text Indent"/>
    <w:basedOn w:val="1"/>
    <w:next w:val="2"/>
    <w:unhideWhenUsed/>
    <w:qFormat/>
    <w:uiPriority w:val="0"/>
    <w:pPr>
      <w:spacing w:line="520" w:lineRule="exact"/>
      <w:ind w:firstLine="645"/>
    </w:pPr>
    <w:rPr>
      <w:rFonts w:hint="default" w:ascii="仿宋_GB2312" w:eastAsia="仿宋_GB231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2024-08-27T11:20:00Z</dcterms:created>
  <dc:creator>林燕鹏</dc:creator>
  <cp:lastModifiedBy>林燕鹏</cp:lastModifiedBy>
  <dcterms:modified xsi:type="dcterms:W3CDTF">2024-08-27T11:22:06Z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5389AE8394CD4D4EBD5F297F8CD3A020</vt:lpwstr>
  </property>
</Properties>
</file>