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伊犁哈萨克自治州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</w:rPr>
        <w:t>无偿献血管理办法</w:t>
      </w:r>
    </w:p>
    <w:p w14:paraId="44D07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）</w:t>
      </w:r>
    </w:p>
    <w:p w14:paraId="0B06C8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napToGrid w:val="0"/>
          <w:color w:val="auto"/>
          <w:sz w:val="32"/>
          <w:szCs w:val="32"/>
        </w:rPr>
      </w:pPr>
    </w:p>
    <w:p w14:paraId="55842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u w:val="none"/>
          <w:lang w:val="en-US" w:eastAsia="zh-CN"/>
        </w:rPr>
        <w:t>第一条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为保证伊犁州临床用血需求和血液安全，保障无偿献血者和用血者身体健康，规范和推动伊犁州直无偿献血工作，根据《中华人民共和国献血法》《全国无偿献血表彰奖励办法（2022年版）》《新疆维吾尔自治区实施〈中华人民共和国献血法〉若干规定》及有关行政规范性文件规定，结合自治州实际，制定本办法。</w:t>
      </w:r>
    </w:p>
    <w:p w14:paraId="12F0D91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eastAsia="方正仿宋简体" w:cs="Times New Roman"/>
          <w:b w:val="0"/>
          <w:bCs w:val="0"/>
          <w:snapToGrid w:val="0"/>
          <w:color w:val="000000" w:themeColor="text1"/>
          <w:sz w:val="32"/>
          <w:szCs w:val="32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u w:val="none"/>
          <w:lang w:val="en-US" w:eastAsia="zh-CN"/>
        </w:rPr>
        <w:t>第二条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</w:rPr>
        <w:t>本办法适用于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伊犁州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</w:rPr>
        <w:t>行政区域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系指伊犁州直及所属县市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u w:val="none"/>
          <w:lang w:val="en-US" w:eastAsia="zh-CN"/>
        </w:rPr>
        <w:t>采供血辖区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内的献血、采血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供血、用血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及其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监督管理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</w:rPr>
        <w:t>活动。</w:t>
      </w:r>
    </w:p>
    <w:p w14:paraId="4220CC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自治州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实行无偿献血制度。</w:t>
      </w:r>
    </w:p>
    <w:p w14:paraId="378014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提倡十八至五十五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周岁（符合健康检查要求的多次献血者主动要求再次献血的，年龄可延长至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六十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周岁）的健康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公民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自愿献血；</w:t>
      </w:r>
    </w:p>
    <w:p w14:paraId="691E410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倡导现役军人在服役期间、高等院校学生在校期间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参加一次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无偿献血；倡导新录入机关、事业单位的工作人员在上岗前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参加一次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无偿献血；倡导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民在领取机动车驾驶证前、领取结婚证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时参加一次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lang w:eastAsia="zh-CN"/>
        </w:rPr>
        <w:t>；</w:t>
      </w:r>
    </w:p>
    <w:p w14:paraId="13FA10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）鼓励捐献单采血小板等成分血；</w:t>
      </w:r>
    </w:p>
    <w:p w14:paraId="67B45F9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）鼓励稀有血型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公民积极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</w:p>
    <w:p w14:paraId="3669751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鼓励符合献血条件的公民捐献造血干细胞。</w:t>
      </w:r>
    </w:p>
    <w:p w14:paraId="051CDE9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州、县（市）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人民政府领导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本行政区域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的无偿献血工作，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持续加大对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无偿献血工作经费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投入力度。</w:t>
      </w:r>
    </w:p>
    <w:p w14:paraId="595D840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各县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建立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工作协调机制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成立献血委员会，负责本县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无偿献血组织、协调、统筹等工作；献血委员会下设献血办公室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献血办公室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设置在卫生健康</w:t>
      </w:r>
      <w:r>
        <w:rPr>
          <w:rFonts w:hint="eastAsia" w:ascii="Times New Roman" w:eastAsia="方正仿宋简体" w:cs="Times New Roman"/>
          <w:b w:val="0"/>
          <w:bCs w:val="0"/>
          <w: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，负责本县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无偿献血宣传、动员、招募等具体工作。</w:t>
      </w:r>
    </w:p>
    <w:p w14:paraId="49AF21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州、县（市）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卫生健康</w:t>
      </w:r>
      <w:r>
        <w:rPr>
          <w:rFonts w:hint="eastAsia" w:asci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本行政区域内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无偿献血工作的监督管理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有关行政部门、社会团体、企事业单位应当按照各自职责，配合做好无偿献血工作。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兵团第四师应当全力支持配合自治州无偿献血相关工作。</w:t>
      </w:r>
    </w:p>
    <w:p w14:paraId="2BA9B2D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red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保证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医疗机构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临床用血需要及安全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防止血液浪费，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对献血工作实行统一规划，有计划地安排采血、供血。 </w:t>
      </w:r>
    </w:p>
    <w:p w14:paraId="0864399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red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自治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</w:rPr>
        <w:t>卫生健康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委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自治州献血办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公室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根据全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医疗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临床用血需求实际，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拟定年度无偿献血计划，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县市应积极组织推进落实。</w:t>
      </w:r>
    </w:p>
    <w:p w14:paraId="36FB7D2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自治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自治州献血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办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公室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应加强采供血预警联动保障机制建设，适时监测血液采供状态，最大程度保障血液供需相适应；同时应加强血液舆情监测，及时回应献血者和用血者关切。</w:t>
      </w:r>
    </w:p>
    <w:p w14:paraId="0210D1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无偿献血各相关部门和单位应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积极采取措施广泛宣传无偿献血意义，普及献血科学知识和法律法规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提升无偿献血知晓率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。</w:t>
      </w:r>
    </w:p>
    <w:p w14:paraId="3EF63E4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各级新闻单位、文化旅游部门、通信管理办公室应当积极推动广播电视节目、信息网络视听和公共视听载体节目开展无偿献血的社会公益宣传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教育部门及各类学校应当结合实际情况将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相关内容纳入学校健康教育；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科学技术局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、卫生健康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委、驻伊部队有关单位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应当将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相关内容纳入科普、普法教育；卫生健康系统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各级医疗机构应当积极宣传无偿献血知识及政策，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患者家属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亲友积极参与无偿献血。</w:t>
      </w:r>
    </w:p>
    <w:p w14:paraId="33116F7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各级工会、共青团、妇联等人民团体要做好无偿献血宣传动员工作。</w:t>
      </w:r>
    </w:p>
    <w:p w14:paraId="2FF2BE9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各级红十字会依法参与、推动无偿献血工作，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建立、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指导和规范献血志愿服务工作。</w:t>
      </w:r>
    </w:p>
    <w:p w14:paraId="0119DA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倡导公交、车站、商场、广场、公园、景区等公共场所管理单位，不定期播放无偿献血公益宣传片、设置公益广告牌或宣传栏，提高全社会无偿献血知晓率，引导适龄健康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积极参加无偿献血。</w:t>
      </w:r>
    </w:p>
    <w:p w14:paraId="1CDECEA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各县（市）卫生健康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根据无偿献血需要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，合理规划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固定献血点（献血屋）及流动采血车停靠点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，各县（市）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人民政府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应当给予支持和保障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财政、公安、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住房城乡建设、发展改革、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城市管理等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和供水、供热、供电等相关单位应当予以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配合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为固定献血点（献血屋）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的设置和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流动采血车的停靠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宣传招募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活动提供便利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。</w:t>
      </w:r>
    </w:p>
    <w:p w14:paraId="7776854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default" w:ascii="Times New Roman" w:hAnsi="Times New Roman" w:eastAsia="方正楷体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县（市）党政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机关、驻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伊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部队、社会团体、企事业单位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乡（镇）人民政府、街道办事处应当组织动员本单位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或本辖区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适龄健康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lang w:val="en-US" w:eastAsia="zh-CN"/>
        </w:rPr>
        <w:t>公民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参加无偿献血活动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兵团第四师应当积极组织所属团场开展无偿献血工作。</w:t>
      </w:r>
    </w:p>
    <w:p w14:paraId="19A78A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开展无偿献血活动的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单位应当给予献血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者适当补贴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</w:rPr>
        <w:t>鼓励民营企业参照执行。</w:t>
      </w:r>
    </w:p>
    <w:p w14:paraId="1EB2178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发生自然灾害、重大事故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或其他突发事件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等，出现需要大量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血的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紧急情况，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州、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县（市）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人民政府可以指定有关单位组织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干部职工或动员公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民应急献血，采血量以突发事件的用血需求为限。</w:t>
      </w:r>
    </w:p>
    <w:p w14:paraId="710105D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自治州卫生健康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（自治州献血办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公室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及采供血机构应建立血源应急保障队伍，同时做好血源应急保障队伍的常态化宣传、指导和管理。</w:t>
      </w:r>
    </w:p>
    <w:p w14:paraId="1102EC3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楷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伊犁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中心血站是依法设立、不以营利为目的公益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卫生机构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，其职责是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依照相关法律法规和行业技术标准开展无偿献血相关工作</w:t>
      </w:r>
      <w:r>
        <w:rPr>
          <w:rFonts w:hint="eastAsia" w:asci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必须严格执行国家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instrText xml:space="preserve"> HYPERLINK "http://www.110.com/fagui/" </w:instrTex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法律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instrText xml:space="preserve"> HYPERLINK "http://www.110.com/fagui/" </w:instrTex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法规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规定，健全规章制度，严格遵守操作规程，保证采血、供血安全。 </w:t>
      </w:r>
    </w:p>
    <w:p w14:paraId="1B0BF8F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伊犁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州中心血站要加强信息化建设，通过“互联网+”，实现“从血管到血管”全过程监管监测，科学合理调控血液采供均衡，确保血液质量与安全；同时，通过“互联网+”，为献血者提供个性化、精细化服务，为用血者提供便利性、快捷性服务，保障献血者权益，提升无偿献血成效。   </w:t>
      </w:r>
    </w:p>
    <w:p w14:paraId="4B3F6A0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第十二条</w:t>
      </w: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献血者在献血前应当出示居民身份证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或者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其他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有效身份证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，并如实告知与自身健康相关的信息。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伊犁州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中心血站应当对献血者个人相关信息予以保密。对于涉及国家法定传染病防治工作规定要求上报的相关信息，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伊犁州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中心血站应当依法如实报告。</w:t>
      </w:r>
    </w:p>
    <w:p w14:paraId="6859456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第十三条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需要临床用血的，须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在符合临床用血条件的医疗机构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办理用血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手续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如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本人及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其近亲属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包括配偶、父母、子女、兄弟姐妹、祖父母、外祖父母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均未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献血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史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交纳临床用血费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用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临床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用血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shd w:val="clear" w:color="auto" w:fill="FFFFFF"/>
        </w:rPr>
        <w:t>互助金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互助金原则上收取红细胞类费用的2倍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）。</w:t>
      </w:r>
    </w:p>
    <w:p w14:paraId="52594DB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急诊患者需要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临床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用血的，医疗机构应当先提供所需血液，再限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补办用血手续。</w:t>
      </w:r>
    </w:p>
    <w:p w14:paraId="4A97E66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第十四条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无偿献血的公民享有下列用血权利：</w:t>
      </w:r>
    </w:p>
    <w:p w14:paraId="00BF5E7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）献血者自献血之日起</w:t>
      </w:r>
      <w:r>
        <w:rPr>
          <w:rFonts w:hint="eastAsia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年内不限量免费用血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并免交用血互助金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年后按献血量等量免费用血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并等量免交用血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互助金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；献血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量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累计达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800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毫升以上的，终身免费用血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并免交用血互助金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 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　（二）献血者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近亲属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献血者的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献血量等量免费用血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并等量免交用血互助金；</w:t>
      </w:r>
    </w:p>
    <w:p w14:paraId="26EAC20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《伊犁州临床用血互助金管理办法》由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自治州卫生健康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（自治州献血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办公室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会同有关部门，依据本办法原则另行制定；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FF0000"/>
          <w:spacing w:val="0"/>
          <w:sz w:val="32"/>
          <w:szCs w:val="32"/>
          <w:highlight w:val="yellow"/>
          <w:shd w:val="clear" w:color="auto" w:fill="FFFFFF"/>
        </w:rPr>
        <w:br w:type="textWrapping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（四）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献血者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及其近亲属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，在同等条件下享有优先用血权利。</w:t>
      </w:r>
    </w:p>
    <w:p w14:paraId="0FF0AC6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第十五条</w:t>
      </w: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各级医疗机构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应当到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自治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卫生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健康</w:t>
      </w:r>
      <w:r>
        <w:rPr>
          <w:rFonts w:hint="eastAsia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委员会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指定的血站领取血液，并严格遵守临床输血技术规范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医疗机构对临床用血必须进行核查，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经核查或者经核查不符合国家规定标准的血液，不得用于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临床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 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各级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医疗机构在患者临床用血前，必须履行风险告知义务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核对有关证件。 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ab/>
      </w:r>
    </w:p>
    <w:p w14:paraId="38FE11C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鼓励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民自愿加入“中国造血干细胞捐献者资料库”、献血志愿服务组织。参加献血志愿服务的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民，其所在单位应当予以支持。志愿者权益按照国家、自治区有关规定执行。</w:t>
      </w:r>
    </w:p>
    <w:p w14:paraId="0F6BCC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鼓励单位和个人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采取多种途径，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依法对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无偿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献血公益事业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支持、援助和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捐赠。</w:t>
      </w:r>
    </w:p>
    <w:p w14:paraId="2367C36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自治州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人民政府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红十字会和驻伊部队有关单位负责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表彰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无偿献血先进集体或先进个人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。</w:t>
      </w:r>
    </w:p>
    <w:p w14:paraId="7D769EE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符合下列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条件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之一的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单位（集体）或个人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，可以给予表彰和奖励：</w:t>
      </w:r>
    </w:p>
    <w:p w14:paraId="096FCF7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trike/>
          <w:dstrike w:val="0"/>
          <w:snapToGrid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lang w:val="en-US" w:eastAsia="zh-CN"/>
        </w:rPr>
        <w:t>获得无偿献血奉献奖铜奖或无偿献血志愿服务奖（一星级至三星级）的；</w:t>
      </w:r>
    </w:p>
    <w:p w14:paraId="2821D2D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（二）组织无偿献血工作中成绩突出的；</w:t>
      </w:r>
    </w:p>
    <w:p w14:paraId="75123C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为无偿献血事业捐赠款物数额较大的；</w:t>
      </w:r>
    </w:p>
    <w:p w14:paraId="2413061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（四）开展无偿献血社会公益性宣传成效显著的；</w:t>
      </w:r>
    </w:p>
    <w:p w14:paraId="423314A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（五）积极参与无偿献血志愿服务成绩突出的；</w:t>
      </w:r>
    </w:p>
    <w:p w14:paraId="60304B4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（六）在采血、供血或用血管理工作中成绩突出的；</w:t>
      </w:r>
    </w:p>
    <w:p w14:paraId="3778F37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（七）在临床用血新技术的研究和推广工作中成绩突出的；</w:t>
      </w:r>
    </w:p>
    <w:p w14:paraId="5C7DC2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（八）在同血液违法犯罪行为斗争中表现突出的；</w:t>
      </w:r>
    </w:p>
    <w:p w14:paraId="5DDA4C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（九）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造血干细胞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捐献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工作突出的个人或集体；</w:t>
      </w:r>
    </w:p>
    <w:p w14:paraId="68DAEE0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其他为无偿献血事业做出特殊贡献的。</w:t>
      </w:r>
    </w:p>
    <w:p w14:paraId="10392DA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鼓励各县（市）人民政府或有关单位对本辖区、本单位无偿献血先进个人进行表彰奖励。</w:t>
      </w:r>
    </w:p>
    <w:p w14:paraId="2A3877D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自治州人民政府应逐步建立无偿献血者激励奖励机制，对于无偿献血行为给予激励奖励，在全社会形成无偿献血良好公益氛围。</w:t>
      </w:r>
    </w:p>
    <w:p w14:paraId="750E620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政府鼓励相关行业、企事业单位、民营企业等参与对无偿献血行为的激励奖励活动，体现无偿献血公益促进与社会责任担当。</w:t>
      </w:r>
    </w:p>
    <w:p w14:paraId="221F35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对非法采集血液、血站和医疗机构出售无偿献血的血液、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非法组织他人出卖血液的，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依法追究有关单位和责任人责任。</w:t>
      </w:r>
    </w:p>
    <w:p w14:paraId="16B1447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u w:val="none"/>
          <w:lang w:val="en-US" w:eastAsia="zh-CN"/>
        </w:rPr>
        <w:t>二十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对于本办法中未明确事项，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国家及自治区的相关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法律法规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及政策执行；国家和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有新规定的，按新规定执行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。</w:t>
      </w:r>
    </w:p>
    <w:p w14:paraId="41F5936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二十一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楷体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本办法由</w:t>
      </w:r>
      <w:r>
        <w:rPr>
          <w:rFonts w:hint="eastAsia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自治州卫生健康委员会，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伊犁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献血委员会献血办公室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负责解释。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9CCAF7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第二十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</w:rPr>
        <w:t>本办法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自公布之日起30日后施行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68B47-43E9-4BFF-9DEB-FF7B1E16520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A08B62-85F9-455F-A777-7D40C1CBDC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FB2ECA-5012-413A-99F9-F33157EDED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13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C742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C742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TY1YjQ1NDY4OGUyN2ZkOTBmZWVkMDM4N2VjOTIifQ=="/>
  </w:docVars>
  <w:rsids>
    <w:rsidRoot w:val="00000000"/>
    <w:rsid w:val="00AE5AD4"/>
    <w:rsid w:val="00BB1CDC"/>
    <w:rsid w:val="00D074CA"/>
    <w:rsid w:val="00DE1BE7"/>
    <w:rsid w:val="01981D96"/>
    <w:rsid w:val="02182ED7"/>
    <w:rsid w:val="037203C5"/>
    <w:rsid w:val="04F35535"/>
    <w:rsid w:val="05EA1AAA"/>
    <w:rsid w:val="05F643B6"/>
    <w:rsid w:val="06846D8D"/>
    <w:rsid w:val="07306DF0"/>
    <w:rsid w:val="081F6B3C"/>
    <w:rsid w:val="082B2FB0"/>
    <w:rsid w:val="083B4ECF"/>
    <w:rsid w:val="08700FB8"/>
    <w:rsid w:val="09615163"/>
    <w:rsid w:val="09972068"/>
    <w:rsid w:val="0A2166A1"/>
    <w:rsid w:val="0C6F7B97"/>
    <w:rsid w:val="0CD54B8A"/>
    <w:rsid w:val="0DAA36CB"/>
    <w:rsid w:val="0DCD2DC7"/>
    <w:rsid w:val="0DD60A22"/>
    <w:rsid w:val="0EA3614F"/>
    <w:rsid w:val="0EC71F0D"/>
    <w:rsid w:val="0F0A1DF9"/>
    <w:rsid w:val="0FFA00C0"/>
    <w:rsid w:val="10947BCD"/>
    <w:rsid w:val="11612B4F"/>
    <w:rsid w:val="11823EC9"/>
    <w:rsid w:val="11B27D1C"/>
    <w:rsid w:val="134313C4"/>
    <w:rsid w:val="145558C5"/>
    <w:rsid w:val="15B912F9"/>
    <w:rsid w:val="15F555B1"/>
    <w:rsid w:val="176A4982"/>
    <w:rsid w:val="17C27715"/>
    <w:rsid w:val="17D82A95"/>
    <w:rsid w:val="18100480"/>
    <w:rsid w:val="18835895"/>
    <w:rsid w:val="189A4D23"/>
    <w:rsid w:val="19371A3D"/>
    <w:rsid w:val="1A002777"/>
    <w:rsid w:val="1A187AC0"/>
    <w:rsid w:val="1A642D06"/>
    <w:rsid w:val="1A78230D"/>
    <w:rsid w:val="1BC616CD"/>
    <w:rsid w:val="1BF6798D"/>
    <w:rsid w:val="1C735482"/>
    <w:rsid w:val="1C796DDE"/>
    <w:rsid w:val="1CC655B2"/>
    <w:rsid w:val="1D8965DF"/>
    <w:rsid w:val="1DA63635"/>
    <w:rsid w:val="1E4D3617"/>
    <w:rsid w:val="1E9A6CF6"/>
    <w:rsid w:val="1F5A46D7"/>
    <w:rsid w:val="20E427EA"/>
    <w:rsid w:val="21535882"/>
    <w:rsid w:val="21E14C3C"/>
    <w:rsid w:val="2205570D"/>
    <w:rsid w:val="22B025C7"/>
    <w:rsid w:val="22DF561F"/>
    <w:rsid w:val="231C1E68"/>
    <w:rsid w:val="24661428"/>
    <w:rsid w:val="249A3F2D"/>
    <w:rsid w:val="25900E53"/>
    <w:rsid w:val="260F621B"/>
    <w:rsid w:val="26644B3C"/>
    <w:rsid w:val="269F0C21"/>
    <w:rsid w:val="26E2748C"/>
    <w:rsid w:val="277E6C88"/>
    <w:rsid w:val="27BA5D13"/>
    <w:rsid w:val="27E2170E"/>
    <w:rsid w:val="28BB61E6"/>
    <w:rsid w:val="29283150"/>
    <w:rsid w:val="2A0735A8"/>
    <w:rsid w:val="2A7D74CC"/>
    <w:rsid w:val="2B0D0850"/>
    <w:rsid w:val="2B4254A5"/>
    <w:rsid w:val="2B603075"/>
    <w:rsid w:val="2D621327"/>
    <w:rsid w:val="2EE205A6"/>
    <w:rsid w:val="2F8C25D7"/>
    <w:rsid w:val="30534F57"/>
    <w:rsid w:val="309C68FD"/>
    <w:rsid w:val="30CC4D09"/>
    <w:rsid w:val="30E107B4"/>
    <w:rsid w:val="32EA3D66"/>
    <w:rsid w:val="3381002D"/>
    <w:rsid w:val="33A61585"/>
    <w:rsid w:val="34B41D3C"/>
    <w:rsid w:val="35472BB0"/>
    <w:rsid w:val="356E638F"/>
    <w:rsid w:val="36F54FB9"/>
    <w:rsid w:val="37971BCD"/>
    <w:rsid w:val="37DE0783"/>
    <w:rsid w:val="37F674CA"/>
    <w:rsid w:val="390E775E"/>
    <w:rsid w:val="395141AE"/>
    <w:rsid w:val="39537D75"/>
    <w:rsid w:val="39DF3CFF"/>
    <w:rsid w:val="3A43603C"/>
    <w:rsid w:val="3AD257FB"/>
    <w:rsid w:val="3AD66EB0"/>
    <w:rsid w:val="3B404329"/>
    <w:rsid w:val="3B4C771B"/>
    <w:rsid w:val="3BD01B51"/>
    <w:rsid w:val="3C207FF6"/>
    <w:rsid w:val="3CA32DC2"/>
    <w:rsid w:val="3D2A5291"/>
    <w:rsid w:val="3D363C36"/>
    <w:rsid w:val="3E774506"/>
    <w:rsid w:val="3EC55271"/>
    <w:rsid w:val="3ECC1760"/>
    <w:rsid w:val="3EE4415A"/>
    <w:rsid w:val="3FB01A3E"/>
    <w:rsid w:val="406867FC"/>
    <w:rsid w:val="411D0731"/>
    <w:rsid w:val="41CC4B69"/>
    <w:rsid w:val="420C1086"/>
    <w:rsid w:val="42DD6902"/>
    <w:rsid w:val="43340C18"/>
    <w:rsid w:val="43BA34AC"/>
    <w:rsid w:val="43BB0828"/>
    <w:rsid w:val="448E5B6B"/>
    <w:rsid w:val="44C164DB"/>
    <w:rsid w:val="44D163EC"/>
    <w:rsid w:val="44DF4BB3"/>
    <w:rsid w:val="45DB537A"/>
    <w:rsid w:val="465F41FD"/>
    <w:rsid w:val="46A804FF"/>
    <w:rsid w:val="4A442B1E"/>
    <w:rsid w:val="4B3019AB"/>
    <w:rsid w:val="4BD034A7"/>
    <w:rsid w:val="4D2910C1"/>
    <w:rsid w:val="4DBD1158"/>
    <w:rsid w:val="4EFF657E"/>
    <w:rsid w:val="4F1A5FF3"/>
    <w:rsid w:val="4F7C5E20"/>
    <w:rsid w:val="4FC41575"/>
    <w:rsid w:val="4FEE10DA"/>
    <w:rsid w:val="50FE0AB7"/>
    <w:rsid w:val="5311687F"/>
    <w:rsid w:val="53A01D11"/>
    <w:rsid w:val="53C878A1"/>
    <w:rsid w:val="542C35D4"/>
    <w:rsid w:val="54FE4BE1"/>
    <w:rsid w:val="55061CE8"/>
    <w:rsid w:val="55286102"/>
    <w:rsid w:val="559E7AE6"/>
    <w:rsid w:val="56C55CE9"/>
    <w:rsid w:val="57D61E46"/>
    <w:rsid w:val="59215342"/>
    <w:rsid w:val="596040BD"/>
    <w:rsid w:val="59853B23"/>
    <w:rsid w:val="5AB53F94"/>
    <w:rsid w:val="5AF96577"/>
    <w:rsid w:val="5B4D0671"/>
    <w:rsid w:val="5C1758A2"/>
    <w:rsid w:val="5C3B671B"/>
    <w:rsid w:val="5C5C08CF"/>
    <w:rsid w:val="5E196F30"/>
    <w:rsid w:val="5E1A48BC"/>
    <w:rsid w:val="5E2558D5"/>
    <w:rsid w:val="5E5E4943"/>
    <w:rsid w:val="5E7D74BF"/>
    <w:rsid w:val="5FAD5B82"/>
    <w:rsid w:val="6056593C"/>
    <w:rsid w:val="60E857A0"/>
    <w:rsid w:val="621F2EFF"/>
    <w:rsid w:val="627E7362"/>
    <w:rsid w:val="642301C1"/>
    <w:rsid w:val="653B390D"/>
    <w:rsid w:val="65785D36"/>
    <w:rsid w:val="65847385"/>
    <w:rsid w:val="65A059B9"/>
    <w:rsid w:val="660B0BE9"/>
    <w:rsid w:val="6659611C"/>
    <w:rsid w:val="68550B65"/>
    <w:rsid w:val="69676588"/>
    <w:rsid w:val="697D65C5"/>
    <w:rsid w:val="69986EEC"/>
    <w:rsid w:val="69EE301F"/>
    <w:rsid w:val="6A1D41BA"/>
    <w:rsid w:val="6B252A70"/>
    <w:rsid w:val="6BE866DE"/>
    <w:rsid w:val="6DCF13B9"/>
    <w:rsid w:val="6E160D96"/>
    <w:rsid w:val="6E22773B"/>
    <w:rsid w:val="6E602011"/>
    <w:rsid w:val="6F255735"/>
    <w:rsid w:val="6F4D4C8B"/>
    <w:rsid w:val="6F745D74"/>
    <w:rsid w:val="6FDB2297"/>
    <w:rsid w:val="706B361B"/>
    <w:rsid w:val="708741CD"/>
    <w:rsid w:val="712C3D7F"/>
    <w:rsid w:val="71827C2B"/>
    <w:rsid w:val="71F118FE"/>
    <w:rsid w:val="720C40A8"/>
    <w:rsid w:val="7239431E"/>
    <w:rsid w:val="72730565"/>
    <w:rsid w:val="72802C82"/>
    <w:rsid w:val="73212F52"/>
    <w:rsid w:val="73781D2B"/>
    <w:rsid w:val="737A3B75"/>
    <w:rsid w:val="740509AB"/>
    <w:rsid w:val="754A610A"/>
    <w:rsid w:val="75F61BD9"/>
    <w:rsid w:val="77672662"/>
    <w:rsid w:val="791505C8"/>
    <w:rsid w:val="79336CA0"/>
    <w:rsid w:val="79DF0BD6"/>
    <w:rsid w:val="7C1F350C"/>
    <w:rsid w:val="7C2B0102"/>
    <w:rsid w:val="7DC46119"/>
    <w:rsid w:val="7DD47726"/>
    <w:rsid w:val="7F453289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Arial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51"/>
    <w:basedOn w:val="1"/>
    <w:qFormat/>
    <w:uiPriority w:val="1"/>
    <w:pPr>
      <w:autoSpaceDE w:val="0"/>
      <w:autoSpaceDN w:val="0"/>
      <w:adjustRightInd w:val="0"/>
      <w:ind w:left="213"/>
      <w:jc w:val="left"/>
      <w:outlineLvl w:val="4"/>
    </w:pPr>
    <w:rPr>
      <w:rFonts w:ascii="宋体" w:hAnsi="Times New Roman" w:eastAsia="宋体" w:cs="宋体"/>
      <w:kern w:val="0"/>
      <w:sz w:val="67"/>
      <w:szCs w:val="6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3311</Words>
  <Characters>3319</Characters>
  <Lines>0</Lines>
  <Paragraphs>0</Paragraphs>
  <TotalTime>37</TotalTime>
  <ScaleCrop>false</ScaleCrop>
  <LinksUpToDate>false</LinksUpToDate>
  <CharactersWithSpaces>3380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2024-04-01T04:56:00Z</dcterms:created>
  <dc:creator>123</dc:creator>
  <cp:lastModifiedBy>如此低调</cp:lastModifiedBy>
  <cp:lastPrinted>2024-11-04T11:00:00Z</cp:lastPrinted>
  <dcterms:modified xsi:type="dcterms:W3CDTF">2024-11-04T11:24:06Z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105E330A02C14FF086CD0E67094F5F0C_12</vt:lpwstr>
  </property>
</Properties>
</file>