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06162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063D4BDE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36B6AB97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 w14:paraId="4773D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2417B7B5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5A02DD74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8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7A8CF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34EB3AE4">
            <w:pPr>
              <w:pStyle w:val="51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6540</w:t>
            </w:r>
            <w:r>
              <w:fldChar w:fldCharType="end"/>
            </w:r>
            <w:bookmarkEnd w:id="3"/>
          </w:p>
        </w:tc>
      </w:tr>
    </w:tbl>
    <w:p w14:paraId="7C569C03">
      <w:pPr>
        <w:pStyle w:val="52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伊犁哈萨克自治州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 w14:paraId="4643FE02">
      <w:pPr>
        <w:pStyle w:val="197"/>
        <w:rPr>
          <w:rFonts w:hint="eastAsia" w:eastAsia="黑体"/>
          <w:lang w:val="fr-FR" w:eastAsia="zh-CN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6540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Ansi="黑体"/>
          <w:lang w:val="fr-FR"/>
        </w:rPr>
        <w:t>—</w:t>
      </w:r>
      <w:r>
        <w:rPr>
          <w:rFonts w:hint="eastAsia" w:hAnsi="黑体"/>
          <w:lang w:val="en-US" w:eastAsia="zh-CN"/>
        </w:rPr>
        <w:t>202</w:t>
      </w:r>
      <w:r>
        <w:rPr>
          <w:rFonts w:hint="eastAsia"/>
          <w:lang w:val="en-US" w:eastAsia="zh-CN"/>
        </w:rPr>
        <w:t>4</w:t>
      </w:r>
    </w:p>
    <w:p w14:paraId="3902D9DE">
      <w:pPr>
        <w:pStyle w:val="198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6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6"/>
    </w:p>
    <w:p w14:paraId="7C7A3A13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5DC2FFD">
      <w:pPr>
        <w:pStyle w:val="52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635A0DB7">
      <w:pPr>
        <w:pStyle w:val="199"/>
        <w:framePr w:h="6974" w:hRule="exact" w:wrap="around" w:x="1419" w:anchorLock="1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大豆良种繁育技术规程</w:t>
      </w:r>
    </w:p>
    <w:p w14:paraId="1DD4C9BF">
      <w:pPr>
        <w:framePr w:w="9639" w:h="6974" w:hRule="exact" w:wrap="around" w:vAnchor="page" w:hAnchor="page" w:x="1419" w:y="6408" w:anchorLock="1"/>
        <w:ind w:left="-1418"/>
      </w:pPr>
    </w:p>
    <w:p w14:paraId="22CBB4DE"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eastAsia="黑体"/>
          <w:b/>
          <w:bCs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7" w:name="ESTD_NAME"/>
      <w:r>
        <w:rPr>
          <w:rFonts w:eastAsia="黑体"/>
          <w:b/>
          <w:bCs/>
          <w:szCs w:val="28"/>
        </w:rPr>
        <w:instrText xml:space="preserve"> FORMTEXT </w:instrText>
      </w:r>
      <w:r>
        <w:rPr>
          <w:rFonts w:eastAsia="黑体"/>
          <w:b/>
          <w:bCs/>
          <w:szCs w:val="28"/>
        </w:rPr>
        <w:fldChar w:fldCharType="separate"/>
      </w:r>
      <w:r>
        <w:rPr>
          <w:rFonts w:eastAsia="黑体"/>
          <w:b/>
          <w:bCs/>
          <w:szCs w:val="28"/>
        </w:rPr>
        <w:t xml:space="preserve">Technical </w:t>
      </w:r>
      <w:r>
        <w:rPr>
          <w:rFonts w:hint="eastAsia" w:eastAsia="黑体"/>
          <w:b/>
          <w:bCs/>
          <w:szCs w:val="28"/>
          <w:lang w:val="en-US" w:eastAsia="zh-CN"/>
        </w:rPr>
        <w:t>regulations</w:t>
      </w:r>
      <w:r>
        <w:rPr>
          <w:rFonts w:eastAsia="黑体"/>
          <w:b/>
          <w:bCs/>
          <w:szCs w:val="28"/>
        </w:rPr>
        <w:t xml:space="preserve"> </w:t>
      </w:r>
      <w:r>
        <w:rPr>
          <w:rFonts w:hint="eastAsia" w:eastAsia="黑体"/>
          <w:b/>
          <w:bCs/>
          <w:szCs w:val="28"/>
          <w:lang w:val="en-US" w:eastAsia="zh-CN"/>
        </w:rPr>
        <w:t xml:space="preserve">of </w:t>
      </w:r>
      <w:r>
        <w:rPr>
          <w:rFonts w:eastAsia="黑体"/>
          <w:b/>
          <w:bCs/>
          <w:szCs w:val="28"/>
        </w:rPr>
        <w:t>p</w:t>
      </w:r>
      <w:r>
        <w:rPr>
          <w:rFonts w:hint="eastAsia" w:eastAsia="黑体"/>
          <w:b/>
          <w:bCs/>
          <w:szCs w:val="28"/>
          <w:lang w:val="en-US" w:eastAsia="zh-CN"/>
        </w:rPr>
        <w:t>ropagation</w:t>
      </w:r>
      <w:r>
        <w:rPr>
          <w:rFonts w:eastAsia="黑体"/>
          <w:b/>
          <w:bCs/>
          <w:szCs w:val="28"/>
        </w:rPr>
        <w:t xml:space="preserve"> for </w:t>
      </w:r>
      <w:r>
        <w:rPr>
          <w:rFonts w:hint="eastAsia" w:eastAsia="黑体"/>
          <w:b/>
          <w:bCs/>
          <w:szCs w:val="28"/>
          <w:lang w:val="en-US" w:eastAsia="zh-CN"/>
        </w:rPr>
        <w:t xml:space="preserve"> soybean</w:t>
      </w:r>
      <w:r>
        <w:rPr>
          <w:rFonts w:eastAsia="黑体"/>
          <w:b/>
          <w:bCs/>
          <w:szCs w:val="28"/>
        </w:rPr>
        <w:fldChar w:fldCharType="end"/>
      </w:r>
      <w:bookmarkEnd w:id="7"/>
    </w:p>
    <w:p w14:paraId="3D190AA0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211E44CF"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6260E58E"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8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8"/>
    </w:p>
    <w:p w14:paraId="30F55A87"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9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9"/>
    </w:p>
    <w:p w14:paraId="1F19602C">
      <w:pPr>
        <w:pStyle w:val="127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0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0"/>
    </w:p>
    <w:p w14:paraId="5BCBC1E9">
      <w:pPr>
        <w:pStyle w:val="195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hint="eastAsia" w:ascii="黑体"/>
          <w:lang w:val="en-US" w:eastAsia="zh-CN"/>
        </w:rPr>
        <w:t>4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发布</w:t>
      </w:r>
    </w:p>
    <w:p w14:paraId="62C0E51B">
      <w:pPr>
        <w:pStyle w:val="196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12"/>
      <w:r>
        <w:rPr>
          <w:rFonts w:hint="eastAsia" w:ascii="黑体"/>
          <w:lang w:val="en-US" w:eastAsia="zh-CN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>实施</w:t>
      </w:r>
    </w:p>
    <w:p w14:paraId="76EECA27">
      <w:pPr>
        <w:pStyle w:val="153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3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伊犁哈萨克自治州市场监督管理局</w:t>
      </w:r>
      <w:r>
        <w:rPr>
          <w:rFonts w:hAnsi="黑体"/>
          <w:w w:val="100"/>
          <w:sz w:val="28"/>
        </w:rPr>
        <w:fldChar w:fldCharType="end"/>
      </w:r>
      <w:bookmarkEnd w:id="13"/>
      <w:r>
        <w:rPr>
          <w:rFonts w:ascii="Times New Roman"/>
          <w:w w:val="100"/>
          <w:sz w:val="28"/>
        </w:rPr>
        <w:t>  </w:t>
      </w:r>
      <w:r>
        <w:rPr>
          <w:rStyle w:val="231"/>
          <w:rFonts w:hint="eastAsia" w:hAnsi="黑体"/>
          <w:position w:val="0"/>
        </w:rPr>
        <w:t>发</w:t>
      </w:r>
      <w:r>
        <w:rPr>
          <w:rStyle w:val="231"/>
          <w:rFonts w:hint="eastAsia" w:hAnsi="黑体"/>
          <w:spacing w:val="0"/>
          <w:position w:val="0"/>
        </w:rPr>
        <w:t>布</w:t>
      </w:r>
    </w:p>
    <w:p w14:paraId="00227B59">
      <w:pPr>
        <w:rPr>
          <w:rFonts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51E58855">
      <w:pPr>
        <w:pStyle w:val="91"/>
        <w:spacing w:before="900" w:after="468"/>
      </w:pPr>
      <w:bookmarkStart w:id="14" w:name="BookMark2"/>
      <w:r>
        <w:rPr>
          <w:spacing w:val="320"/>
        </w:rPr>
        <w:t>前</w:t>
      </w:r>
      <w:r>
        <w:t>言</w:t>
      </w:r>
    </w:p>
    <w:p w14:paraId="2A9745CB">
      <w:pPr>
        <w:pStyle w:val="58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14:paraId="1289FB43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</w:rPr>
        <w:t>本标准由察布查尔锡伯自治县农业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技术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推广站、伊犁师范大学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生物科学与技术学院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、伊犁州农业技术推广总站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等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提出。</w:t>
      </w:r>
    </w:p>
    <w:p w14:paraId="44C774CC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bCs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本标准由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/>
        </w:rPr>
        <w:t>伊犁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州农业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农村局归口。</w:t>
      </w:r>
    </w:p>
    <w:p w14:paraId="7465958C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</w:rPr>
        <w:t>本标准由伊犁哈萨克自治州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市场监督管理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局发布。</w:t>
      </w:r>
    </w:p>
    <w:p w14:paraId="43BD5690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本标准起草人：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关志坚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王文彬、安荣荣、刘小龙、郭辉清、关丽菊、桑志伟、马微、王俏丽、夏力哈特·卡卡甫、吐尔孙买买提、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焦子伟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张冬梅、耿卫东、郭秀梅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。</w:t>
      </w:r>
    </w:p>
    <w:p w14:paraId="3F0C15A2">
      <w:pPr>
        <w:pStyle w:val="58"/>
        <w:ind w:firstLine="420"/>
        <w:rPr>
          <w:rFonts w:hint="eastAsia"/>
        </w:rPr>
      </w:pPr>
    </w:p>
    <w:p w14:paraId="3A152F0A">
      <w:pPr>
        <w:pStyle w:val="58"/>
        <w:ind w:firstLine="420"/>
        <w:rPr>
          <w:rFonts w:hint="eastAsia"/>
        </w:rPr>
      </w:pPr>
    </w:p>
    <w:p w14:paraId="2A03B102">
      <w:pPr>
        <w:pStyle w:val="58"/>
        <w:ind w:firstLine="420"/>
        <w:rPr>
          <w:rFonts w:hint="eastAsia"/>
        </w:rPr>
      </w:pPr>
    </w:p>
    <w:p w14:paraId="3E3232C4">
      <w:pPr>
        <w:pStyle w:val="58"/>
        <w:ind w:firstLine="420"/>
        <w:rPr>
          <w:rFonts w:hint="default" w:ascii="宋体" w:eastAsia="宋体"/>
          <w:lang w:val="en-US" w:eastAsia="zh-CN"/>
        </w:rPr>
      </w:pPr>
    </w:p>
    <w:p w14:paraId="5516B186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7FE1FAB3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622A480E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38FB09D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50372A8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BD72F1A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25F1B870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42137E18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5B7F65BB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E8AE3C7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76936A75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61F97FF2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2EDA65AD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772BA423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177B283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26CA28EE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2237899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73157387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0F70AED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60ED07F1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4FE395A6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7E10A1F0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F97B0FB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4D848D9">
      <w:pPr>
        <w:pStyle w:val="58"/>
        <w:ind w:firstLine="420"/>
        <w:rPr>
          <w:rFonts w:hint="eastAsia" w:ascii="宋体" w:eastAsia="宋体"/>
          <w:lang w:val="en-US" w:eastAsia="zh-CN"/>
        </w:rPr>
      </w:pPr>
    </w:p>
    <w:bookmarkEnd w:id="14"/>
    <w:p w14:paraId="2A605661">
      <w:pPr>
        <w:adjustRightInd/>
        <w:spacing w:before="312" w:beforeLines="100" w:after="686" w:afterLines="220" w:line="40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大豆</w:t>
      </w:r>
      <w:r>
        <w:rPr>
          <w:rFonts w:ascii="Times New Roman" w:hAnsi="Times New Roman" w:eastAsia="黑体"/>
          <w:sz w:val="32"/>
          <w:szCs w:val="32"/>
        </w:rPr>
        <w:t>良种繁育栽培技术规程</w:t>
      </w:r>
    </w:p>
    <w:p w14:paraId="52BA705B"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bookmarkStart w:id="15" w:name="_Toc385264816"/>
      <w:bookmarkStart w:id="16" w:name="_Toc261606146"/>
      <w:bookmarkStart w:id="17" w:name="_Toc261607105"/>
      <w:bookmarkStart w:id="18" w:name="_Toc261551263"/>
      <w:bookmarkStart w:id="19" w:name="_Toc261606124"/>
      <w:bookmarkStart w:id="20" w:name="_Toc261551308"/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1 范围</w:t>
      </w:r>
      <w:bookmarkEnd w:id="15"/>
      <w:bookmarkEnd w:id="16"/>
      <w:bookmarkEnd w:id="17"/>
      <w:bookmarkEnd w:id="18"/>
      <w:bookmarkEnd w:id="19"/>
      <w:bookmarkEnd w:id="20"/>
    </w:p>
    <w:p w14:paraId="7A72AFF2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本标准规定了大豆</w:t>
      </w:r>
      <w:r>
        <w:rPr>
          <w:rFonts w:hint="eastAsia" w:ascii="Times New Roman" w:hAnsi="Times New Roman"/>
          <w:szCs w:val="21"/>
          <w:lang w:val="en-US" w:eastAsia="zh-CN"/>
        </w:rPr>
        <w:t>良种繁育</w:t>
      </w:r>
      <w:r>
        <w:rPr>
          <w:rFonts w:ascii="Times New Roman" w:hAnsi="Times New Roman" w:eastAsia="宋体"/>
          <w:szCs w:val="21"/>
        </w:rPr>
        <w:t>的术语与定义、技术指标、产地环境、播前准备、原种生产、良种生产的技术要求。</w:t>
      </w:r>
    </w:p>
    <w:p w14:paraId="6B7234F4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本标准适用于伊犁河谷无霜期130 d以上，≥10℃活动积温2</w:t>
      </w:r>
      <w:r>
        <w:rPr>
          <w:rFonts w:hint="eastAsia" w:ascii="Times New Roman" w:hAnsi="Times New Roman"/>
          <w:szCs w:val="21"/>
          <w:lang w:val="en-US" w:eastAsia="zh-CN"/>
        </w:rPr>
        <w:t>5</w:t>
      </w:r>
      <w:r>
        <w:rPr>
          <w:rFonts w:ascii="Times New Roman" w:hAnsi="Times New Roman" w:eastAsia="宋体"/>
          <w:szCs w:val="21"/>
        </w:rPr>
        <w:t>00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℃</w:t>
      </w:r>
      <w:r>
        <w:rPr>
          <w:rFonts w:hint="eastAsia" w:ascii="Times New Roman" w:hAnsi="Times New Roman"/>
          <w:szCs w:val="21"/>
          <w:lang w:eastAsia="zh-CN"/>
        </w:rPr>
        <w:t>以上</w:t>
      </w:r>
      <w:r>
        <w:rPr>
          <w:rFonts w:ascii="Times New Roman" w:hAnsi="Times New Roman" w:eastAsia="宋体"/>
          <w:szCs w:val="21"/>
        </w:rPr>
        <w:t>的春播大豆种植区进行繁育栽培。</w:t>
      </w:r>
    </w:p>
    <w:p w14:paraId="7F57E41F"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bookmarkStart w:id="21" w:name="_Toc385264817"/>
      <w:bookmarkStart w:id="22" w:name="_Toc261607107"/>
      <w:bookmarkStart w:id="23" w:name="_Toc261551265"/>
      <w:bookmarkStart w:id="24" w:name="_Toc261606148"/>
      <w:bookmarkStart w:id="25" w:name="_Toc261551310"/>
      <w:bookmarkStart w:id="26" w:name="_Toc261606126"/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2 规范性引用文件</w:t>
      </w:r>
      <w:bookmarkEnd w:id="21"/>
    </w:p>
    <w:p w14:paraId="6E69E600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466CC555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bookmarkStart w:id="28" w:name="_GoBack"/>
      <w:bookmarkEnd w:id="28"/>
      <w:r>
        <w:rPr>
          <w:rFonts w:ascii="Times New Roman" w:hAnsi="Times New Roman" w:eastAsia="宋体"/>
          <w:szCs w:val="21"/>
        </w:rPr>
        <w:t>GB/T 3543 农作物种子检验规程</w:t>
      </w:r>
    </w:p>
    <w:p w14:paraId="156F0EA6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GB/T 4404.2 粮食作物种子  豆类</w:t>
      </w:r>
    </w:p>
    <w:p w14:paraId="0D8DF230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GB</w:t>
      </w:r>
      <w:r>
        <w:rPr>
          <w:rFonts w:hint="eastAsia" w:ascii="Times New Roman" w:hAnsi="Times New Roman"/>
          <w:szCs w:val="21"/>
          <w:lang w:val="en-US" w:eastAsia="zh-CN"/>
        </w:rPr>
        <w:t>/T</w:t>
      </w:r>
      <w:r>
        <w:rPr>
          <w:rFonts w:ascii="Times New Roman" w:hAnsi="Times New Roman" w:eastAsia="宋体"/>
          <w:szCs w:val="21"/>
        </w:rPr>
        <w:t xml:space="preserve"> 7415 主要农作物种子贮藏</w:t>
      </w:r>
    </w:p>
    <w:p w14:paraId="4BE08329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ascii="Times New Roman" w:hAnsi="Times New Roman" w:eastAsia="宋体"/>
          <w:color w:val="000000"/>
          <w:kern w:val="0"/>
          <w:szCs w:val="21"/>
        </w:rPr>
        <w:t>NY/T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>391 绿色食品  产地环境技术条件</w:t>
      </w:r>
    </w:p>
    <w:p w14:paraId="47D6F887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ascii="Times New Roman" w:hAnsi="Times New Roman" w:eastAsia="宋体"/>
          <w:color w:val="000000"/>
          <w:kern w:val="0"/>
          <w:szCs w:val="21"/>
        </w:rPr>
        <w:t>NY/T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>394 绿色食品  肥料使用准则</w:t>
      </w:r>
    </w:p>
    <w:p w14:paraId="1C572F81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ascii="Times New Roman" w:hAnsi="Times New Roman" w:eastAsia="宋体"/>
          <w:color w:val="000000"/>
          <w:kern w:val="0"/>
          <w:szCs w:val="21"/>
        </w:rPr>
        <w:t>NY/T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>393 绿色食品  农药使用准则</w:t>
      </w:r>
    </w:p>
    <w:p w14:paraId="23C2BB19"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bookmarkStart w:id="27" w:name="_Toc385264818"/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 术语和定义</w:t>
      </w:r>
    </w:p>
    <w:p w14:paraId="34012100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下列术语和定义适用于本标准。</w:t>
      </w:r>
    </w:p>
    <w:p w14:paraId="4B1D6186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3.1 原种</w:t>
      </w:r>
    </w:p>
    <w:p w14:paraId="31885789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由育种家提供或委托，通过原种生产程序繁殖出的保持原品种优良种性、典型性，符合原种质量标准，且能进一步供繁殖良种使用的基本种子。</w:t>
      </w:r>
    </w:p>
    <w:p w14:paraId="61794E26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3.2 良种</w:t>
      </w:r>
    </w:p>
    <w:p w14:paraId="68CEE375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良种是指符合良种质量标准用于提供大田生产的种子。</w:t>
      </w:r>
    </w:p>
    <w:p w14:paraId="3160A047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3.3 良种繁育</w:t>
      </w:r>
    </w:p>
    <w:p w14:paraId="65D27BBA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将优良品种提纯复壮并扩大繁殖推广于生产的过程。</w:t>
      </w:r>
    </w:p>
    <w:p w14:paraId="371AE82D"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 技术指标</w:t>
      </w:r>
    </w:p>
    <w:p w14:paraId="2C5B7B91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4.1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基本苗</w:t>
      </w:r>
    </w:p>
    <w:p w14:paraId="34B6DDC8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2.6万株/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ascii="Times New Roman" w:hAnsi="Times New Roman" w:eastAsia="宋体"/>
          <w:szCs w:val="21"/>
        </w:rPr>
        <w:t>3.0万株/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。</w:t>
      </w:r>
    </w:p>
    <w:p w14:paraId="71C1AC74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4.2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收获株数</w:t>
      </w:r>
    </w:p>
    <w:p w14:paraId="6A6B413D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2.5万株/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ascii="Times New Roman" w:hAnsi="Times New Roman" w:eastAsia="宋体"/>
          <w:szCs w:val="21"/>
        </w:rPr>
        <w:t>2.8万株/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。</w:t>
      </w:r>
    </w:p>
    <w:p w14:paraId="63A6F7AA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3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单株粒数</w:t>
      </w:r>
    </w:p>
    <w:p w14:paraId="6BB05715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/>
          <w:szCs w:val="21"/>
          <w:lang w:val="en-US" w:eastAsia="zh-CN"/>
        </w:rPr>
        <w:t>4</w:t>
      </w:r>
      <w:r>
        <w:rPr>
          <w:rFonts w:ascii="Times New Roman" w:hAnsi="Times New Roman" w:eastAsia="宋体"/>
          <w:szCs w:val="21"/>
        </w:rPr>
        <w:t>粒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51</w:t>
      </w:r>
      <w:r>
        <w:rPr>
          <w:rFonts w:ascii="Times New Roman" w:hAnsi="Times New Roman" w:eastAsia="宋体"/>
          <w:szCs w:val="21"/>
        </w:rPr>
        <w:t>粒。</w:t>
      </w:r>
    </w:p>
    <w:p w14:paraId="11DF4AF0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4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百粒重</w:t>
      </w:r>
    </w:p>
    <w:p w14:paraId="1AC285E6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19g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21g。</w:t>
      </w:r>
    </w:p>
    <w:p w14:paraId="3BD1A245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5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产量指标</w:t>
      </w:r>
    </w:p>
    <w:p w14:paraId="68A322AB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/>
          <w:szCs w:val="21"/>
          <w:lang w:val="en-US" w:eastAsia="zh-CN"/>
        </w:rPr>
        <w:t>8</w:t>
      </w:r>
      <w:r>
        <w:rPr>
          <w:rFonts w:ascii="Times New Roman" w:hAnsi="Times New Roman" w:eastAsia="宋体"/>
          <w:szCs w:val="21"/>
        </w:rPr>
        <w:t>0 kg/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hint="eastAsia" w:ascii="Times New Roman" w:hAnsi="Times New Roman"/>
          <w:szCs w:val="21"/>
          <w:lang w:val="en-US" w:eastAsia="zh-CN"/>
        </w:rPr>
        <w:t xml:space="preserve">300 </w:t>
      </w:r>
      <w:r>
        <w:rPr>
          <w:rFonts w:ascii="Times New Roman" w:hAnsi="Times New Roman" w:eastAsia="宋体"/>
          <w:szCs w:val="21"/>
        </w:rPr>
        <w:t>kg/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。</w:t>
      </w:r>
    </w:p>
    <w:p w14:paraId="631B448A">
      <w:pPr>
        <w:snapToGrid w:val="0"/>
        <w:spacing w:before="312" w:beforeLines="100" w:after="312" w:afterLines="100"/>
        <w:jc w:val="both"/>
        <w:outlineLvl w:val="1"/>
        <w:rPr>
          <w:rFonts w:hint="default"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5 产地环境</w:t>
      </w:r>
    </w:p>
    <w:p w14:paraId="7C0D72AE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应符合NY/T 391的规定。</w:t>
      </w:r>
    </w:p>
    <w:p w14:paraId="23A1EEF9"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播前准备</w:t>
      </w:r>
    </w:p>
    <w:p w14:paraId="28FB2F5D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6.1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 xml:space="preserve">土地准备 </w:t>
      </w:r>
    </w:p>
    <w:p w14:paraId="58558E55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选用土壤肥力中上等，土层深厚，有机质含量1%以上，灌排良好，轮作倒茬的壤土或</w:t>
      </w:r>
      <w:r>
        <w:rPr>
          <w:rFonts w:hint="eastAsia" w:ascii="Times New Roman" w:hAnsi="Times New Roman"/>
          <w:szCs w:val="21"/>
          <w:lang w:eastAsia="zh-CN"/>
        </w:rPr>
        <w:t>沙</w:t>
      </w:r>
      <w:r>
        <w:rPr>
          <w:rFonts w:ascii="Times New Roman" w:hAnsi="Times New Roman" w:eastAsia="宋体"/>
          <w:szCs w:val="21"/>
        </w:rPr>
        <w:t>壤土为宜。</w:t>
      </w:r>
    </w:p>
    <w:p w14:paraId="59F0A595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6.2 施肥整地</w:t>
      </w:r>
    </w:p>
    <w:p w14:paraId="0815B19A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肥料施用应符合NY/T 394的规定。每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施腐熟农家肥2000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ascii="Times New Roman" w:hAnsi="Times New Roman" w:eastAsia="宋体"/>
          <w:szCs w:val="21"/>
        </w:rPr>
        <w:t>2500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kg，磷酸二铵15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20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kg，硫酸钾6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8 kg等相同量的肥料作基肥。深翻土地，深度20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25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cm，整地质量达到“齐、平、松、碎、墒、净”六字标准。</w:t>
      </w:r>
    </w:p>
    <w:p w14:paraId="5D17F030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6.3土壤处理</w:t>
      </w:r>
    </w:p>
    <w:p w14:paraId="5743D836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highlight w:val="none"/>
        </w:rPr>
      </w:pPr>
      <w:r>
        <w:rPr>
          <w:rFonts w:ascii="Times New Roman" w:hAnsi="Times New Roman" w:eastAsia="宋体"/>
          <w:color w:val="000000"/>
          <w:szCs w:val="21"/>
          <w:highlight w:val="none"/>
        </w:rPr>
        <w:t>在大豆播前或播后苗前，选用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>33%二甲戊灵乳油100 ml/667m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~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>150 ml</w:t>
      </w:r>
      <w:r>
        <w:rPr>
          <w:rFonts w:ascii="Times New Roman" w:hAnsi="Times New Roman" w:eastAsia="宋体"/>
          <w:color w:val="000000"/>
          <w:szCs w:val="21"/>
          <w:highlight w:val="none"/>
        </w:rPr>
        <w:t>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，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>或</w:t>
      </w:r>
      <w:r>
        <w:rPr>
          <w:rFonts w:ascii="Times New Roman" w:hAnsi="Times New Roman" w:eastAsia="宋体"/>
          <w:color w:val="000000"/>
          <w:szCs w:val="21"/>
          <w:highlight w:val="none"/>
        </w:rPr>
        <w:t>50%乙草胺乳油150 ml/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~200 ml/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+75%噻吩磺隆2 g/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，或96%精异丙甲草胺乳油70 </w:t>
      </w:r>
      <w:r>
        <w:rPr>
          <w:rFonts w:ascii="Times New Roman" w:hAnsi="Times New Roman" w:eastAsia="宋体"/>
          <w:color w:val="FF0000"/>
          <w:szCs w:val="21"/>
          <w:highlight w:val="none"/>
        </w:rPr>
        <w:t>ml</w:t>
      </w:r>
      <w:r>
        <w:rPr>
          <w:rFonts w:ascii="Times New Roman" w:hAnsi="Times New Roman" w:eastAsia="宋体"/>
          <w:color w:val="000000"/>
          <w:szCs w:val="21"/>
          <w:highlight w:val="none"/>
        </w:rPr>
        <w:t>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szCs w:val="21"/>
          <w:highlight w:val="none"/>
        </w:rPr>
        <w:t>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~80 m</w:t>
      </w:r>
      <w:r>
        <w:rPr>
          <w:rFonts w:ascii="Times New Roman" w:hAnsi="Times New Roman" w:eastAsia="宋体"/>
          <w:color w:val="FF0000"/>
          <w:szCs w:val="21"/>
          <w:highlight w:val="none"/>
        </w:rPr>
        <w:t>l</w:t>
      </w:r>
      <w:r>
        <w:rPr>
          <w:rFonts w:ascii="Times New Roman" w:hAnsi="Times New Roman" w:eastAsia="宋体"/>
          <w:color w:val="000000"/>
          <w:szCs w:val="21"/>
          <w:highlight w:val="none"/>
        </w:rPr>
        <w:t>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+75%噻吩磺隆2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szCs w:val="21"/>
          <w:highlight w:val="none"/>
        </w:rPr>
        <w:t>g/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szCs w:val="21"/>
          <w:highlight w:val="none"/>
        </w:rPr>
        <w:t>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等均匀地喷洒在土壤表面，并浅混土</w:t>
      </w:r>
      <w:r>
        <w:rPr>
          <w:rFonts w:ascii="Times New Roman" w:hAnsi="Times New Roman" w:eastAsia="宋体"/>
          <w:szCs w:val="21"/>
          <w:highlight w:val="none"/>
        </w:rPr>
        <w:t>，抑制田间杂草生长。</w:t>
      </w:r>
    </w:p>
    <w:p w14:paraId="4E8CDD68"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 原种生产</w:t>
      </w:r>
    </w:p>
    <w:p w14:paraId="3D36AFFB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7.1 生产方法</w:t>
      </w:r>
    </w:p>
    <w:p w14:paraId="5656870A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原种生产主要采用三圃的方法，即株行圃、株系圃、原种圃。</w:t>
      </w:r>
    </w:p>
    <w:p w14:paraId="0DF21F7C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 单株选择</w:t>
      </w:r>
    </w:p>
    <w:p w14:paraId="37984010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7.2.1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单株来源</w:t>
      </w:r>
    </w:p>
    <w:p w14:paraId="71188889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单株在株行圃、株系圃或原种圃中选择，如无株行圃或原种圃时可建立单株选择圃，或在纯度较高的种子田中选择。</w:t>
      </w:r>
    </w:p>
    <w:p w14:paraId="147DADF5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7.2.2 选择时期</w:t>
      </w:r>
    </w:p>
    <w:p w14:paraId="6FE2C99C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选择分花期和成熟期两期进行。</w:t>
      </w:r>
    </w:p>
    <w:p w14:paraId="6E9FC18E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7.2.3 选择标准和方法</w:t>
      </w:r>
    </w:p>
    <w:p w14:paraId="45C83245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选择具有原品种的典型</w:t>
      </w:r>
      <w:r>
        <w:rPr>
          <w:rFonts w:hint="eastAsia" w:ascii="Times New Roman" w:hAnsi="Times New Roman"/>
          <w:szCs w:val="21"/>
          <w:lang w:eastAsia="zh-CN"/>
        </w:rPr>
        <w:t>性状</w:t>
      </w:r>
      <w:r>
        <w:rPr>
          <w:rFonts w:ascii="Times New Roman" w:hAnsi="Times New Roman" w:eastAsia="宋体"/>
          <w:szCs w:val="21"/>
        </w:rPr>
        <w:t>，丰产性好，成熟期一致的单株。花期根据花色、叶形、病害情况选单株，挂标签标记；成熟期根据株高、成熟度、茸毛色、结荚习性、株型、荚型、荚熟色从花期入选的单株中选拨，不合格的单株淘汰。选拨时要避开地头、地边和缺苗断垄处。</w:t>
      </w:r>
    </w:p>
    <w:p w14:paraId="72702331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7.2.4 选择数量</w:t>
      </w:r>
    </w:p>
    <w:p w14:paraId="64D02CCB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shd w:val="clear" w:color="auto" w:fill="FFFFFF"/>
        </w:rPr>
      </w:pPr>
      <w:r>
        <w:rPr>
          <w:rFonts w:ascii="Times New Roman" w:hAnsi="Times New Roman" w:eastAsia="宋体"/>
          <w:szCs w:val="21"/>
        </w:rPr>
        <w:t>选择数量应根据原种需要量来定，一般每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株行圃需决选单株400株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500株。</w:t>
      </w:r>
    </w:p>
    <w:p w14:paraId="07CD18B4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7.2.5 室内考种及复选</w:t>
      </w:r>
    </w:p>
    <w:p w14:paraId="0679537A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入选植株首先要根据植株的全株荚数、粒数，选择典型性强的丰产单株，单株脱粒，然后根据籽粒大小、整齐度、种皮光泽度、种皮裂纹、粒形、粒色、脐色、百粒重、紫斑粒率</w:t>
      </w:r>
      <w:r>
        <w:rPr>
          <w:rFonts w:hint="eastAsia" w:ascii="Times New Roman" w:hAnsi="Times New Roman"/>
          <w:szCs w:val="21"/>
          <w:lang w:eastAsia="zh-CN"/>
        </w:rPr>
        <w:t>、</w:t>
      </w:r>
      <w:r>
        <w:rPr>
          <w:rFonts w:ascii="Times New Roman" w:hAnsi="Times New Roman" w:eastAsia="宋体"/>
          <w:szCs w:val="21"/>
        </w:rPr>
        <w:t>褐斑粒率等病害情况等进行复选。决选的单株在剔除个别病虫粒、瘪粒后分别装袋编号保存。</w:t>
      </w:r>
    </w:p>
    <w:p w14:paraId="59494F9A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 株行圃</w:t>
      </w:r>
    </w:p>
    <w:p w14:paraId="6DD1ACFA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7.3.1 田间设计</w:t>
      </w:r>
    </w:p>
    <w:p w14:paraId="3DA6054D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各株行的长度应一致，行长6 m，行距50cm，每隔49行设一对照行，对照应用原原种。</w:t>
      </w:r>
    </w:p>
    <w:p w14:paraId="75C019AB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7.3.2 播种</w:t>
      </w:r>
    </w:p>
    <w:p w14:paraId="45B3FCDD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要适时将上年入选的每株种子播种一行，密度应较大田稍稀，单粒点播，或2粒穴播留1苗。</w:t>
      </w:r>
    </w:p>
    <w:p w14:paraId="376C659B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7.3.3 田间鉴评</w:t>
      </w:r>
    </w:p>
    <w:p w14:paraId="6653C01E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田间鉴评分三期进行。苗期根据幼苗长相、幼茎颜色；花期根据叶形、花色、叶色、子叶颜色、茸毛色、感病性等；成熟期根据株高、成熟度、株型、结荚习性、茸毛色、荚型、荚熟色来鉴定品种的典型性和株行的整齐度。通过鉴评要淘汰不具备原品种典型性的</w:t>
      </w:r>
      <w:r>
        <w:rPr>
          <w:rFonts w:hint="eastAsia" w:ascii="Times New Roman" w:hAnsi="Times New Roman"/>
          <w:szCs w:val="21"/>
          <w:lang w:eastAsia="zh-CN"/>
        </w:rPr>
        <w:t>、</w:t>
      </w:r>
      <w:r>
        <w:rPr>
          <w:rFonts w:ascii="Times New Roman" w:hAnsi="Times New Roman" w:eastAsia="宋体"/>
          <w:szCs w:val="21"/>
        </w:rPr>
        <w:t>有杂株的、丰产性低的、病虫害重的株行，并做明显标记和记载。对入选株行中个别病劣株要及时</w:t>
      </w:r>
      <w:r>
        <w:rPr>
          <w:rFonts w:hint="eastAsia" w:ascii="Times New Roman" w:hAnsi="Times New Roman"/>
          <w:szCs w:val="21"/>
          <w:lang w:eastAsia="zh-CN"/>
        </w:rPr>
        <w:t>拔</w:t>
      </w:r>
      <w:r>
        <w:rPr>
          <w:rFonts w:ascii="Times New Roman" w:hAnsi="Times New Roman" w:eastAsia="宋体"/>
          <w:szCs w:val="21"/>
        </w:rPr>
        <w:t>除。</w:t>
      </w:r>
    </w:p>
    <w:p w14:paraId="0553ABA1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7.3.4 收获</w:t>
      </w:r>
    </w:p>
    <w:p w14:paraId="08521BD9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收获前要清除淘汰株行，对入选株行要按行单收、单晾晒、单脱粒、单装袋，袋内放、袋外拴好标签。</w:t>
      </w:r>
    </w:p>
    <w:p w14:paraId="59EEB3B3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 株系圃</w:t>
      </w:r>
    </w:p>
    <w:p w14:paraId="33907467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7.4.1 田间设计</w:t>
      </w:r>
    </w:p>
    <w:p w14:paraId="0D64AA31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株系圃面积因上年株行圃入选行种子量而定。各株系行数和行长应一致，每隔19区设一对照区，对照应用原原种。</w:t>
      </w:r>
    </w:p>
    <w:p w14:paraId="5E35761C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7.4.2 播种</w:t>
      </w:r>
    </w:p>
    <w:p w14:paraId="0EC873F9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将上年保存的每一株行种子种一小区，单粒点播或2粒穴播留1苗，密度应较大田稍稀。</w:t>
      </w:r>
    </w:p>
    <w:p w14:paraId="516BB226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7.4.3 田间鉴评</w:t>
      </w:r>
    </w:p>
    <w:p w14:paraId="2C0CB575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田间鉴评各项同7.3.3，若小区出现杂株时，全区应淘汰，同时要注意各株系间的一致性。</w:t>
      </w:r>
    </w:p>
    <w:p w14:paraId="620A9898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7.4.4 收获</w:t>
      </w:r>
    </w:p>
    <w:p w14:paraId="64EAE8DE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先将淘汰区清除后对入选区单收、单晾晒、单脱粒、单装袋</w:t>
      </w:r>
      <w:r>
        <w:rPr>
          <w:rFonts w:hint="eastAsia" w:ascii="Times New Roman" w:hAnsi="Times New Roman"/>
          <w:szCs w:val="21"/>
          <w:lang w:eastAsia="zh-CN"/>
        </w:rPr>
        <w:t>、</w:t>
      </w:r>
      <w:r>
        <w:rPr>
          <w:rFonts w:ascii="Times New Roman" w:hAnsi="Times New Roman" w:eastAsia="宋体"/>
          <w:szCs w:val="21"/>
        </w:rPr>
        <w:t>单称重，袋内放、袋外拴好标签。</w:t>
      </w:r>
    </w:p>
    <w:p w14:paraId="523FF205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7.4.5 决选</w:t>
      </w:r>
    </w:p>
    <w:p w14:paraId="2FB25099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籽粒决选标准同7.2.5，决选时还要将产量显著低于对照的株系淘汰。入选株系的种子混合装袋，袋内外放、拴好标签，妥善保存。</w:t>
      </w:r>
    </w:p>
    <w:p w14:paraId="0179F46E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 原种圃</w:t>
      </w:r>
    </w:p>
    <w:p w14:paraId="5C48D22E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7.5.1 播种</w:t>
      </w:r>
    </w:p>
    <w:p w14:paraId="365CC595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将上年株系圃决选的种子适度稀植于原种田中，播种时要将播种工具清理干净，严防机械混杂。</w:t>
      </w:r>
    </w:p>
    <w:p w14:paraId="6E4736E7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7.5.2 去杂去劣</w:t>
      </w:r>
    </w:p>
    <w:p w14:paraId="3A1CF0BC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在苗期、花期、成熟期要根据品种的典型特征特性严格</w:t>
      </w:r>
      <w:r>
        <w:rPr>
          <w:rFonts w:hint="eastAsia" w:ascii="Times New Roman" w:hAnsi="Times New Roman"/>
          <w:szCs w:val="21"/>
          <w:lang w:eastAsia="zh-CN"/>
        </w:rPr>
        <w:t>拔</w:t>
      </w:r>
      <w:r>
        <w:rPr>
          <w:rFonts w:ascii="Times New Roman" w:hAnsi="Times New Roman" w:eastAsia="宋体"/>
          <w:szCs w:val="21"/>
        </w:rPr>
        <w:t>除杂株、病株、劣株。</w:t>
      </w:r>
    </w:p>
    <w:p w14:paraId="22E0F91E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7.5.3 收获</w:t>
      </w:r>
    </w:p>
    <w:p w14:paraId="21A618BB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成熟时及时收获。要单收、单运、单脱粒、专场晾晒，严防混杂。</w:t>
      </w:r>
    </w:p>
    <w:p w14:paraId="64519CF8"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 良种生产</w:t>
      </w:r>
    </w:p>
    <w:p w14:paraId="7DE5F86B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8.1 播种准备</w:t>
      </w:r>
    </w:p>
    <w:p w14:paraId="789FC7D7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应选用符合GB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4404.2规定的原种进行良种生产。种子播种前，应该对所用播种机进行清理，以免有其他大豆品种种子在下种箱遗漏，发生人为混杂。</w:t>
      </w:r>
    </w:p>
    <w:p w14:paraId="1E84B0B7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8.2 播种</w:t>
      </w:r>
    </w:p>
    <w:p w14:paraId="2E0A7811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shd w:val="clear" w:color="auto" w:fill="FFFFFF"/>
        </w:rPr>
      </w:pPr>
      <w:r>
        <w:rPr>
          <w:rFonts w:ascii="Times New Roman" w:hAnsi="Times New Roman" w:eastAsia="宋体"/>
          <w:szCs w:val="21"/>
          <w:shd w:val="clear" w:color="auto" w:fill="FFFFFF"/>
        </w:rPr>
        <w:t>最适播种期为4月15日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5月10日；采用等行距条播或穴播，行距50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cm，株距7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8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cm，播深4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5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cm；条播7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9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shd w:val="clear" w:color="auto" w:fill="FFFFFF"/>
        </w:rPr>
        <w:t>，穴播6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shd w:val="clear" w:color="auto" w:fill="FFFFFF"/>
        </w:rPr>
        <w:t>；播量准确，播深一致，下籽均匀，不重不漏，播行端直，覆土严密。</w:t>
      </w:r>
    </w:p>
    <w:p w14:paraId="3E87CAF9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 田间管理</w:t>
      </w:r>
    </w:p>
    <w:p w14:paraId="6BFD1B5A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8.3.1 定苗中耕除草</w:t>
      </w:r>
    </w:p>
    <w:p w14:paraId="7EB69B93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8.3.1.1 定苗中耕</w:t>
      </w:r>
    </w:p>
    <w:p w14:paraId="77EB7D2F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结合间定苗，根据幼苗的叶形和颜色，去除叶形和苗色不一致的杂株及病弱苗。当大豆子叶拱土显行时进行第1次中耕，中耕深度10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12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cm，苗高10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12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cm时进行第二次中耕，中耕深度14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16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cm。</w:t>
      </w:r>
    </w:p>
    <w:p w14:paraId="4C22239A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8.3.1.2 化学除草</w:t>
      </w:r>
    </w:p>
    <w:p w14:paraId="6558E1AC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/>
          <w:szCs w:val="21"/>
          <w:lang w:val="en-US" w:eastAsia="zh-CN"/>
        </w:rPr>
        <w:t xml:space="preserve">应符合DB6540/T -2024的5.3.2中规定。   </w:t>
      </w:r>
      <w:r>
        <w:rPr>
          <w:rFonts w:ascii="Times New Roman" w:hAnsi="Times New Roman" w:eastAsia="宋体"/>
          <w:szCs w:val="21"/>
        </w:rPr>
        <w:t>。</w:t>
      </w:r>
    </w:p>
    <w:p w14:paraId="0A916361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8.3.2 灌溉</w:t>
      </w:r>
    </w:p>
    <w:p w14:paraId="0B8B8D00">
      <w:pPr>
        <w:widowControl/>
        <w:adjustRightInd/>
        <w:snapToGrid/>
        <w:spacing w:before="0" w:beforeLines="-2147483648" w:after="0" w:afterLines="-2147483648" w:line="240" w:lineRule="auto"/>
        <w:ind w:firstLine="420" w:firstLineChars="200"/>
        <w:jc w:val="left"/>
        <w:outlineLvl w:val="9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一般的地块实行浇灌措施。有条件的地块，实行滴灌，播种时随行铺设，并适当用土压实。灌溉措施</w:t>
      </w:r>
      <w:r>
        <w:rPr>
          <w:rFonts w:hint="eastAsia" w:ascii="Times New Roman" w:hAnsi="Times New Roman"/>
          <w:szCs w:val="21"/>
          <w:lang w:val="en-US" w:eastAsia="zh-CN"/>
        </w:rPr>
        <w:t xml:space="preserve">应符合DB6540/T -2024的5.3.4中规定。 </w:t>
      </w:r>
    </w:p>
    <w:p w14:paraId="3ECEFEC5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>8.3.3 叶面施肥</w:t>
      </w:r>
    </w:p>
    <w:p w14:paraId="31078034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highlight w:val="none"/>
          <w:shd w:val="clear" w:color="auto" w:fill="FFFFFF"/>
        </w:rPr>
      </w:pP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大豆开花初期和灌浆期各喷一次叶面肥。用磷酸二氢钾200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g/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+尿素150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g/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或用</w:t>
      </w:r>
      <w:r>
        <w:rPr>
          <w:rFonts w:ascii="Times New Roman" w:hAnsi="Times New Roman" w:eastAsia="宋体"/>
          <w:szCs w:val="24"/>
          <w:highlight w:val="none"/>
        </w:rPr>
        <w:t>保花保果的多元微肥（或流体硼）20</w:t>
      </w:r>
      <w:r>
        <w:rPr>
          <w:rFonts w:hint="eastAsia" w:ascii="Times New Roman" w:hAnsi="Times New Roman"/>
          <w:szCs w:val="24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szCs w:val="24"/>
          <w:highlight w:val="none"/>
        </w:rPr>
        <w:t>ml/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hint="eastAsia" w:ascii="Times New Roman" w:hAnsi="Times New Roman"/>
          <w:szCs w:val="24"/>
          <w:highlight w:val="none"/>
          <w:lang w:eastAsia="zh-CN"/>
        </w:rPr>
        <w:t>~</w:t>
      </w:r>
      <w:r>
        <w:rPr>
          <w:rFonts w:ascii="Times New Roman" w:hAnsi="Times New Roman" w:eastAsia="宋体"/>
          <w:szCs w:val="24"/>
          <w:highlight w:val="none"/>
        </w:rPr>
        <w:t>30</w:t>
      </w:r>
      <w:r>
        <w:rPr>
          <w:rFonts w:hint="eastAsia" w:ascii="Times New Roman" w:hAnsi="Times New Roman"/>
          <w:szCs w:val="24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szCs w:val="24"/>
          <w:highlight w:val="none"/>
        </w:rPr>
        <w:t>ml/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，兑水20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kg喷施。</w:t>
      </w:r>
    </w:p>
    <w:p w14:paraId="71625651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>8.3.4 去杂</w:t>
      </w:r>
    </w:p>
    <w:p w14:paraId="4404B3C2">
      <w:pPr>
        <w:adjustRightInd/>
        <w:spacing w:line="240" w:lineRule="auto"/>
        <w:ind w:firstLine="420" w:firstLineChars="200"/>
        <w:rPr>
          <w:rFonts w:ascii="Times New Roman" w:hAnsi="Times New Roman" w:eastAsia="宋体"/>
          <w:b/>
          <w:szCs w:val="21"/>
          <w:highlight w:val="none"/>
          <w:shd w:val="clear" w:color="auto" w:fill="FFFFFF"/>
        </w:rPr>
      </w:pP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根据开花时期、叶形及花色进行鉴别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、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>去杂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。大豆黄熟期是种子去杂的最后一次田间去杂，此期根据株高、成熟度、茸毛色、结荚习性、株型等在收获前对杂株要进行一次人工拔除。</w:t>
      </w:r>
    </w:p>
    <w:p w14:paraId="63565B94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>8.3.5 病虫害防治</w:t>
      </w:r>
    </w:p>
    <w:p w14:paraId="4E922E15">
      <w:pPr>
        <w:snapToGrid w:val="0"/>
        <w:spacing w:before="156" w:beforeLines="50" w:after="156" w:afterLines="50"/>
        <w:ind w:firstLine="420" w:firstLineChars="20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/>
          <w:szCs w:val="21"/>
          <w:lang w:val="en-US" w:eastAsia="zh-CN"/>
        </w:rPr>
        <w:t xml:space="preserve">应符合DB6540/T -2024的5.3.6中规定。 </w:t>
      </w:r>
    </w:p>
    <w:p w14:paraId="57F0BBFB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 xml:space="preserve">8.4 收获 </w:t>
      </w:r>
    </w:p>
    <w:p w14:paraId="4B2107A2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当茎秆呈棕黄色，有7%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10%的叶片尚未落尽时即可人工收获。当豆叶全部落尽，子粒已归圆时即可机械收获。收获时要注意清扫收割机仓和拉运机车，以及晾晒场地的清扫，保证没有其他品种混在其中。</w:t>
      </w:r>
    </w:p>
    <w:p w14:paraId="6407DA8E"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8.5 入库贮存</w:t>
      </w:r>
    </w:p>
    <w:p w14:paraId="23084546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种子晾晒完后，进行选种，最后进行包装入库包装要内外标注标签，以免混杂，贮存应符合GB</w:t>
      </w:r>
      <w:r>
        <w:rPr>
          <w:rFonts w:hint="eastAsia" w:ascii="Times New Roman" w:hAnsi="Times New Roman"/>
          <w:szCs w:val="21"/>
          <w:lang w:val="en-US" w:eastAsia="zh-CN"/>
        </w:rPr>
        <w:t xml:space="preserve">/T </w:t>
      </w:r>
      <w:r>
        <w:rPr>
          <w:rFonts w:ascii="Times New Roman" w:hAnsi="Times New Roman" w:eastAsia="宋体"/>
          <w:szCs w:val="21"/>
        </w:rPr>
        <w:t xml:space="preserve"> 7415</w:t>
      </w:r>
      <w:r>
        <w:rPr>
          <w:rFonts w:hint="eastAsia" w:ascii="Times New Roman" w:hAnsi="Times New Roman"/>
          <w:szCs w:val="21"/>
          <w:lang w:val="en-US" w:eastAsia="zh-CN"/>
        </w:rPr>
        <w:t>的要求</w:t>
      </w:r>
      <w:r>
        <w:rPr>
          <w:rFonts w:ascii="Times New Roman" w:hAnsi="Times New Roman" w:eastAsia="宋体"/>
          <w:szCs w:val="21"/>
        </w:rPr>
        <w:t>。</w:t>
      </w:r>
      <w:bookmarkEnd w:id="22"/>
      <w:bookmarkEnd w:id="23"/>
      <w:bookmarkEnd w:id="24"/>
      <w:bookmarkEnd w:id="25"/>
      <w:bookmarkEnd w:id="26"/>
      <w:bookmarkEnd w:id="27"/>
    </w:p>
    <w:p w14:paraId="2CB73767"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</w:p>
    <w:p w14:paraId="3395E46F">
      <w:pPr>
        <w:pStyle w:val="58"/>
        <w:ind w:firstLine="420"/>
        <w:rPr>
          <w:rFonts w:ascii="Times New Roman" w:hAnsi="Times New Roman" w:eastAsia="宋体" w:cs="Times New Roman"/>
          <w:kern w:val="0"/>
          <w:sz w:val="21"/>
          <w:szCs w:val="21"/>
        </w:rPr>
      </w:pPr>
    </w:p>
    <w:p w14:paraId="5159988E">
      <w:pPr>
        <w:pStyle w:val="58"/>
        <w:ind w:firstLine="420"/>
        <w:rPr>
          <w:rFonts w:ascii="Times New Roman" w:hAnsi="Times New Roman" w:eastAsia="宋体" w:cs="Times New Roman"/>
          <w:kern w:val="0"/>
          <w:sz w:val="21"/>
          <w:szCs w:val="21"/>
        </w:rPr>
      </w:pPr>
    </w:p>
    <w:p w14:paraId="1EEBC172">
      <w:pPr>
        <w:pStyle w:val="58"/>
        <w:ind w:firstLine="420"/>
        <w:jc w:val="center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eastAsia="宋体" w:cs="Times New Roman"/>
          <w:kern w:val="0"/>
          <w:sz w:val="21"/>
          <w:szCs w:val="21"/>
          <w:lang w:val="en-US" w:eastAsia="zh-CN"/>
        </w:rPr>
        <w:t>___________________________</w:t>
      </w:r>
    </w:p>
    <w:sectPr>
      <w:headerReference r:id="rId11" w:type="default"/>
      <w:footerReference r:id="rId12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8B01C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3EA1A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07994"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AB3C5">
    <w:pPr>
      <w:pStyle w:val="5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9C2F5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</w:t>
    </w:r>
    <w:r>
      <w:rPr>
        <w:rFonts w:hint="eastAsia" w:ascii="黑体" w:hAnsi="黑体" w:eastAsia="黑体"/>
        <w:lang w:eastAsia="zh-CN"/>
      </w:rPr>
      <w:t>~</w:t>
    </w:r>
    <w:r>
      <w:rPr>
        <w:rFonts w:ascii="黑体" w:hAnsi="黑体" w:eastAsia="黑体"/>
      </w:rPr>
      <w:t>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148CB"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25BCF"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1AA25">
    <w:pPr>
      <w:pStyle w:val="63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DB6540/T 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trackRevisions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kMGE2MmNhNGVlMGZiYzE2YzhhY2NhYTY2ODkwZTM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417C23"/>
    <w:rsid w:val="015B7D89"/>
    <w:rsid w:val="033C1821"/>
    <w:rsid w:val="13EE74BE"/>
    <w:rsid w:val="145B3C13"/>
    <w:rsid w:val="15997F4D"/>
    <w:rsid w:val="160067B5"/>
    <w:rsid w:val="19CD49E1"/>
    <w:rsid w:val="1A422D94"/>
    <w:rsid w:val="1F546C4B"/>
    <w:rsid w:val="21640AB7"/>
    <w:rsid w:val="22B42068"/>
    <w:rsid w:val="2FB50587"/>
    <w:rsid w:val="37826289"/>
    <w:rsid w:val="37AE3B9D"/>
    <w:rsid w:val="3AF861B7"/>
    <w:rsid w:val="3B95631B"/>
    <w:rsid w:val="3B9A1161"/>
    <w:rsid w:val="3CB0596B"/>
    <w:rsid w:val="40DA14C4"/>
    <w:rsid w:val="467F5A35"/>
    <w:rsid w:val="58CE4820"/>
    <w:rsid w:val="59D75D86"/>
    <w:rsid w:val="5C0877D0"/>
    <w:rsid w:val="5FC94439"/>
    <w:rsid w:val="61B455FB"/>
    <w:rsid w:val="68442F78"/>
    <w:rsid w:val="6DD8303A"/>
    <w:rsid w:val="706F7B84"/>
    <w:rsid w:val="75311336"/>
    <w:rsid w:val="7575083D"/>
    <w:rsid w:val="75A025D5"/>
    <w:rsid w:val="7B5E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9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1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8"/>
    <w:qFormat/>
    <w:uiPriority w:val="0"/>
    <w:pPr>
      <w:spacing w:after="120"/>
    </w:pPr>
  </w:style>
  <w:style w:type="paragraph" w:styleId="12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3">
    <w:name w:val="Normal Indent"/>
    <w:basedOn w:val="1"/>
    <w:qFormat/>
    <w:uiPriority w:val="0"/>
    <w:pPr>
      <w:ind w:firstLine="420"/>
    </w:pPr>
  </w:style>
  <w:style w:type="paragraph" w:styleId="14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4">
    <w:name w:val="annotation reference"/>
    <w:basedOn w:val="29"/>
    <w:semiHidden/>
    <w:unhideWhenUsed/>
    <w:qFormat/>
    <w:uiPriority w:val="99"/>
    <w:rPr>
      <w:sz w:val="21"/>
      <w:szCs w:val="21"/>
    </w:rPr>
  </w:style>
  <w:style w:type="character" w:styleId="35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6">
    <w:name w:val="标题 1 字符"/>
    <w:link w:val="3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字符"/>
    <w:link w:val="5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字符"/>
    <w:link w:val="6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字符"/>
    <w:link w:val="7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字符"/>
    <w:link w:val="8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字符"/>
    <w:link w:val="9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字符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字符"/>
    <w:link w:val="11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字符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字符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2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字符"/>
    <w:link w:val="2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Subtle Reference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wrap="around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9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字符"/>
    <w:basedOn w:val="29"/>
    <w:link w:val="14"/>
    <w:qFormat/>
    <w:uiPriority w:val="0"/>
    <w:rPr>
      <w:rFonts w:cs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.tiff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25F9F-BC9D-49FB-93AB-62866BE86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7</Pages>
  <Words>2682</Words>
  <Characters>3325</Characters>
  <Lines>30</Lines>
  <Paragraphs>8</Paragraphs>
  <TotalTime>0</TotalTime>
  <ScaleCrop>false</ScaleCrop>
  <LinksUpToDate>false</LinksUpToDate>
  <CharactersWithSpaces>3502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admin</cp:lastModifiedBy>
  <cp:lastPrinted>2020-08-30T10:00:00Z</cp:lastPrinted>
  <dcterms:modified xsi:type="dcterms:W3CDTF">2024-10-29T00:59:29Z</dcterms:modified>
  <dc:title>地方标准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2052-12.1.0.18608</vt:lpwstr>
  </property>
  <property fmtid="{D5CDD505-2E9C-101B-9397-08002B2CF9AE}" pid="15" name="ICV">
    <vt:lpwstr>AB25A20B636E44C3AB3D55D8F6DE9AA6_13</vt:lpwstr>
  </property>
</Properties>
</file>