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65.020.20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B 05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8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>
            <w:pPr>
              <w:pStyle w:val="51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6540</w:t>
            </w:r>
            <w:r>
              <w:fldChar w:fldCharType="end"/>
            </w:r>
            <w:bookmarkEnd w:id="3"/>
          </w:p>
        </w:tc>
      </w:tr>
    </w:tbl>
    <w:p>
      <w:pPr>
        <w:pStyle w:val="52"/>
        <w:framePr w:w="9639" w:h="624" w:hRule="exact" w:hSpace="181" w:vSpace="181" w:wrap="around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>伊犁哈萨克自治州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>
      <w:pPr>
        <w:pStyle w:val="197"/>
        <w:rPr>
          <w:rFonts w:hint="eastAsia" w:eastAsia="黑体"/>
          <w:lang w:val="fr-FR" w:eastAsia="zh-CN"/>
        </w:rPr>
      </w:pPr>
      <w:r>
        <w:rPr>
          <w:lang w:val="fr-FR"/>
        </w:rPr>
        <w:t>DB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t>6540</w:t>
      </w:r>
      <w:r>
        <w:rPr>
          <w:lang w:val="fr-FR"/>
        </w:rPr>
        <w:t>/T</w:t>
      </w:r>
      <w:r>
        <w:fldChar w:fldCharType="end"/>
      </w:r>
      <w:bookmarkEnd w:id="5"/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Ansi="黑体"/>
          <w:lang w:val="fr-FR"/>
        </w:rPr>
        <w:t>—</w:t>
      </w:r>
      <w:r>
        <w:rPr>
          <w:rFonts w:hint="eastAsia" w:hAnsi="黑体"/>
          <w:lang w:val="en-US" w:eastAsia="zh-CN"/>
        </w:rPr>
        <w:t>202</w:t>
      </w:r>
      <w:r>
        <w:rPr>
          <w:rFonts w:hint="eastAsia"/>
          <w:lang w:val="en-US" w:eastAsia="zh-CN"/>
        </w:rPr>
        <w:t>4</w:t>
      </w:r>
    </w:p>
    <w:p>
      <w:pPr>
        <w:pStyle w:val="198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6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6"/>
    </w:p>
    <w:p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52"/>
        <w:framePr w:w="9639" w:h="6976" w:hRule="exact" w:hSpace="0" w:vSpace="0" w:wrap="around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>
      <w:pPr>
        <w:pStyle w:val="199"/>
        <w:framePr w:h="6974" w:hRule="exact" w:wrap="around" w:x="1419" w:anchorLock="1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大豆良种繁育技术规程</w:t>
      </w:r>
    </w:p>
    <w:p>
      <w:pPr>
        <w:framePr w:w="9639" w:h="6974" w:hRule="exact" w:wrap="around" w:vAnchor="page" w:hAnchor="page" w:x="1419" w:y="6408" w:anchorLock="1"/>
        <w:ind w:left="-1418"/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b/>
          <w:bCs/>
          <w:szCs w:val="28"/>
        </w:rPr>
      </w:pPr>
      <w:r>
        <w:rPr>
          <w:rFonts w:eastAsia="黑体"/>
          <w:b/>
          <w:bCs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7" w:name="ESTD_NAME"/>
      <w:r>
        <w:rPr>
          <w:rFonts w:eastAsia="黑体"/>
          <w:b/>
          <w:bCs/>
          <w:szCs w:val="28"/>
        </w:rPr>
        <w:instrText xml:space="preserve"> FORMTEXT </w:instrText>
      </w:r>
      <w:r>
        <w:rPr>
          <w:rFonts w:eastAsia="黑体"/>
          <w:b/>
          <w:bCs/>
          <w:szCs w:val="28"/>
        </w:rPr>
        <w:fldChar w:fldCharType="separate"/>
      </w:r>
      <w:r>
        <w:rPr>
          <w:rFonts w:eastAsia="黑体"/>
          <w:b/>
          <w:bCs/>
          <w:szCs w:val="28"/>
        </w:rPr>
        <w:t xml:space="preserve">Technical </w:t>
      </w:r>
      <w:r>
        <w:rPr>
          <w:rFonts w:hint="eastAsia" w:eastAsia="黑体"/>
          <w:b/>
          <w:bCs/>
          <w:szCs w:val="28"/>
          <w:lang w:val="en-US" w:eastAsia="zh-CN"/>
        </w:rPr>
        <w:t>regulations</w:t>
      </w:r>
      <w:r>
        <w:rPr>
          <w:rFonts w:eastAsia="黑体"/>
          <w:b/>
          <w:bCs/>
          <w:szCs w:val="28"/>
        </w:rPr>
        <w:t xml:space="preserve"> </w:t>
      </w:r>
      <w:r>
        <w:rPr>
          <w:rFonts w:hint="eastAsia" w:eastAsia="黑体"/>
          <w:b/>
          <w:bCs/>
          <w:szCs w:val="28"/>
          <w:lang w:val="en-US" w:eastAsia="zh-CN"/>
        </w:rPr>
        <w:t xml:space="preserve">of </w:t>
      </w:r>
      <w:r>
        <w:rPr>
          <w:rFonts w:eastAsia="黑体"/>
          <w:b/>
          <w:bCs/>
          <w:szCs w:val="28"/>
        </w:rPr>
        <w:t>p</w:t>
      </w:r>
      <w:r>
        <w:rPr>
          <w:rFonts w:hint="eastAsia" w:eastAsia="黑体"/>
          <w:b/>
          <w:bCs/>
          <w:szCs w:val="28"/>
          <w:lang w:val="en-US" w:eastAsia="zh-CN"/>
        </w:rPr>
        <w:t>ropagation</w:t>
      </w:r>
      <w:r>
        <w:rPr>
          <w:rFonts w:eastAsia="黑体"/>
          <w:b/>
          <w:bCs/>
          <w:szCs w:val="28"/>
        </w:rPr>
        <w:t xml:space="preserve"> for </w:t>
      </w:r>
      <w:r>
        <w:rPr>
          <w:rFonts w:hint="eastAsia" w:eastAsia="黑体"/>
          <w:b/>
          <w:bCs/>
          <w:szCs w:val="28"/>
          <w:lang w:val="en-US" w:eastAsia="zh-CN"/>
        </w:rPr>
        <w:t xml:space="preserve"> soybean</w:t>
      </w:r>
      <w:r>
        <w:rPr>
          <w:rFonts w:eastAsia="黑体"/>
          <w:b/>
          <w:bCs/>
          <w:szCs w:val="28"/>
        </w:rPr>
        <w:fldChar w:fldCharType="end"/>
      </w:r>
      <w:bookmarkEnd w:id="7"/>
    </w:p>
    <w:p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>
      <w:pPr>
        <w:pStyle w:val="127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8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8"/>
    </w:p>
    <w:p>
      <w:pPr>
        <w:pStyle w:val="127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9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9"/>
    </w:p>
    <w:p>
      <w:pPr>
        <w:pStyle w:val="127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0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0"/>
    </w:p>
    <w:p>
      <w:pPr>
        <w:pStyle w:val="195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1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hint="eastAsia" w:ascii="黑体"/>
          <w:lang w:val="en-US" w:eastAsia="zh-CN"/>
        </w:rPr>
        <w:t>4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发布</w:t>
      </w:r>
    </w:p>
    <w:p>
      <w:pPr>
        <w:pStyle w:val="196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2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ascii="黑体"/>
        </w:rPr>
        <w:fldChar w:fldCharType="end"/>
      </w:r>
      <w:bookmarkEnd w:id="12"/>
      <w:r>
        <w:rPr>
          <w:rFonts w:hint="eastAsia" w:ascii="黑体"/>
          <w:lang w:val="en-US" w:eastAsia="zh-CN"/>
        </w:rPr>
        <w:t>4</w:t>
      </w:r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</w:rPr>
        <w:t>实施</w:t>
      </w:r>
    </w:p>
    <w:p>
      <w:pPr>
        <w:pStyle w:val="153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3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伊犁哈萨克自治州市场监督管理局</w:t>
      </w:r>
      <w:r>
        <w:rPr>
          <w:rFonts w:hAnsi="黑体"/>
          <w:w w:val="100"/>
          <w:sz w:val="28"/>
        </w:rPr>
        <w:fldChar w:fldCharType="end"/>
      </w:r>
      <w:bookmarkEnd w:id="13"/>
      <w:r>
        <w:rPr>
          <w:rFonts w:ascii="Times New Roman"/>
          <w:w w:val="100"/>
          <w:sz w:val="28"/>
        </w:rPr>
        <w:t>  </w:t>
      </w:r>
      <w:r>
        <w:rPr>
          <w:rStyle w:val="231"/>
          <w:rFonts w:hint="eastAsia" w:hAnsi="黑体"/>
          <w:position w:val="0"/>
        </w:rPr>
        <w:t>发</w:t>
      </w:r>
      <w:r>
        <w:rPr>
          <w:rStyle w:val="231"/>
          <w:rFonts w:hint="eastAsia" w:hAnsi="黑体"/>
          <w:spacing w:val="0"/>
          <w:position w:val="0"/>
        </w:rPr>
        <w:t>布</w:t>
      </w:r>
    </w:p>
    <w:p>
      <w:pPr>
        <w:rPr>
          <w:rFonts w:ascii="宋体" w:hAnsi="宋体"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91"/>
        <w:spacing w:before="900" w:after="468"/>
      </w:pPr>
      <w:bookmarkStart w:id="14" w:name="BookMark2"/>
      <w:r>
        <w:rPr>
          <w:spacing w:val="320"/>
        </w:rPr>
        <w:t>前</w:t>
      </w:r>
      <w:r>
        <w:t>言</w:t>
      </w:r>
    </w:p>
    <w:p>
      <w:pPr>
        <w:pStyle w:val="58"/>
        <w:ind w:firstLine="420"/>
      </w:pPr>
      <w:r>
        <w:rPr>
          <w:rFonts w:hint="eastAsia"/>
        </w:rPr>
        <w:t>本文件按照GB/T 1.1—2020《标准化工作导则  第1部分：标准化文件的结构和起草规则》的规定起草。</w:t>
      </w:r>
    </w:p>
    <w:p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</w:rPr>
        <w:t>本标准由察布查尔锡伯自治县农业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技术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推广站、伊犁师范大学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生物科学与技术学院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、伊犁州农业技术推广总站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等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提出。</w:t>
      </w:r>
    </w:p>
    <w:p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bCs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本标准由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/>
        </w:rPr>
        <w:t>伊犁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州农业</w:t>
      </w: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农村局归口。</w:t>
      </w:r>
    </w:p>
    <w:p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</w:rPr>
        <w:t>本标准由伊犁哈萨克自治州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市场监督管理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局发布。</w:t>
      </w:r>
    </w:p>
    <w:p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本标准起草人：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关志坚</w:t>
      </w: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、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王文彬、安荣荣、刘小龙、郭辉清、关丽菊、桑志伟、马微、王俏丽、夏力哈特·卡卡甫、吐尔孙买买提、</w:t>
      </w: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焦子伟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eastAsia="zh-CN"/>
        </w:rPr>
        <w:t>、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张冬梅、耿卫东、郭秀梅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。</w:t>
      </w:r>
    </w:p>
    <w:p>
      <w:pPr>
        <w:pStyle w:val="58"/>
        <w:ind w:firstLine="420"/>
        <w:rPr>
          <w:rFonts w:hint="eastAsia"/>
        </w:rPr>
      </w:pPr>
    </w:p>
    <w:p>
      <w:pPr>
        <w:pStyle w:val="58"/>
        <w:ind w:firstLine="420"/>
        <w:rPr>
          <w:rFonts w:hint="eastAsia"/>
        </w:rPr>
      </w:pPr>
    </w:p>
    <w:p>
      <w:pPr>
        <w:pStyle w:val="58"/>
        <w:ind w:firstLine="420"/>
        <w:rPr>
          <w:rFonts w:hint="eastAsia"/>
        </w:rPr>
      </w:pPr>
    </w:p>
    <w:p>
      <w:pPr>
        <w:pStyle w:val="58"/>
        <w:ind w:firstLine="420"/>
        <w:rPr>
          <w:rFonts w:hint="default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p>
      <w:pPr>
        <w:pStyle w:val="58"/>
        <w:ind w:firstLine="420"/>
        <w:rPr>
          <w:rFonts w:hint="eastAsia" w:ascii="宋体" w:eastAsia="宋体"/>
          <w:lang w:val="en-US" w:eastAsia="zh-CN"/>
        </w:rPr>
      </w:pPr>
    </w:p>
    <w:bookmarkEnd w:id="14"/>
    <w:p>
      <w:pPr>
        <w:adjustRightInd/>
        <w:spacing w:before="312" w:beforeLines="100" w:after="686" w:afterLines="220" w:line="40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大豆</w:t>
      </w:r>
      <w:r>
        <w:rPr>
          <w:rFonts w:ascii="Times New Roman" w:hAnsi="Times New Roman" w:eastAsia="黑体"/>
          <w:sz w:val="32"/>
          <w:szCs w:val="32"/>
        </w:rPr>
        <w:t>良种繁育栽培技术规程</w:t>
      </w:r>
    </w:p>
    <w:p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bookmarkStart w:id="15" w:name="_Toc385264816"/>
      <w:bookmarkStart w:id="16" w:name="_Toc261606146"/>
      <w:bookmarkStart w:id="17" w:name="_Toc261607105"/>
      <w:bookmarkStart w:id="18" w:name="_Toc261551308"/>
      <w:bookmarkStart w:id="19" w:name="_Toc261551263"/>
      <w:bookmarkStart w:id="20" w:name="_Toc261606124"/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1 范围</w:t>
      </w:r>
      <w:bookmarkEnd w:id="15"/>
      <w:bookmarkEnd w:id="16"/>
      <w:bookmarkEnd w:id="17"/>
      <w:bookmarkEnd w:id="18"/>
      <w:bookmarkEnd w:id="19"/>
      <w:bookmarkEnd w:id="20"/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本标准规定了大豆</w:t>
      </w:r>
      <w:r>
        <w:rPr>
          <w:rFonts w:hint="eastAsia" w:ascii="Times New Roman" w:hAnsi="Times New Roman"/>
          <w:szCs w:val="21"/>
          <w:lang w:val="en-US" w:eastAsia="zh-CN"/>
        </w:rPr>
        <w:t>良种繁育</w:t>
      </w:r>
      <w:r>
        <w:rPr>
          <w:rFonts w:ascii="Times New Roman" w:hAnsi="Times New Roman" w:eastAsia="宋体"/>
          <w:szCs w:val="21"/>
        </w:rPr>
        <w:t>的术语与定义、技术指标、产地环境、播前准备、原种生产、良种生产的技术要求。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本标准适用于伊犁河谷无霜期130 d以上，≥10℃活动积温2</w:t>
      </w:r>
      <w:r>
        <w:rPr>
          <w:rFonts w:hint="eastAsia" w:ascii="Times New Roman" w:hAnsi="Times New Roman"/>
          <w:szCs w:val="21"/>
          <w:lang w:val="en-US" w:eastAsia="zh-CN"/>
        </w:rPr>
        <w:t>5</w:t>
      </w:r>
      <w:r>
        <w:rPr>
          <w:rFonts w:ascii="Times New Roman" w:hAnsi="Times New Roman" w:eastAsia="宋体"/>
          <w:szCs w:val="21"/>
        </w:rPr>
        <w:t>00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℃</w:t>
      </w:r>
      <w:r>
        <w:rPr>
          <w:rFonts w:hint="eastAsia" w:ascii="Times New Roman" w:hAnsi="Times New Roman"/>
          <w:szCs w:val="21"/>
          <w:lang w:eastAsia="zh-CN"/>
        </w:rPr>
        <w:t>以上</w:t>
      </w:r>
      <w:r>
        <w:rPr>
          <w:rFonts w:ascii="Times New Roman" w:hAnsi="Times New Roman" w:eastAsia="宋体"/>
          <w:szCs w:val="21"/>
        </w:rPr>
        <w:t>的春播大豆种植区进行繁育栽培。</w:t>
      </w:r>
    </w:p>
    <w:p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bookmarkStart w:id="21" w:name="_Toc385264817"/>
      <w:bookmarkStart w:id="22" w:name="_Toc261551310"/>
      <w:bookmarkStart w:id="23" w:name="_Toc261607107"/>
      <w:bookmarkStart w:id="24" w:name="_Toc261606126"/>
      <w:bookmarkStart w:id="25" w:name="_Toc261606148"/>
      <w:bookmarkStart w:id="26" w:name="_Toc261551265"/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2 规范性引用文件</w:t>
      </w:r>
      <w:bookmarkEnd w:id="21"/>
    </w:p>
    <w:p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GB/T 3543 农作物种子检验规程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GB/T 4404.2 粮食作物种子  豆类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GB</w:t>
      </w:r>
      <w:r>
        <w:rPr>
          <w:rFonts w:hint="eastAsia" w:ascii="Times New Roman" w:hAnsi="Times New Roman"/>
          <w:szCs w:val="21"/>
          <w:lang w:val="en-US" w:eastAsia="zh-CN"/>
        </w:rPr>
        <w:t>/T</w:t>
      </w:r>
      <w:r>
        <w:rPr>
          <w:rFonts w:ascii="Times New Roman" w:hAnsi="Times New Roman" w:eastAsia="宋体"/>
          <w:szCs w:val="21"/>
        </w:rPr>
        <w:t xml:space="preserve"> 7415 主要农作物种子贮藏</w:t>
      </w:r>
    </w:p>
    <w:p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ascii="Times New Roman" w:hAnsi="Times New Roman" w:eastAsia="宋体"/>
          <w:color w:val="000000"/>
          <w:kern w:val="0"/>
          <w:szCs w:val="21"/>
        </w:rPr>
        <w:t>NY/T</w:t>
      </w:r>
      <w:r>
        <w:rPr>
          <w:rFonts w:hint="eastAsia" w:ascii="Times New Roman" w:hAnsi="Times New Roman"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kern w:val="0"/>
          <w:szCs w:val="21"/>
        </w:rPr>
        <w:t>391 绿色食品  产地环境技术条件</w:t>
      </w:r>
    </w:p>
    <w:p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ascii="Times New Roman" w:hAnsi="Times New Roman" w:eastAsia="宋体"/>
          <w:color w:val="000000"/>
          <w:kern w:val="0"/>
          <w:szCs w:val="21"/>
        </w:rPr>
        <w:t>NY/T</w:t>
      </w:r>
      <w:r>
        <w:rPr>
          <w:rFonts w:hint="eastAsia" w:ascii="Times New Roman" w:hAnsi="Times New Roman"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kern w:val="0"/>
          <w:szCs w:val="21"/>
        </w:rPr>
        <w:t>394 绿色食品  肥料使用准则</w:t>
      </w:r>
    </w:p>
    <w:p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/>
          <w:color w:val="000000"/>
          <w:kern w:val="0"/>
          <w:szCs w:val="21"/>
        </w:rPr>
      </w:pPr>
      <w:r>
        <w:rPr>
          <w:rFonts w:ascii="Times New Roman" w:hAnsi="Times New Roman" w:eastAsia="宋体"/>
          <w:color w:val="000000"/>
          <w:kern w:val="0"/>
          <w:szCs w:val="21"/>
        </w:rPr>
        <w:t>NY/T</w:t>
      </w:r>
      <w:r>
        <w:rPr>
          <w:rFonts w:hint="eastAsia" w:ascii="Times New Roman" w:hAnsi="Times New Roman"/>
          <w:color w:val="000000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kern w:val="0"/>
          <w:szCs w:val="21"/>
        </w:rPr>
        <w:t>393 绿色食品  农药使用准则</w:t>
      </w:r>
    </w:p>
    <w:p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bookmarkStart w:id="27" w:name="_Toc385264818"/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3 术语和定义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下列术语和定义适用于本标准。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3.1 原种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由育种家提供或委托，通过原种生产程序繁殖出的保持原品种优良种性、典型性，符合原种质量标准，且能进一步供繁殖良种使用的基本种子。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3.2 良种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良种是指符合良种质量标准用于提供大田生产的种子。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3.3 良种繁育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将优良品种提纯复壮并扩大繁殖推广于生产的过程。</w:t>
      </w:r>
    </w:p>
    <w:p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 技术指标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4.1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基本苗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2.6万株/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ascii="Times New Roman" w:hAnsi="Times New Roman" w:eastAsia="宋体"/>
          <w:szCs w:val="21"/>
        </w:rPr>
        <w:t>3.0万株/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/>
          <w:szCs w:val="21"/>
        </w:rPr>
        <w:t>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4.2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收获株数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2.5万株/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ascii="Times New Roman" w:hAnsi="Times New Roman" w:eastAsia="宋体"/>
          <w:szCs w:val="21"/>
        </w:rPr>
        <w:t xml:space="preserve"> 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ascii="Times New Roman" w:hAnsi="Times New Roman" w:eastAsia="宋体"/>
          <w:szCs w:val="21"/>
        </w:rPr>
        <w:t>2.8万株/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ascii="Times New Roman" w:hAnsi="Times New Roman" w:eastAsia="宋体"/>
          <w:szCs w:val="21"/>
        </w:rPr>
        <w:t xml:space="preserve"> 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/>
          <w:szCs w:val="21"/>
        </w:rPr>
        <w:t>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4.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3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单株粒数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4</w:t>
      </w:r>
      <w:r>
        <w:rPr>
          <w:rFonts w:hint="eastAsia" w:ascii="Times New Roman" w:hAnsi="Times New Roman"/>
          <w:szCs w:val="21"/>
          <w:lang w:val="en-US" w:eastAsia="zh-CN"/>
        </w:rPr>
        <w:t>4</w:t>
      </w:r>
      <w:r>
        <w:rPr>
          <w:rFonts w:ascii="Times New Roman" w:hAnsi="Times New Roman" w:eastAsia="宋体"/>
          <w:szCs w:val="21"/>
        </w:rPr>
        <w:t>粒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51</w:t>
      </w:r>
      <w:r>
        <w:rPr>
          <w:rFonts w:ascii="Times New Roman" w:hAnsi="Times New Roman" w:eastAsia="宋体"/>
          <w:szCs w:val="21"/>
        </w:rPr>
        <w:t>粒。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4.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4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百粒重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19g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21g。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4.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5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产量指标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2</w:t>
      </w:r>
      <w:r>
        <w:rPr>
          <w:rFonts w:hint="eastAsia" w:ascii="Times New Roman" w:hAnsi="Times New Roman"/>
          <w:szCs w:val="21"/>
          <w:lang w:val="en-US" w:eastAsia="zh-CN"/>
        </w:rPr>
        <w:t>8</w:t>
      </w:r>
      <w:r>
        <w:rPr>
          <w:rFonts w:ascii="Times New Roman" w:hAnsi="Times New Roman" w:eastAsia="宋体"/>
          <w:szCs w:val="21"/>
        </w:rPr>
        <w:t>0 kg/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ascii="Times New Roman" w:hAnsi="Times New Roman" w:eastAsia="宋体"/>
          <w:szCs w:val="21"/>
        </w:rPr>
        <w:t xml:space="preserve"> 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hint="eastAsia" w:ascii="Times New Roman" w:hAnsi="Times New Roman"/>
          <w:szCs w:val="21"/>
          <w:lang w:val="en-US" w:eastAsia="zh-CN"/>
        </w:rPr>
        <w:t xml:space="preserve">300 </w:t>
      </w:r>
      <w:r>
        <w:rPr>
          <w:rFonts w:ascii="Times New Roman" w:hAnsi="Times New Roman" w:eastAsia="宋体"/>
          <w:szCs w:val="21"/>
        </w:rPr>
        <w:t>kg/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ascii="Times New Roman" w:hAnsi="Times New Roman" w:eastAsia="宋体"/>
          <w:szCs w:val="21"/>
        </w:rPr>
        <w:t xml:space="preserve"> 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/>
          <w:szCs w:val="21"/>
        </w:rPr>
        <w:t>。</w:t>
      </w:r>
    </w:p>
    <w:p>
      <w:pPr>
        <w:snapToGrid w:val="0"/>
        <w:spacing w:before="312" w:beforeLines="100" w:after="312" w:afterLines="100"/>
        <w:jc w:val="both"/>
        <w:outlineLvl w:val="1"/>
        <w:rPr>
          <w:rFonts w:hint="default"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5 产地环境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应符合NY/T 391的规定。</w:t>
      </w:r>
    </w:p>
    <w:p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6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播前准备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6.1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 xml:space="preserve">土地准备 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选用土壤肥力中上等，土层深厚，有机质含量1%以上，灌排良好，轮作倒茬的壤土或</w:t>
      </w:r>
      <w:r>
        <w:rPr>
          <w:rFonts w:hint="eastAsia" w:ascii="Times New Roman" w:hAnsi="Times New Roman"/>
          <w:szCs w:val="21"/>
          <w:lang w:eastAsia="zh-CN"/>
        </w:rPr>
        <w:t>沙</w:t>
      </w:r>
      <w:r>
        <w:rPr>
          <w:rFonts w:ascii="Times New Roman" w:hAnsi="Times New Roman" w:eastAsia="宋体"/>
          <w:szCs w:val="21"/>
        </w:rPr>
        <w:t>壤土为宜。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6.2 施肥整地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肥料施用应符合NY/T 394的规定。每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/>
          <w:szCs w:val="21"/>
        </w:rPr>
        <w:t>施腐熟农家肥2000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kg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ascii="Times New Roman" w:hAnsi="Times New Roman" w:eastAsia="宋体"/>
          <w:szCs w:val="21"/>
        </w:rPr>
        <w:t>2500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kg，磷酸二铵15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kg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20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kg，硫酸钾6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kg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8 kg等相同量的肥料作基肥。深翻土地，深度20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25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cm，整地质量达到“齐、平、松、碎、墒、净”六字标准。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6.3土壤处理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  <w:highlight w:val="none"/>
        </w:rPr>
      </w:pPr>
      <w:r>
        <w:rPr>
          <w:rFonts w:ascii="Times New Roman" w:hAnsi="Times New Roman" w:eastAsia="宋体"/>
          <w:color w:val="000000"/>
          <w:szCs w:val="21"/>
          <w:highlight w:val="none"/>
        </w:rPr>
        <w:t>在大豆播前或播后苗前，选用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>33%二甲戊灵乳油100 ml/667m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~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>150 ml</w:t>
      </w:r>
      <w:r>
        <w:rPr>
          <w:rFonts w:ascii="Times New Roman" w:hAnsi="Times New Roman" w:eastAsia="宋体"/>
          <w:color w:val="000000"/>
          <w:szCs w:val="21"/>
          <w:highlight w:val="none"/>
        </w:rPr>
        <w:t>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 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，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>或</w:t>
      </w:r>
      <w:r>
        <w:rPr>
          <w:rFonts w:ascii="Times New Roman" w:hAnsi="Times New Roman" w:eastAsia="宋体"/>
          <w:color w:val="000000"/>
          <w:szCs w:val="21"/>
          <w:highlight w:val="none"/>
        </w:rPr>
        <w:t>50%乙草胺乳油150 ml/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 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~200 ml/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 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+75%噻吩磺隆2 g/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 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，或96%精异丙甲草胺乳油70 </w:t>
      </w:r>
      <w:r>
        <w:rPr>
          <w:rFonts w:ascii="Times New Roman" w:hAnsi="Times New Roman" w:eastAsia="宋体"/>
          <w:color w:val="FF0000"/>
          <w:szCs w:val="21"/>
          <w:highlight w:val="none"/>
        </w:rPr>
        <w:t>ml</w:t>
      </w:r>
      <w:r>
        <w:rPr>
          <w:rFonts w:ascii="Times New Roman" w:hAnsi="Times New Roman" w:eastAsia="宋体"/>
          <w:color w:val="000000"/>
          <w:szCs w:val="21"/>
          <w:highlight w:val="none"/>
        </w:rPr>
        <w:t>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szCs w:val="21"/>
          <w:highlight w:val="none"/>
        </w:rPr>
        <w:t>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~80 m</w:t>
      </w:r>
      <w:r>
        <w:rPr>
          <w:rFonts w:ascii="Times New Roman" w:hAnsi="Times New Roman" w:eastAsia="宋体"/>
          <w:color w:val="FF0000"/>
          <w:szCs w:val="21"/>
          <w:highlight w:val="none"/>
        </w:rPr>
        <w:t>l</w:t>
      </w:r>
      <w:r>
        <w:rPr>
          <w:rFonts w:ascii="Times New Roman" w:hAnsi="Times New Roman" w:eastAsia="宋体"/>
          <w:color w:val="000000"/>
          <w:szCs w:val="21"/>
          <w:highlight w:val="none"/>
        </w:rPr>
        <w:t>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ascii="Times New Roman" w:hAnsi="Times New Roman" w:eastAsia="宋体"/>
          <w:color w:val="000000"/>
          <w:szCs w:val="21"/>
          <w:highlight w:val="none"/>
        </w:rPr>
        <w:t xml:space="preserve"> 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+75%噻吩磺隆2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szCs w:val="21"/>
          <w:highlight w:val="none"/>
        </w:rPr>
        <w:t>g/</w:t>
      </w:r>
      <w:r>
        <w:rPr>
          <w:rFonts w:hint="eastAsia" w:ascii="Times New Roman" w:hAnsi="Times New Roman"/>
          <w:color w:val="000000"/>
          <w:szCs w:val="21"/>
          <w:highlight w:val="none"/>
          <w:lang w:eastAsia="zh-CN"/>
        </w:rPr>
        <w:t>667</w:t>
      </w:r>
      <w:r>
        <w:rPr>
          <w:rFonts w:hint="eastAsia" w:ascii="Times New Roman" w:hAnsi="Times New Roman"/>
          <w:color w:val="000000"/>
          <w:szCs w:val="21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/>
          <w:color w:val="000000"/>
          <w:szCs w:val="21"/>
          <w:highlight w:val="none"/>
        </w:rPr>
        <w:t>m</w:t>
      </w:r>
      <w:r>
        <w:rPr>
          <w:rFonts w:ascii="Times New Roman" w:hAnsi="Times New Roman" w:eastAsia="宋体"/>
          <w:color w:val="000000"/>
          <w:szCs w:val="21"/>
          <w:highlight w:val="none"/>
          <w:vertAlign w:val="superscript"/>
        </w:rPr>
        <w:t>2</w:t>
      </w:r>
      <w:r>
        <w:rPr>
          <w:rFonts w:ascii="Times New Roman" w:hAnsi="Times New Roman" w:eastAsia="宋体"/>
          <w:color w:val="000000"/>
          <w:szCs w:val="21"/>
          <w:highlight w:val="none"/>
        </w:rPr>
        <w:t>等均匀地喷洒在土壤表面，并浅混土</w:t>
      </w:r>
      <w:r>
        <w:rPr>
          <w:rFonts w:ascii="Times New Roman" w:hAnsi="Times New Roman" w:eastAsia="宋体"/>
          <w:szCs w:val="21"/>
          <w:highlight w:val="none"/>
        </w:rPr>
        <w:t>，抑制田间杂草生长。</w:t>
      </w:r>
    </w:p>
    <w:p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 原种生产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7.1 生产方法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原种生产主要采用三圃的方法，即株行圃、株系圃、原种圃。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 单株选择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7.2.1</w:t>
      </w:r>
      <w:r>
        <w:rPr>
          <w:rFonts w:hint="eastAsia" w:ascii="黑体" w:hAnsi="黑体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单株来源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单株在株行圃、株系圃或原种圃中选择，如无株行圃或原种圃时可建立单株选择圃，或在纯度较高的种子田中选择。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7.2.2 选择时期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选择分花期和成熟期两期进行。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7.2.3 选择标准和方法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选择具有原品种的典型</w:t>
      </w:r>
      <w:r>
        <w:rPr>
          <w:rFonts w:hint="eastAsia" w:ascii="Times New Roman" w:hAnsi="Times New Roman"/>
          <w:szCs w:val="21"/>
          <w:lang w:eastAsia="zh-CN"/>
        </w:rPr>
        <w:t>性状</w:t>
      </w:r>
      <w:r>
        <w:rPr>
          <w:rFonts w:ascii="Times New Roman" w:hAnsi="Times New Roman" w:eastAsia="宋体"/>
          <w:szCs w:val="21"/>
        </w:rPr>
        <w:t>，丰产性好，成熟期一致的单株。花期根据花色、叶形、病害情况选单株，挂标签标记；成熟期根据株高、成熟度、茸毛色、结荚习性、株型、荚型、荚熟色从花期入选的单株中选</w:t>
      </w:r>
      <w:r>
        <w:rPr>
          <w:rFonts w:hint="eastAsia" w:ascii="Times New Roman" w:hAnsi="Times New Roman"/>
          <w:szCs w:val="21"/>
          <w:lang w:eastAsia="zh-CN"/>
        </w:rPr>
        <w:t>拔</w:t>
      </w:r>
      <w:r>
        <w:rPr>
          <w:rFonts w:ascii="Times New Roman" w:hAnsi="Times New Roman" w:eastAsia="宋体"/>
          <w:szCs w:val="21"/>
        </w:rPr>
        <w:t>，不合格的单株淘汰。选拨时要避开地头、地边和缺苗断垄处。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7.2.4 选择数量</w:t>
      </w:r>
      <w:bookmarkStart w:id="28" w:name="_GoBack"/>
      <w:bookmarkEnd w:id="28"/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  <w:shd w:val="clear" w:color="auto" w:fill="FFFFFF"/>
        </w:rPr>
      </w:pPr>
      <w:r>
        <w:rPr>
          <w:rFonts w:ascii="Times New Roman" w:hAnsi="Times New Roman" w:eastAsia="宋体"/>
          <w:szCs w:val="21"/>
        </w:rPr>
        <w:t>选择数量应根据原种需要量来定，一般每</w:t>
      </w:r>
      <w:r>
        <w:rPr>
          <w:rFonts w:hint="eastAsia" w:ascii="Times New Roman" w:hAnsi="Times New Roman"/>
          <w:szCs w:val="21"/>
          <w:lang w:eastAsia="zh-CN"/>
        </w:rPr>
        <w:t>667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m</w:t>
      </w:r>
      <w:r>
        <w:rPr>
          <w:rFonts w:ascii="Times New Roman" w:hAnsi="Times New Roman" w:eastAsia="宋体"/>
          <w:szCs w:val="21"/>
          <w:vertAlign w:val="superscript"/>
        </w:rPr>
        <w:t>2</w:t>
      </w:r>
      <w:r>
        <w:rPr>
          <w:rFonts w:ascii="Times New Roman" w:hAnsi="Times New Roman" w:eastAsia="宋体"/>
          <w:szCs w:val="21"/>
        </w:rPr>
        <w:t>株行圃需决选单株400株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500株。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7.2.5 室内考种及复选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入选植株首先要根据植株的全株荚数、粒数，选择典型性强的丰产单株，单株脱粒，然后根据籽粒大小、整齐度、种皮光泽度、种皮裂纹、粒形、粒色、脐色、百粒重、紫斑粒率</w:t>
      </w:r>
      <w:r>
        <w:rPr>
          <w:rFonts w:hint="eastAsia" w:ascii="Times New Roman" w:hAnsi="Times New Roman"/>
          <w:szCs w:val="21"/>
          <w:lang w:eastAsia="zh-CN"/>
        </w:rPr>
        <w:t>、</w:t>
      </w:r>
      <w:r>
        <w:rPr>
          <w:rFonts w:ascii="Times New Roman" w:hAnsi="Times New Roman" w:eastAsia="宋体"/>
          <w:szCs w:val="21"/>
        </w:rPr>
        <w:t>褐斑粒率等病害情况等进行复选。决选的单株在剔除个别病虫粒、瘪粒后分别装袋编号保存。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7.3 株行圃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7.3.1 田间设计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各株行的长度应一致，行长6 m，行距50cm，每隔49行设一对照行，对照应用原原种。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7.3.2 播种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要适时将上年入选的每株种子播种一行，密度应较大田稍稀，单粒点播，或2粒穴播留1苗。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7.3.3 田间鉴评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田间鉴评分三期进行。苗期根据幼苗长相、幼茎颜色；花期根据叶形、花色、叶色、子叶颜色、茸毛色、感病性等；成熟期根据株高、成熟度、株型、结荚习性、茸毛色、荚型、荚熟色来鉴定品种的典型性和株行的整齐度。通过鉴评要淘汰不具备原品种典型性的</w:t>
      </w:r>
      <w:r>
        <w:rPr>
          <w:rFonts w:hint="eastAsia" w:ascii="Times New Roman" w:hAnsi="Times New Roman"/>
          <w:szCs w:val="21"/>
          <w:lang w:eastAsia="zh-CN"/>
        </w:rPr>
        <w:t>、</w:t>
      </w:r>
      <w:r>
        <w:rPr>
          <w:rFonts w:ascii="Times New Roman" w:hAnsi="Times New Roman" w:eastAsia="宋体"/>
          <w:szCs w:val="21"/>
        </w:rPr>
        <w:t>有杂株的、丰产性低的、病虫害重的株行，并做明显标记和记载。对入选株行中个别病劣株要及时</w:t>
      </w:r>
      <w:r>
        <w:rPr>
          <w:rFonts w:hint="eastAsia" w:ascii="Times New Roman" w:hAnsi="Times New Roman"/>
          <w:szCs w:val="21"/>
          <w:lang w:eastAsia="zh-CN"/>
        </w:rPr>
        <w:t>拔</w:t>
      </w:r>
      <w:r>
        <w:rPr>
          <w:rFonts w:ascii="Times New Roman" w:hAnsi="Times New Roman" w:eastAsia="宋体"/>
          <w:szCs w:val="21"/>
        </w:rPr>
        <w:t>除。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7.3.4 收获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收获前要清除淘汰株行，对入选株行要按行单收、单晾晒、单脱粒、单装袋，袋内放、袋外拴好标签。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 株系圃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7.4.1 田间设计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株系圃面积因上年株行圃入选行种子量而定。各株系行数和行长应一致，每隔19区设一对照区，对照应用原原种。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7.4.2 播种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将上年保存的每一株行种子种一小区，单粒点播或2粒穴播留1苗，密度应较大田稍稀。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7.4.3 田间鉴评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田间鉴评各项同7.3.3，若小区出现杂株时，全区应淘汰，同时要注意各株系间的一致性。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7.4.4 收获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先将淘汰区清除后对入选区单收、单晾晒、单脱粒、单装袋</w:t>
      </w:r>
      <w:r>
        <w:rPr>
          <w:rFonts w:hint="eastAsia" w:ascii="Times New Roman" w:hAnsi="Times New Roman"/>
          <w:szCs w:val="21"/>
          <w:lang w:eastAsia="zh-CN"/>
        </w:rPr>
        <w:t>、</w:t>
      </w:r>
      <w:r>
        <w:rPr>
          <w:rFonts w:ascii="Times New Roman" w:hAnsi="Times New Roman" w:eastAsia="宋体"/>
          <w:szCs w:val="21"/>
        </w:rPr>
        <w:t>单称重，袋内放、袋外拴好标签。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7.4.5 决选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籽粒决选标准同7.2.5，决选时还要将产量显著低于对照的株系淘汰。入选株系的种子混合装袋，袋内外放、拴好标签，妥善保存。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7.5 原种圃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7.5.1 播种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将上年株系圃决选的种子适度稀植于原种田中，播种时要将播种工具清理干净，严防机械混杂。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7.5.2 去杂去劣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在苗期、花期、成熟期要根据品种的典型特征特性严格</w:t>
      </w:r>
      <w:r>
        <w:rPr>
          <w:rFonts w:hint="eastAsia" w:ascii="Times New Roman" w:hAnsi="Times New Roman"/>
          <w:szCs w:val="21"/>
          <w:lang w:eastAsia="zh-CN"/>
        </w:rPr>
        <w:t>拔</w:t>
      </w:r>
      <w:r>
        <w:rPr>
          <w:rFonts w:ascii="Times New Roman" w:hAnsi="Times New Roman" w:eastAsia="宋体"/>
          <w:szCs w:val="21"/>
        </w:rPr>
        <w:t>除杂株、病株、劣株。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7.5.3 收获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成熟时及时收获。要单收、单运、单脱粒、专场晾晒，严防混杂。</w:t>
      </w:r>
    </w:p>
    <w:p>
      <w:pPr>
        <w:snapToGrid w:val="0"/>
        <w:spacing w:before="312" w:beforeLines="100" w:after="312" w:afterLines="10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 良种生产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8.1 播种准备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应选用符合GB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4404.2规定的原种进行良种生产。种子播种前，应该对所用播种机进行清理，以免有其他大豆品种种子在下种箱遗漏，发生人为混杂。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8.2 播种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  <w:shd w:val="clear" w:color="auto" w:fill="FFFFFF"/>
        </w:rPr>
      </w:pPr>
      <w:r>
        <w:rPr>
          <w:rFonts w:ascii="Times New Roman" w:hAnsi="Times New Roman" w:eastAsia="宋体"/>
          <w:szCs w:val="21"/>
          <w:shd w:val="clear" w:color="auto" w:fill="FFFFFF"/>
        </w:rPr>
        <w:t>最适播种期为4月15日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~</w:t>
      </w:r>
      <w:r>
        <w:rPr>
          <w:rFonts w:ascii="Times New Roman" w:hAnsi="Times New Roman" w:eastAsia="宋体"/>
          <w:szCs w:val="21"/>
          <w:shd w:val="clear" w:color="auto" w:fill="FFFFFF"/>
        </w:rPr>
        <w:t xml:space="preserve"> 5月10日；采用等行距条播或穴播，行距50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cm，株距7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cm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~</w:t>
      </w:r>
      <w:r>
        <w:rPr>
          <w:rFonts w:ascii="Times New Roman" w:hAnsi="Times New Roman" w:eastAsia="宋体"/>
          <w:szCs w:val="21"/>
          <w:shd w:val="clear" w:color="auto" w:fill="FFFFFF"/>
        </w:rPr>
        <w:t>8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cm，播深4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cm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~</w:t>
      </w:r>
      <w:r>
        <w:rPr>
          <w:rFonts w:ascii="Times New Roman" w:hAnsi="Times New Roman" w:eastAsia="宋体"/>
          <w:szCs w:val="21"/>
          <w:shd w:val="clear" w:color="auto" w:fill="FFFFFF"/>
        </w:rPr>
        <w:t>5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cm；条播7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kg/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667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m</w:t>
      </w:r>
      <w:r>
        <w:rPr>
          <w:rFonts w:ascii="Times New Roman" w:hAnsi="Times New Roman" w:eastAsia="宋体"/>
          <w:szCs w:val="21"/>
          <w:shd w:val="clear" w:color="auto" w:fill="FFFFFF"/>
          <w:vertAlign w:val="superscript"/>
        </w:rPr>
        <w:t>2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~</w:t>
      </w:r>
      <w:r>
        <w:rPr>
          <w:rFonts w:ascii="Times New Roman" w:hAnsi="Times New Roman" w:eastAsia="宋体"/>
          <w:szCs w:val="21"/>
          <w:shd w:val="clear" w:color="auto" w:fill="FFFFFF"/>
        </w:rPr>
        <w:t>9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kg/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shd w:val="clear" w:color="auto" w:fill="FFFFFF"/>
          <w:vertAlign w:val="superscript"/>
        </w:rPr>
        <w:t>2</w:t>
      </w:r>
      <w:r>
        <w:rPr>
          <w:rFonts w:ascii="Times New Roman" w:hAnsi="Times New Roman" w:eastAsia="宋体"/>
          <w:szCs w:val="21"/>
          <w:shd w:val="clear" w:color="auto" w:fill="FFFFFF"/>
        </w:rPr>
        <w:t>，穴播6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kg/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shd w:val="clear" w:color="auto" w:fill="FFFFFF"/>
          <w:vertAlign w:val="superscript"/>
        </w:rPr>
        <w:t>2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~</w:t>
      </w:r>
      <w:r>
        <w:rPr>
          <w:rFonts w:ascii="Times New Roman" w:hAnsi="Times New Roman" w:eastAsia="宋体"/>
          <w:szCs w:val="21"/>
          <w:shd w:val="clear" w:color="auto" w:fill="FFFFFF"/>
        </w:rPr>
        <w:t>7</w:t>
      </w:r>
      <w:r>
        <w:rPr>
          <w:rFonts w:hint="eastAsia" w:ascii="Times New Roman" w:hAnsi="Times New Roman"/>
          <w:szCs w:val="21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shd w:val="clear" w:color="auto" w:fill="FFFFFF"/>
        </w:rPr>
        <w:t>kg/</w:t>
      </w:r>
      <w:r>
        <w:rPr>
          <w:rFonts w:hint="eastAsia" w:ascii="Times New Roman" w:hAnsi="Times New Roman"/>
          <w:szCs w:val="21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shd w:val="clear" w:color="auto" w:fill="FFFFFF"/>
          <w:vertAlign w:val="superscript"/>
        </w:rPr>
        <w:t>2</w:t>
      </w:r>
      <w:r>
        <w:rPr>
          <w:rFonts w:ascii="Times New Roman" w:hAnsi="Times New Roman" w:eastAsia="宋体"/>
          <w:szCs w:val="21"/>
          <w:shd w:val="clear" w:color="auto" w:fill="FFFFFF"/>
        </w:rPr>
        <w:t>；播量准确，播深一致，下籽均匀，不重不漏，播行端直，覆土严密。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8.3 田间管理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8.3.1 定苗中耕除草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8.3.1.1 定苗中耕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结合间定苗，根据幼苗的叶形和颜色，去除叶形和苗色不一致的杂株及病弱苗。当大豆子叶拱土显行时进行第1次中耕，中耕深度10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12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cm，苗高10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12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cm时进行第二次中耕，中耕深度14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16</w:t>
      </w:r>
      <w:r>
        <w:rPr>
          <w:rFonts w:hint="eastAsia" w:ascii="Times New Roman" w:hAnsi="Times New Roman"/>
          <w:szCs w:val="21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</w:rPr>
        <w:t>cm。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8.3.1.2 化学除草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hint="eastAsia" w:ascii="Times New Roman" w:hAnsi="Times New Roman"/>
          <w:szCs w:val="21"/>
          <w:lang w:val="en-US" w:eastAsia="zh-CN"/>
        </w:rPr>
        <w:t xml:space="preserve">应符合DB6540/T -2024的5.3.2中规定。   </w:t>
      </w:r>
      <w:r>
        <w:rPr>
          <w:rFonts w:ascii="Times New Roman" w:hAnsi="Times New Roman" w:eastAsia="宋体"/>
          <w:szCs w:val="21"/>
        </w:rPr>
        <w:t>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8.3.2 灌溉</w:t>
      </w:r>
    </w:p>
    <w:p>
      <w:pPr>
        <w:widowControl/>
        <w:adjustRightInd/>
        <w:snapToGrid/>
        <w:spacing w:before="0" w:beforeLines="-2147483648" w:after="0" w:afterLines="-2147483648" w:line="240" w:lineRule="auto"/>
        <w:ind w:firstLine="420" w:firstLineChars="200"/>
        <w:jc w:val="left"/>
        <w:outlineLvl w:val="9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一般的地块实行浇灌措施。有条件的地块，实行滴灌，播种时随行铺设，并适当用土压实。灌溉措施</w:t>
      </w:r>
      <w:r>
        <w:rPr>
          <w:rFonts w:hint="eastAsia" w:ascii="Times New Roman" w:hAnsi="Times New Roman"/>
          <w:szCs w:val="21"/>
          <w:lang w:val="en-US" w:eastAsia="zh-CN"/>
        </w:rPr>
        <w:t xml:space="preserve">应符合DB6540/T -2024的5.3.4中规定。 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  <w:t>8.3.3 叶面施肥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  <w:highlight w:val="none"/>
          <w:shd w:val="clear" w:color="auto" w:fill="FFFFFF"/>
        </w:rPr>
      </w:pP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大豆开花初期和灌浆期各喷一次叶面肥。用磷酸二氢钾200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g/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  <w:vertAlign w:val="superscript"/>
        </w:rPr>
        <w:t>2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+尿素150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g/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  <w:vertAlign w:val="superscript"/>
        </w:rPr>
        <w:t>2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或用</w:t>
      </w:r>
      <w:r>
        <w:rPr>
          <w:rFonts w:ascii="Times New Roman" w:hAnsi="Times New Roman" w:eastAsia="宋体"/>
          <w:szCs w:val="24"/>
          <w:highlight w:val="none"/>
        </w:rPr>
        <w:t>保花保果的多元微肥（或流体硼）20</w:t>
      </w:r>
      <w:r>
        <w:rPr>
          <w:rFonts w:hint="eastAsia" w:ascii="Times New Roman" w:hAnsi="Times New Roman"/>
          <w:szCs w:val="24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/>
          <w:szCs w:val="24"/>
          <w:highlight w:val="none"/>
        </w:rPr>
        <w:t>ml/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  <w:vertAlign w:val="superscript"/>
        </w:rPr>
        <w:t>2</w:t>
      </w:r>
      <w:r>
        <w:rPr>
          <w:rFonts w:hint="eastAsia" w:ascii="Times New Roman" w:hAnsi="Times New Roman"/>
          <w:szCs w:val="24"/>
          <w:highlight w:val="none"/>
          <w:lang w:eastAsia="zh-CN"/>
        </w:rPr>
        <w:t>~</w:t>
      </w:r>
      <w:r>
        <w:rPr>
          <w:rFonts w:ascii="Times New Roman" w:hAnsi="Times New Roman" w:eastAsia="宋体"/>
          <w:szCs w:val="24"/>
          <w:highlight w:val="none"/>
        </w:rPr>
        <w:t>30</w:t>
      </w:r>
      <w:r>
        <w:rPr>
          <w:rFonts w:hint="eastAsia" w:ascii="Times New Roman" w:hAnsi="Times New Roman"/>
          <w:szCs w:val="24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/>
          <w:szCs w:val="24"/>
          <w:highlight w:val="none"/>
        </w:rPr>
        <w:t>ml/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eastAsia="zh-CN"/>
        </w:rPr>
        <w:t>667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 xml:space="preserve"> m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  <w:vertAlign w:val="superscript"/>
        </w:rPr>
        <w:t>2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，兑水20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kg喷施。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  <w:t>8.3.4 去杂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b/>
          <w:szCs w:val="21"/>
          <w:highlight w:val="none"/>
          <w:shd w:val="clear" w:color="auto" w:fill="FFFFFF"/>
        </w:rPr>
      </w:pP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根据开花时期、叶形及花色进行鉴别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eastAsia="zh-CN"/>
        </w:rPr>
        <w:t>、</w:t>
      </w:r>
      <w:r>
        <w:rPr>
          <w:rFonts w:hint="eastAsia" w:ascii="Times New Roman" w:hAnsi="Times New Roman"/>
          <w:szCs w:val="21"/>
          <w:highlight w:val="none"/>
          <w:shd w:val="clear" w:color="auto" w:fill="FFFFFF"/>
          <w:lang w:val="en-US" w:eastAsia="zh-CN"/>
        </w:rPr>
        <w:t>去杂</w:t>
      </w:r>
      <w:r>
        <w:rPr>
          <w:rFonts w:ascii="Times New Roman" w:hAnsi="Times New Roman" w:eastAsia="宋体"/>
          <w:szCs w:val="21"/>
          <w:highlight w:val="none"/>
          <w:shd w:val="clear" w:color="auto" w:fill="FFFFFF"/>
        </w:rPr>
        <w:t>。大豆黄熟期是种子去杂的最后一次田间去杂，此期根据株高、成熟度、茸毛色、结荚习性、株型等在收获前对杂株要进行一次人工拔除。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  <w:t>8.3.5 病虫害防治</w:t>
      </w:r>
    </w:p>
    <w:p>
      <w:pPr>
        <w:snapToGrid w:val="0"/>
        <w:spacing w:before="156" w:beforeLines="50" w:after="156" w:afterLines="50"/>
        <w:ind w:firstLine="420" w:firstLineChars="200"/>
        <w:jc w:val="both"/>
        <w:outlineLvl w:val="1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hint="eastAsia" w:ascii="Times New Roman" w:hAnsi="Times New Roman"/>
          <w:szCs w:val="21"/>
          <w:lang w:val="en-US" w:eastAsia="zh-CN"/>
        </w:rPr>
        <w:t xml:space="preserve">应符合DB6540/T -2024的5.3.6中规定。 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highlight w:val="none"/>
          <w:lang w:val="en-US" w:eastAsia="zh-CN" w:bidi="ar-SA"/>
        </w:rPr>
        <w:t xml:space="preserve">8.4 收获 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当茎秆呈棕黄色，有7%</w:t>
      </w:r>
      <w:r>
        <w:rPr>
          <w:rFonts w:hint="eastAsia" w:ascii="Times New Roman" w:hAnsi="Times New Roman"/>
          <w:szCs w:val="21"/>
          <w:lang w:eastAsia="zh-CN"/>
        </w:rPr>
        <w:t>~</w:t>
      </w:r>
      <w:r>
        <w:rPr>
          <w:rFonts w:ascii="Times New Roman" w:hAnsi="Times New Roman" w:eastAsia="宋体"/>
          <w:szCs w:val="21"/>
        </w:rPr>
        <w:t>10%的叶片尚未落尽时即可人工收获。当豆叶全部落尽，子粒已归圆时即可机械收获。收获时要注意清扫收割机仓和拉运机车，以及晾晒场地的清扫，保证没有其他品种混在其中。</w:t>
      </w:r>
    </w:p>
    <w:p>
      <w:pPr>
        <w:snapToGrid w:val="0"/>
        <w:spacing w:before="156" w:beforeLines="50" w:after="156" w:afterLines="50"/>
        <w:jc w:val="both"/>
        <w:outlineLvl w:val="1"/>
        <w:rPr>
          <w:rFonts w:ascii="黑体" w:hAnsi="黑体" w:eastAsia="黑体" w:cs="Times New Roman"/>
          <w:sz w:val="21"/>
          <w:szCs w:val="21"/>
          <w:lang w:val="en-US" w:eastAsia="zh-CN" w:bidi="ar-SA"/>
        </w:rPr>
      </w:pPr>
      <w:r>
        <w:rPr>
          <w:rFonts w:ascii="黑体" w:hAnsi="黑体" w:eastAsia="黑体" w:cs="Times New Roman"/>
          <w:sz w:val="21"/>
          <w:szCs w:val="21"/>
          <w:lang w:val="en-US" w:eastAsia="zh-CN" w:bidi="ar-SA"/>
        </w:rPr>
        <w:t>8.5 入库贮存</w:t>
      </w:r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  <w:r>
        <w:rPr>
          <w:rFonts w:ascii="Times New Roman" w:hAnsi="Times New Roman" w:eastAsia="宋体"/>
          <w:szCs w:val="21"/>
        </w:rPr>
        <w:t>种子晾晒完后，进行选种，最后进行包装入库包装要内外标注标签，以免混杂，贮存应符合GB</w:t>
      </w:r>
      <w:r>
        <w:rPr>
          <w:rFonts w:hint="eastAsia" w:ascii="Times New Roman" w:hAnsi="Times New Roman"/>
          <w:szCs w:val="21"/>
          <w:lang w:val="en-US" w:eastAsia="zh-CN"/>
        </w:rPr>
        <w:t xml:space="preserve">/T </w:t>
      </w:r>
      <w:r>
        <w:rPr>
          <w:rFonts w:ascii="Times New Roman" w:hAnsi="Times New Roman" w:eastAsia="宋体"/>
          <w:szCs w:val="21"/>
        </w:rPr>
        <w:t xml:space="preserve"> 7415</w:t>
      </w:r>
      <w:r>
        <w:rPr>
          <w:rFonts w:hint="eastAsia" w:ascii="Times New Roman" w:hAnsi="Times New Roman"/>
          <w:szCs w:val="21"/>
          <w:lang w:val="en-US" w:eastAsia="zh-CN"/>
        </w:rPr>
        <w:t>的要求</w:t>
      </w:r>
      <w:r>
        <w:rPr>
          <w:rFonts w:ascii="Times New Roman" w:hAnsi="Times New Roman" w:eastAsia="宋体"/>
          <w:szCs w:val="21"/>
        </w:rPr>
        <w:t>。</w:t>
      </w:r>
      <w:bookmarkEnd w:id="22"/>
      <w:bookmarkEnd w:id="23"/>
      <w:bookmarkEnd w:id="24"/>
      <w:bookmarkEnd w:id="25"/>
      <w:bookmarkEnd w:id="26"/>
      <w:bookmarkEnd w:id="27"/>
    </w:p>
    <w:p>
      <w:pPr>
        <w:adjustRightInd/>
        <w:spacing w:line="240" w:lineRule="auto"/>
        <w:ind w:firstLine="420" w:firstLineChars="200"/>
        <w:rPr>
          <w:rFonts w:ascii="Times New Roman" w:hAnsi="Times New Roman" w:eastAsia="宋体"/>
          <w:szCs w:val="21"/>
        </w:rPr>
      </w:pPr>
    </w:p>
    <w:p>
      <w:pPr>
        <w:pStyle w:val="58"/>
        <w:ind w:firstLine="420"/>
        <w:rPr>
          <w:rFonts w:ascii="Times New Roman" w:hAnsi="Times New Roman" w:eastAsia="宋体" w:cs="Times New Roman"/>
          <w:kern w:val="0"/>
          <w:sz w:val="21"/>
          <w:szCs w:val="21"/>
        </w:rPr>
      </w:pPr>
    </w:p>
    <w:p>
      <w:pPr>
        <w:pStyle w:val="58"/>
        <w:ind w:firstLine="420"/>
        <w:rPr>
          <w:rFonts w:ascii="Times New Roman" w:hAnsi="Times New Roman" w:eastAsia="宋体" w:cs="Times New Roman"/>
          <w:kern w:val="0"/>
          <w:sz w:val="21"/>
          <w:szCs w:val="21"/>
        </w:rPr>
      </w:pPr>
    </w:p>
    <w:p>
      <w:pPr>
        <w:pStyle w:val="58"/>
        <w:ind w:firstLine="420"/>
        <w:jc w:val="center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eastAsia="宋体" w:cs="Times New Roman"/>
          <w:kern w:val="0"/>
          <w:sz w:val="21"/>
          <w:szCs w:val="21"/>
          <w:lang w:val="en-US" w:eastAsia="zh-CN"/>
        </w:rPr>
        <w:t>___________________________</w:t>
      </w:r>
    </w:p>
    <w:sectPr>
      <w:headerReference r:id="rId11" w:type="default"/>
      <w:footerReference r:id="rId12" w:type="default"/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</w:t>
    </w:r>
    <w:r>
      <w:rPr>
        <w:rFonts w:hint="eastAsia" w:ascii="黑体" w:hAnsi="黑体" w:eastAsia="黑体"/>
        <w:lang w:eastAsia="zh-CN"/>
      </w:rPr>
      <w:t>~</w:t>
    </w:r>
    <w:r>
      <w:rPr>
        <w:rFonts w:ascii="黑体" w:hAnsi="黑体" w:eastAsia="黑体"/>
      </w:rPr>
      <w:t>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3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DB6540/T  —2024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6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1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0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5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7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0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1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2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3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4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5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6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3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9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2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7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4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4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9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4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3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6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1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9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200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5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5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8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5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16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201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9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3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644622F9"/>
    <w:multiLevelType w:val="multilevel"/>
    <w:tmpl w:val="644622F9"/>
    <w:lvl w:ilvl="0" w:tentative="0">
      <w:start w:val="1"/>
      <w:numFmt w:val="upp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>
    <w:nsid w:val="654A26C9"/>
    <w:multiLevelType w:val="multilevel"/>
    <w:tmpl w:val="654A26C9"/>
    <w:lvl w:ilvl="0" w:tentative="0">
      <w:start w:val="1"/>
      <w:numFmt w:val="none"/>
      <w:pStyle w:val="191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3">
    <w:nsid w:val="657D3FBC"/>
    <w:multiLevelType w:val="multilevel"/>
    <w:tmpl w:val="657D3FBC"/>
    <w:lvl w:ilvl="0" w:tentative="0">
      <w:start w:val="1"/>
      <w:numFmt w:val="upperLetter"/>
      <w:pStyle w:val="78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0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1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3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4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6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90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99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5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4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67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6"/>
      <w:suff w:val="nothing"/>
      <w:lvlText w:val="%1%2.%3.%4.%5　"/>
      <w:lvlJc w:val="left"/>
      <w:pPr>
        <w:ind w:left="1701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0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5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8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7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41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attachedTemplate r:id="rId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kMGE2MmNhNGVlMGZiYzE2YzhhY2NhYTY2ODkwZTMifQ=="/>
  </w:docVars>
  <w:rsids>
    <w:rsidRoot w:val="008359B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4ED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C7F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13D4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1E75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514C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138E"/>
    <w:rsid w:val="00432DAA"/>
    <w:rsid w:val="00434305"/>
    <w:rsid w:val="00435DF7"/>
    <w:rsid w:val="004377C6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4FF8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44A5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418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979F1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020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176B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BC1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47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59BD"/>
    <w:rsid w:val="008373D3"/>
    <w:rsid w:val="00840617"/>
    <w:rsid w:val="00840F84"/>
    <w:rsid w:val="00842A47"/>
    <w:rsid w:val="00843C13"/>
    <w:rsid w:val="00844975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E85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46AB5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5965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1324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1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56615"/>
    <w:rsid w:val="00C601BC"/>
    <w:rsid w:val="00C6329F"/>
    <w:rsid w:val="00C63340"/>
    <w:rsid w:val="00C643F9"/>
    <w:rsid w:val="00C64E95"/>
    <w:rsid w:val="00C71372"/>
    <w:rsid w:val="00C72410"/>
    <w:rsid w:val="00C7287F"/>
    <w:rsid w:val="00C80982"/>
    <w:rsid w:val="00C80CB8"/>
    <w:rsid w:val="00C819F8"/>
    <w:rsid w:val="00C8248C"/>
    <w:rsid w:val="00C84E33"/>
    <w:rsid w:val="00C854D5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29E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3A1A"/>
    <w:rsid w:val="00DF44DE"/>
    <w:rsid w:val="00DF5F11"/>
    <w:rsid w:val="00DF625B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49B4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980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19AC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417C23"/>
    <w:rsid w:val="015B7D89"/>
    <w:rsid w:val="033C1821"/>
    <w:rsid w:val="13EE74BE"/>
    <w:rsid w:val="145B3C13"/>
    <w:rsid w:val="15997F4D"/>
    <w:rsid w:val="160067B5"/>
    <w:rsid w:val="19CD49E1"/>
    <w:rsid w:val="1A422D94"/>
    <w:rsid w:val="1F546C4B"/>
    <w:rsid w:val="21640AB7"/>
    <w:rsid w:val="22B42068"/>
    <w:rsid w:val="2FB50587"/>
    <w:rsid w:val="37826289"/>
    <w:rsid w:val="37AE3B9D"/>
    <w:rsid w:val="3AF861B7"/>
    <w:rsid w:val="3B95631B"/>
    <w:rsid w:val="3B9A1161"/>
    <w:rsid w:val="3CB0596B"/>
    <w:rsid w:val="40DA14C4"/>
    <w:rsid w:val="467F5A35"/>
    <w:rsid w:val="58CE4820"/>
    <w:rsid w:val="59D75D86"/>
    <w:rsid w:val="5C0877D0"/>
    <w:rsid w:val="5FC94439"/>
    <w:rsid w:val="61B455FB"/>
    <w:rsid w:val="68442F78"/>
    <w:rsid w:val="6DD8303A"/>
    <w:rsid w:val="706F7B84"/>
    <w:rsid w:val="75311336"/>
    <w:rsid w:val="7575083D"/>
    <w:rsid w:val="75A025D5"/>
    <w:rsid w:val="7B5E240B"/>
    <w:rsid w:val="7DB3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3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40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9">
    <w:name w:val="heading 7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1">
    <w:name w:val="heading 9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8"/>
    <w:qFormat/>
    <w:uiPriority w:val="0"/>
    <w:pPr>
      <w:spacing w:after="120"/>
    </w:pPr>
  </w:style>
  <w:style w:type="paragraph" w:styleId="12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3">
    <w:name w:val="Normal Indent"/>
    <w:basedOn w:val="1"/>
    <w:qFormat/>
    <w:uiPriority w:val="0"/>
    <w:pPr>
      <w:ind w:firstLine="420"/>
    </w:pPr>
  </w:style>
  <w:style w:type="paragraph" w:styleId="14">
    <w:name w:val="annotation text"/>
    <w:basedOn w:val="1"/>
    <w:link w:val="232"/>
    <w:unhideWhenUsed/>
    <w:qFormat/>
    <w:uiPriority w:val="0"/>
    <w:pPr>
      <w:adjustRightInd/>
      <w:spacing w:line="240" w:lineRule="auto"/>
      <w:jc w:val="left"/>
    </w:pPr>
    <w:rPr>
      <w:rFonts w:cs="黑体"/>
      <w:szCs w:val="24"/>
    </w:r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1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50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8">
    <w:name w:val="Table Grid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22"/>
    <w:rPr>
      <w:b/>
      <w:bCs/>
    </w:rPr>
  </w:style>
  <w:style w:type="character" w:styleId="31">
    <w:name w:val="page number"/>
    <w:qFormat/>
    <w:uiPriority w:val="0"/>
    <w:rPr>
      <w:rFonts w:ascii="宋体" w:hAnsi="Times New Roman" w:eastAsia="宋体"/>
      <w:sz w:val="18"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4">
    <w:name w:val="annotation reference"/>
    <w:basedOn w:val="29"/>
    <w:semiHidden/>
    <w:unhideWhenUsed/>
    <w:qFormat/>
    <w:uiPriority w:val="99"/>
    <w:rPr>
      <w:sz w:val="21"/>
      <w:szCs w:val="21"/>
    </w:rPr>
  </w:style>
  <w:style w:type="character" w:styleId="35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6">
    <w:name w:val="标题 1 字符"/>
    <w:link w:val="3"/>
    <w:qFormat/>
    <w:uiPriority w:val="0"/>
    <w:rPr>
      <w:b/>
      <w:bCs/>
      <w:kern w:val="44"/>
      <w:sz w:val="44"/>
      <w:szCs w:val="44"/>
    </w:rPr>
  </w:style>
  <w:style w:type="character" w:customStyle="1" w:styleId="37">
    <w:name w:val="标题 2 字符"/>
    <w:link w:val="4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8">
    <w:name w:val="标题 3 字符"/>
    <w:link w:val="5"/>
    <w:qFormat/>
    <w:uiPriority w:val="0"/>
    <w:rPr>
      <w:b/>
      <w:bCs/>
      <w:kern w:val="2"/>
      <w:sz w:val="32"/>
      <w:szCs w:val="32"/>
    </w:rPr>
  </w:style>
  <w:style w:type="character" w:customStyle="1" w:styleId="39">
    <w:name w:val="标题 4 字符"/>
    <w:link w:val="6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0">
    <w:name w:val="标题 5 字符"/>
    <w:link w:val="7"/>
    <w:qFormat/>
    <w:uiPriority w:val="0"/>
    <w:rPr>
      <w:b/>
      <w:bCs/>
      <w:kern w:val="2"/>
      <w:sz w:val="28"/>
      <w:szCs w:val="28"/>
    </w:rPr>
  </w:style>
  <w:style w:type="character" w:customStyle="1" w:styleId="41">
    <w:name w:val="标题 6 字符"/>
    <w:link w:val="8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2">
    <w:name w:val="标题 7 字符"/>
    <w:link w:val="9"/>
    <w:qFormat/>
    <w:uiPriority w:val="0"/>
    <w:rPr>
      <w:b/>
      <w:bCs/>
      <w:kern w:val="2"/>
      <w:sz w:val="24"/>
      <w:szCs w:val="24"/>
    </w:rPr>
  </w:style>
  <w:style w:type="character" w:customStyle="1" w:styleId="43">
    <w:name w:val="标题 8 字符"/>
    <w:link w:val="10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4">
    <w:name w:val="标题 9 字符"/>
    <w:link w:val="11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5">
    <w:name w:val="页眉 字符"/>
    <w:link w:val="19"/>
    <w:qFormat/>
    <w:uiPriority w:val="99"/>
    <w:rPr>
      <w:kern w:val="2"/>
      <w:sz w:val="18"/>
      <w:szCs w:val="18"/>
    </w:rPr>
  </w:style>
  <w:style w:type="character" w:customStyle="1" w:styleId="46">
    <w:name w:val="页脚 字符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7">
    <w:name w:val="批注框文本 字符"/>
    <w:link w:val="17"/>
    <w:semiHidden/>
    <w:qFormat/>
    <w:uiPriority w:val="99"/>
    <w:rPr>
      <w:kern w:val="2"/>
      <w:sz w:val="18"/>
      <w:szCs w:val="18"/>
    </w:rPr>
  </w:style>
  <w:style w:type="paragraph" w:styleId="48">
    <w:name w:val="Quote"/>
    <w:basedOn w:val="1"/>
    <w:next w:val="1"/>
    <w:link w:val="49"/>
    <w:qFormat/>
    <w:uiPriority w:val="29"/>
    <w:rPr>
      <w:i/>
      <w:iCs/>
      <w:color w:val="000000"/>
    </w:rPr>
  </w:style>
  <w:style w:type="character" w:customStyle="1" w:styleId="49">
    <w:name w:val="引用 字符"/>
    <w:link w:val="48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0">
    <w:name w:val="标题 字符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1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2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3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6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7">
    <w:name w:val="标准文件_标准正文"/>
    <w:basedOn w:val="1"/>
    <w:next w:val="58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8">
    <w:name w:val="标准文件_段"/>
    <w:link w:val="18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标准文件_版本"/>
    <w:basedOn w:val="57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0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1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2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4">
    <w:name w:val="标准文件_页眉偶数页"/>
    <w:basedOn w:val="63"/>
    <w:next w:val="1"/>
    <w:qFormat/>
    <w:uiPriority w:val="0"/>
    <w:pPr>
      <w:jc w:val="left"/>
    </w:pPr>
  </w:style>
  <w:style w:type="paragraph" w:customStyle="1" w:styleId="65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6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7">
    <w:name w:val="标准文件_二级条标题"/>
    <w:next w:val="58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8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9">
    <w:name w:val="标准文件_方框数字列项"/>
    <w:basedOn w:val="58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0">
    <w:name w:val="标准文件_封面标准编号"/>
    <w:basedOn w:val="1"/>
    <w:next w:val="61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1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2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3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4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5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6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7">
    <w:name w:val="标准文件_封面抬头"/>
    <w:basedOn w:val="58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8">
    <w:name w:val="标准文件_附录标识"/>
    <w:next w:val="58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9">
    <w:name w:val="标准文件_附录表标题"/>
    <w:next w:val="58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一级条标题"/>
    <w:next w:val="58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二级条标题"/>
    <w:basedOn w:val="80"/>
    <w:next w:val="58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2">
    <w:name w:val="标准文件_附录公式"/>
    <w:basedOn w:val="57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3">
    <w:name w:val="标准文件_附录三级条标题"/>
    <w:next w:val="58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四级条标题"/>
    <w:next w:val="58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图标题"/>
    <w:next w:val="58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标准文件_附录五级条标题"/>
    <w:next w:val="58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7">
    <w:name w:val="标准文件_附录英文标识"/>
    <w:next w:val="2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8">
    <w:name w:val="正文文本 字符"/>
    <w:link w:val="2"/>
    <w:qFormat/>
    <w:uiPriority w:val="0"/>
    <w:rPr>
      <w:kern w:val="2"/>
      <w:sz w:val="21"/>
      <w:szCs w:val="21"/>
    </w:rPr>
  </w:style>
  <w:style w:type="paragraph" w:customStyle="1" w:styleId="89">
    <w:name w:val="标准文件_附录章标题"/>
    <w:next w:val="58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0">
    <w:name w:val="标准文件_公式后的破折号"/>
    <w:basedOn w:val="58"/>
    <w:next w:val="58"/>
    <w:qFormat/>
    <w:uiPriority w:val="0"/>
    <w:pPr>
      <w:ind w:left="488" w:leftChars="200" w:hanging="289" w:hangingChars="290"/>
    </w:pPr>
  </w:style>
  <w:style w:type="paragraph" w:customStyle="1" w:styleId="91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="15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2">
    <w:name w:val="标准文件_目次、标准名称标题"/>
    <w:basedOn w:val="91"/>
    <w:next w:val="58"/>
    <w:qFormat/>
    <w:uiPriority w:val="0"/>
    <w:pPr>
      <w:spacing w:line="460" w:lineRule="exact"/>
      <w:ind w:left="0" w:firstLine="0"/>
    </w:pPr>
  </w:style>
  <w:style w:type="paragraph" w:customStyle="1" w:styleId="93">
    <w:name w:val="标准文件_目录标题"/>
    <w:basedOn w:val="1"/>
    <w:qFormat/>
    <w:uiPriority w:val="0"/>
    <w:pPr>
      <w:spacing w:before="480"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4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5">
    <w:name w:val="标准文件_破折号列项（二级）"/>
    <w:basedOn w:val="94"/>
    <w:qFormat/>
    <w:uiPriority w:val="0"/>
    <w:pPr>
      <w:numPr>
        <w:numId w:val="10"/>
      </w:numPr>
    </w:pPr>
  </w:style>
  <w:style w:type="paragraph" w:customStyle="1" w:styleId="96">
    <w:name w:val="标准文件_三级条标题"/>
    <w:basedOn w:val="67"/>
    <w:next w:val="58"/>
    <w:qFormat/>
    <w:uiPriority w:val="0"/>
    <w:pPr>
      <w:widowControl/>
      <w:numPr>
        <w:ilvl w:val="4"/>
      </w:numPr>
      <w:ind w:left="0"/>
      <w:outlineLvl w:val="3"/>
    </w:pPr>
  </w:style>
  <w:style w:type="character" w:customStyle="1" w:styleId="97">
    <w:name w:val="Subtle Reference"/>
    <w:qFormat/>
    <w:uiPriority w:val="31"/>
    <w:rPr>
      <w:smallCaps/>
      <w:color w:val="C0504D"/>
      <w:u w:val="single"/>
    </w:rPr>
  </w:style>
  <w:style w:type="paragraph" w:customStyle="1" w:styleId="98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9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0">
    <w:name w:val="标准文件_四级条标题"/>
    <w:next w:val="58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1">
    <w:name w:val="脚注文本 字符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2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3">
    <w:name w:val="标准文件_图表脚注"/>
    <w:basedOn w:val="1"/>
    <w:next w:val="58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4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5">
    <w:name w:val="标准文件_五级条标题"/>
    <w:next w:val="58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章标题"/>
    <w:next w:val="58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一级条标题"/>
    <w:basedOn w:val="106"/>
    <w:next w:val="5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8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9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标准文件_英文图表脚注"/>
    <w:basedOn w:val="57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1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标准文件_英文注："/>
    <w:basedOn w:val="1"/>
    <w:next w:val="58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3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4">
    <w:name w:val="标准文件_正文表标题"/>
    <w:next w:val="58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公式"/>
    <w:basedOn w:val="1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6">
    <w:name w:val="标准文件_正文图标题"/>
    <w:next w:val="58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表标题"/>
    <w:next w:val="58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图标题"/>
    <w:next w:val="58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0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1">
    <w:name w:val="发布部门"/>
    <w:next w:val="58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3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7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0">
    <w:name w:val="附录二级无标题条"/>
    <w:basedOn w:val="1"/>
    <w:next w:val="58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1">
    <w:name w:val="附录三级无标题条"/>
    <w:basedOn w:val="130"/>
    <w:next w:val="58"/>
    <w:qFormat/>
    <w:uiPriority w:val="0"/>
    <w:pPr>
      <w:outlineLvl w:val="4"/>
    </w:pPr>
  </w:style>
  <w:style w:type="paragraph" w:customStyle="1" w:styleId="132">
    <w:name w:val="附录四级无标题条"/>
    <w:basedOn w:val="131"/>
    <w:next w:val="58"/>
    <w:qFormat/>
    <w:uiPriority w:val="0"/>
    <w:pPr>
      <w:outlineLvl w:val="5"/>
    </w:pPr>
  </w:style>
  <w:style w:type="paragraph" w:customStyle="1" w:styleId="133">
    <w:name w:val="附录图"/>
    <w:next w:val="58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4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5">
    <w:name w:val="附录五级无标题条"/>
    <w:basedOn w:val="132"/>
    <w:next w:val="58"/>
    <w:qFormat/>
    <w:uiPriority w:val="0"/>
    <w:pPr>
      <w:outlineLvl w:val="6"/>
    </w:pPr>
  </w:style>
  <w:style w:type="paragraph" w:customStyle="1" w:styleId="136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7">
    <w:name w:val="附录一级无标题条"/>
    <w:basedOn w:val="89"/>
    <w:next w:val="58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8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9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0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1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2">
    <w:name w:val="列项·"/>
    <w:basedOn w:val="58"/>
    <w:qFormat/>
    <w:uiPriority w:val="0"/>
    <w:pPr>
      <w:tabs>
        <w:tab w:val="left" w:pos="840"/>
      </w:tabs>
    </w:pPr>
  </w:style>
  <w:style w:type="paragraph" w:customStyle="1" w:styleId="143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4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5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6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8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9">
    <w:name w:val="目录 71"/>
    <w:basedOn w:val="148"/>
    <w:semiHidden/>
    <w:qFormat/>
    <w:uiPriority w:val="0"/>
    <w:pPr>
      <w:ind w:left="1260"/>
    </w:pPr>
  </w:style>
  <w:style w:type="paragraph" w:customStyle="1" w:styleId="150">
    <w:name w:val="目录 81"/>
    <w:basedOn w:val="149"/>
    <w:semiHidden/>
    <w:qFormat/>
    <w:uiPriority w:val="0"/>
    <w:pPr>
      <w:ind w:left="1470"/>
    </w:pPr>
  </w:style>
  <w:style w:type="paragraph" w:customStyle="1" w:styleId="151">
    <w:name w:val="目录 91"/>
    <w:basedOn w:val="150"/>
    <w:semiHidden/>
    <w:qFormat/>
    <w:uiPriority w:val="0"/>
    <w:pPr>
      <w:ind w:left="1680"/>
    </w:pPr>
  </w:style>
  <w:style w:type="paragraph" w:customStyle="1" w:styleId="152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3">
    <w:name w:val="其他发布部门"/>
    <w:basedOn w:val="121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4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5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实施日期"/>
    <w:basedOn w:val="122"/>
    <w:qFormat/>
    <w:uiPriority w:val="0"/>
    <w:pPr>
      <w:framePr w:hSpace="0" w:wrap="around" w:xAlign="right"/>
      <w:jc w:val="right"/>
    </w:pPr>
  </w:style>
  <w:style w:type="paragraph" w:customStyle="1" w:styleId="157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8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9">
    <w:name w:val="无标题条"/>
    <w:next w:val="58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0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1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2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3">
    <w:name w:val="注×:后续"/>
    <w:basedOn w:val="162"/>
    <w:qFormat/>
    <w:uiPriority w:val="0"/>
    <w:pPr>
      <w:ind w:left="1406" w:leftChars="0" w:hanging="499" w:firstLineChars="0"/>
    </w:pPr>
  </w:style>
  <w:style w:type="paragraph" w:customStyle="1" w:styleId="164">
    <w:name w:val="标准文件_一级无标题"/>
    <w:basedOn w:val="10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5">
    <w:name w:val="标准文件_五级无标题"/>
    <w:basedOn w:val="10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文件_三级无标题"/>
    <w:basedOn w:val="9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7">
    <w:name w:val="标准文件_二级无标题"/>
    <w:basedOn w:val="6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8">
    <w:name w:val="标准_四级无标题"/>
    <w:basedOn w:val="100"/>
    <w:next w:val="58"/>
    <w:qFormat/>
    <w:uiPriority w:val="0"/>
    <w:rPr>
      <w:rFonts w:eastAsia="宋体"/>
    </w:rPr>
  </w:style>
  <w:style w:type="paragraph" w:customStyle="1" w:styleId="169">
    <w:name w:val="标准文件_四级无标题"/>
    <w:basedOn w:val="100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70">
    <w:name w:val="标准文件_大写罗马数字编号列项"/>
    <w:basedOn w:val="58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1">
    <w:name w:val="标准文件_小写罗马数字编号列项"/>
    <w:basedOn w:val="58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2">
    <w:name w:val="标准文件_附录标题"/>
    <w:basedOn w:val="78"/>
    <w:qFormat/>
    <w:uiPriority w:val="0"/>
    <w:pPr>
      <w:numPr>
        <w:numId w:val="0"/>
      </w:numPr>
      <w:spacing w:after="280"/>
      <w:outlineLvl w:val="9"/>
    </w:pPr>
  </w:style>
  <w:style w:type="paragraph" w:customStyle="1" w:styleId="173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5">
    <w:name w:val="图表脚注说明"/>
    <w:basedOn w:val="1"/>
    <w:next w:val="58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6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7">
    <w:name w:val="标准文件_索引字母"/>
    <w:next w:val="58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8">
    <w:name w:val="标准文件_附录前"/>
    <w:next w:val="58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9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0">
    <w:name w:val="标准文件_表格"/>
    <w:basedOn w:val="58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1">
    <w:name w:val="标准文件_注："/>
    <w:next w:val="58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："/>
    <w:next w:val="184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内容"/>
    <w:basedOn w:val="58"/>
    <w:qFormat/>
    <w:uiPriority w:val="0"/>
    <w:pPr>
      <w:ind w:firstLine="420"/>
    </w:pPr>
    <w:rPr>
      <w:sz w:val="18"/>
    </w:rPr>
  </w:style>
  <w:style w:type="paragraph" w:customStyle="1" w:styleId="185">
    <w:name w:val="标准文件_示例×："/>
    <w:basedOn w:val="1"/>
    <w:next w:val="184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6">
    <w:name w:val="标准文件_段 Char"/>
    <w:link w:val="58"/>
    <w:qFormat/>
    <w:uiPriority w:val="0"/>
    <w:rPr>
      <w:rFonts w:ascii="宋体" w:hAnsi="Times New Roman"/>
      <w:sz w:val="21"/>
    </w:rPr>
  </w:style>
  <w:style w:type="paragraph" w:customStyle="1" w:styleId="187">
    <w:name w:val="标准文件_表格续"/>
    <w:basedOn w:val="58"/>
    <w:next w:val="58"/>
    <w:qFormat/>
    <w:uiPriority w:val="0"/>
    <w:pPr>
      <w:jc w:val="center"/>
    </w:pPr>
    <w:rPr>
      <w:rFonts w:ascii="黑体" w:hAnsi="黑体" w:eastAsia="黑体"/>
    </w:rPr>
  </w:style>
  <w:style w:type="character" w:styleId="188">
    <w:name w:val="Placeholder Text"/>
    <w:basedOn w:val="29"/>
    <w:semiHidden/>
    <w:qFormat/>
    <w:uiPriority w:val="99"/>
    <w:rPr>
      <w:color w:val="808080"/>
    </w:rPr>
  </w:style>
  <w:style w:type="paragraph" w:customStyle="1" w:styleId="189">
    <w:name w:val="标准文件_二级项2"/>
    <w:basedOn w:val="58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0">
    <w:name w:val="标准文件_三级项2"/>
    <w:basedOn w:val="58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一级项2"/>
    <w:basedOn w:val="58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提示"/>
    <w:basedOn w:val="58"/>
    <w:next w:val="58"/>
    <w:qFormat/>
    <w:uiPriority w:val="0"/>
    <w:pPr>
      <w:ind w:firstLine="420"/>
    </w:pPr>
    <w:rPr>
      <w:rFonts w:ascii="黑体" w:eastAsia="黑体"/>
    </w:rPr>
  </w:style>
  <w:style w:type="character" w:customStyle="1" w:styleId="193">
    <w:name w:val="标准文件_来源"/>
    <w:basedOn w:val="29"/>
    <w:qFormat/>
    <w:uiPriority w:val="1"/>
    <w:rPr>
      <w:rFonts w:eastAsia="宋体"/>
      <w:sz w:val="21"/>
    </w:rPr>
  </w:style>
  <w:style w:type="paragraph" w:customStyle="1" w:styleId="194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5">
    <w:name w:val="其他发布日期"/>
    <w:basedOn w:val="122"/>
    <w:qFormat/>
    <w:uiPriority w:val="0"/>
    <w:pPr>
      <w:framePr w:w="3997" w:h="471" w:hRule="exact" w:hSpace="0" w:vSpace="181" w:wrap="around" w:vAnchor="page" w:hAnchor="page" w:x="1419" w:y="14097"/>
    </w:pPr>
  </w:style>
  <w:style w:type="paragraph" w:customStyle="1" w:styleId="196">
    <w:name w:val="其他实施日期"/>
    <w:basedOn w:val="156"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197">
    <w:name w:val="标准文件_文件编号"/>
    <w:basedOn w:val="58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8">
    <w:name w:val="标准文件_替换文件编号"/>
    <w:basedOn w:val="197"/>
    <w:qFormat/>
    <w:uiPriority w:val="0"/>
    <w:pPr>
      <w:spacing w:before="57"/>
    </w:pPr>
    <w:rPr>
      <w:sz w:val="21"/>
    </w:rPr>
  </w:style>
  <w:style w:type="paragraph" w:customStyle="1" w:styleId="199">
    <w:name w:val="标准文件_文件名称"/>
    <w:basedOn w:val="58"/>
    <w:next w:val="58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0">
    <w:name w:val="标准文件_附录图标号"/>
    <w:basedOn w:val="58"/>
    <w:next w:val="58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1">
    <w:name w:val="标准文件_附录表标号"/>
    <w:basedOn w:val="58"/>
    <w:next w:val="58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2">
    <w:name w:val="标准文件_引言一级条标题"/>
    <w:basedOn w:val="58"/>
    <w:next w:val="58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3">
    <w:name w:val="标准文件_引言二级条标题"/>
    <w:basedOn w:val="58"/>
    <w:next w:val="58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三级条标题"/>
    <w:basedOn w:val="58"/>
    <w:next w:val="58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引言四级条标题"/>
    <w:basedOn w:val="58"/>
    <w:next w:val="58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6">
    <w:name w:val="标准文件_引言五级条标题"/>
    <w:basedOn w:val="58"/>
    <w:next w:val="58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7">
    <w:name w:val="标准文件_注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注X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示例后"/>
    <w:basedOn w:val="58"/>
    <w:qFormat/>
    <w:uiPriority w:val="0"/>
    <w:pPr>
      <w:ind w:left="964" w:firstLine="0" w:firstLineChars="0"/>
    </w:pPr>
    <w:rPr>
      <w:sz w:val="18"/>
    </w:rPr>
  </w:style>
  <w:style w:type="paragraph" w:customStyle="1" w:styleId="210">
    <w:name w:val="标准文件_示例X后"/>
    <w:basedOn w:val="58"/>
    <w:link w:val="211"/>
    <w:qFormat/>
    <w:uiPriority w:val="0"/>
    <w:pPr>
      <w:ind w:left="1049" w:firstLine="0" w:firstLineChars="0"/>
    </w:pPr>
    <w:rPr>
      <w:sz w:val="18"/>
    </w:rPr>
  </w:style>
  <w:style w:type="character" w:customStyle="1" w:styleId="211">
    <w:name w:val="标准文件_示例X后 字符"/>
    <w:basedOn w:val="186"/>
    <w:link w:val="210"/>
    <w:qFormat/>
    <w:uiPriority w:val="0"/>
    <w:rPr>
      <w:rFonts w:ascii="宋体" w:hAnsi="Times New Roman"/>
      <w:sz w:val="18"/>
    </w:rPr>
  </w:style>
  <w:style w:type="paragraph" w:customStyle="1" w:styleId="212">
    <w:name w:val="标准文件_索引项"/>
    <w:basedOn w:val="58"/>
    <w:next w:val="58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3">
    <w:name w:val="标准文件_附录一级无标题"/>
    <w:basedOn w:val="80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二级无标题"/>
    <w:basedOn w:val="81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三级无标题"/>
    <w:basedOn w:val="83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四级无标题"/>
    <w:basedOn w:val="84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五级无标题"/>
    <w:basedOn w:val="86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引言一级无标题"/>
    <w:basedOn w:val="202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9">
    <w:name w:val="标准文件_引言二级无标题"/>
    <w:basedOn w:val="203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三级无标题"/>
    <w:basedOn w:val="204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引言四级无标题"/>
    <w:basedOn w:val="205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2">
    <w:name w:val="标准文件_引言五级无标题"/>
    <w:basedOn w:val="206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3">
    <w:name w:val="标准文件_索引标题"/>
    <w:basedOn w:val="65"/>
    <w:next w:val="58"/>
    <w:qFormat/>
    <w:uiPriority w:val="0"/>
    <w:rPr>
      <w:rFonts w:hAnsi="黑体"/>
    </w:rPr>
  </w:style>
  <w:style w:type="paragraph" w:customStyle="1" w:styleId="224">
    <w:name w:val="标准文件_脚注内容"/>
    <w:basedOn w:val="58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5">
    <w:name w:val="标准文件_术语条一"/>
    <w:basedOn w:val="164"/>
    <w:next w:val="58"/>
    <w:qFormat/>
    <w:uiPriority w:val="0"/>
  </w:style>
  <w:style w:type="paragraph" w:customStyle="1" w:styleId="226">
    <w:name w:val="标准文件_术语条二"/>
    <w:basedOn w:val="167"/>
    <w:next w:val="58"/>
    <w:qFormat/>
    <w:uiPriority w:val="0"/>
  </w:style>
  <w:style w:type="paragraph" w:customStyle="1" w:styleId="227">
    <w:name w:val="标准文件_术语条三"/>
    <w:basedOn w:val="166"/>
    <w:next w:val="58"/>
    <w:qFormat/>
    <w:uiPriority w:val="0"/>
  </w:style>
  <w:style w:type="paragraph" w:customStyle="1" w:styleId="228">
    <w:name w:val="标准文件_术语条四"/>
    <w:basedOn w:val="169"/>
    <w:next w:val="58"/>
    <w:qFormat/>
    <w:uiPriority w:val="0"/>
  </w:style>
  <w:style w:type="paragraph" w:customStyle="1" w:styleId="229">
    <w:name w:val="标准文件_术语条五"/>
    <w:basedOn w:val="165"/>
    <w:next w:val="58"/>
    <w:qFormat/>
    <w:uiPriority w:val="0"/>
  </w:style>
  <w:style w:type="paragraph" w:customStyle="1" w:styleId="2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1">
    <w:name w:val="发布"/>
    <w:basedOn w:val="29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2">
    <w:name w:val="批注文字 字符"/>
    <w:basedOn w:val="29"/>
    <w:link w:val="14"/>
    <w:qFormat/>
    <w:uiPriority w:val="0"/>
    <w:rPr>
      <w:rFonts w:cs="黑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.tiff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F25F9F-BC9D-49FB-93AB-62866BE86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7</Pages>
  <Words>2682</Words>
  <Characters>3325</Characters>
  <Lines>30</Lines>
  <Paragraphs>8</Paragraphs>
  <TotalTime>0</TotalTime>
  <ScaleCrop>false</ScaleCrop>
  <LinksUpToDate>false</LinksUpToDate>
  <CharactersWithSpaces>3502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2023-11-16T09:37:00Z</dcterms:created>
  <dc:creator>11052</dc:creator>
  <dc:description>&lt;config cover="true" show_menu="true" version="1.0.0" doctype="SDKXY"&gt;_x000d_
&lt;/config&gt;</dc:description>
  <cp:lastModifiedBy>tt</cp:lastModifiedBy>
  <cp:lastPrinted>2020-08-30T10:00:00Z</cp:lastPrinted>
  <dcterms:modified xsi:type="dcterms:W3CDTF">2025-02-19T08:16:58Z</dcterms:modified>
  <dc:title>地方标准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2052-11.8.2.11542</vt:lpwstr>
  </property>
  <property fmtid="{D5CDD505-2E9C-101B-9397-08002B2CF9AE}" pid="15" name="ICV">
    <vt:lpwstr>AB25A20B636E44C3AB3D55D8F6DE9AA6_13</vt:lpwstr>
  </property>
</Properties>
</file>