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364" w:type="dxa"/>
        <w:tblInd w:w="0" w:type="dxa"/>
        <w:tblLayout w:type="fixed"/>
        <w:tblCellMar>
          <w:top w:w="0" w:type="dxa"/>
          <w:left w:w="0" w:type="dxa"/>
          <w:bottom w:w="0" w:type="dxa"/>
          <w:right w:w="0" w:type="dxa"/>
        </w:tblCellMar>
      </w:tblPr>
      <w:tblGrid>
        <w:gridCol w:w="509"/>
        <w:gridCol w:w="8855"/>
      </w:tblGrid>
      <w:tr>
        <w:tblPrEx>
          <w:tblLayout w:type="fixed"/>
        </w:tblPrEx>
        <w:tc>
          <w:tcPr>
            <w:tcW w:w="509" w:type="dxa"/>
            <w:noWrap w:val="0"/>
            <w:vAlign w:val="top"/>
          </w:tcPr>
          <w:p>
            <w:pPr>
              <w:pStyle w:val="6"/>
              <w:framePr w:wrap="notBeside" w:vAnchor="page" w:hAnchor="page" w:x="1372" w:y="568"/>
              <w:tabs>
                <w:tab w:val="clear" w:pos="4153"/>
                <w:tab w:val="clear" w:pos="8306"/>
              </w:tabs>
              <w:spacing w:before="40" w:line="240" w:lineRule="auto"/>
              <w:rPr>
                <w:rFonts w:hint="eastAsia" w:ascii="黑体" w:hAnsi="黑体" w:eastAsia="黑体" w:cs="黑体"/>
                <w:bCs/>
                <w:color w:val="000000"/>
                <w:sz w:val="21"/>
                <w:szCs w:val="21"/>
              </w:rPr>
            </w:pPr>
            <w:r>
              <w:rPr>
                <w:rFonts w:hint="eastAsia" w:ascii="黑体" w:hAnsi="黑体" w:eastAsia="黑体" w:cs="黑体"/>
                <w:bCs/>
                <w:color w:val="000000"/>
                <w:sz w:val="21"/>
                <w:szCs w:val="21"/>
              </w:rPr>
              <w:t>ICS</w:t>
            </w:r>
          </w:p>
        </w:tc>
        <w:tc>
          <w:tcPr>
            <w:tcW w:w="8855" w:type="dxa"/>
            <w:noWrap w:val="0"/>
            <w:vAlign w:val="top"/>
          </w:tcPr>
          <w:p>
            <w:pPr>
              <w:pStyle w:val="6"/>
              <w:framePr w:wrap="notBeside" w:vAnchor="page" w:hAnchor="page" w:x="1372" w:y="568"/>
              <w:tabs>
                <w:tab w:val="clear" w:pos="4153"/>
                <w:tab w:val="clear" w:pos="8306"/>
              </w:tabs>
              <w:spacing w:before="40" w:line="240" w:lineRule="auto"/>
              <w:jc w:val="both"/>
              <w:rPr>
                <w:rFonts w:ascii="黑体" w:hAnsi="黑体" w:eastAsia="黑体" w:cs="黑体"/>
                <w:bCs/>
                <w:color w:val="000000"/>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Layout w:type="fixed"/>
          <w:tblCellMar>
            <w:top w:w="0" w:type="dxa"/>
            <w:left w:w="0" w:type="dxa"/>
            <w:bottom w:w="0" w:type="dxa"/>
            <w:right w:w="0" w:type="dxa"/>
          </w:tblCellMar>
        </w:tblPrEx>
        <w:tc>
          <w:tcPr>
            <w:tcW w:w="509" w:type="dxa"/>
            <w:noWrap w:val="0"/>
            <w:vAlign w:val="top"/>
          </w:tcPr>
          <w:p>
            <w:pPr>
              <w:pStyle w:val="6"/>
              <w:framePr w:wrap="notBeside" w:vAnchor="page" w:hAnchor="page" w:x="1372" w:y="568"/>
              <w:tabs>
                <w:tab w:val="clear" w:pos="4153"/>
                <w:tab w:val="clear" w:pos="8306"/>
              </w:tabs>
              <w:spacing w:before="40" w:line="240" w:lineRule="auto"/>
              <w:rPr>
                <w:rFonts w:hint="eastAsia" w:ascii="黑体" w:hAnsi="黑体" w:eastAsia="黑体" w:cs="黑体"/>
                <w:bCs/>
                <w:color w:val="000000"/>
                <w:sz w:val="21"/>
                <w:szCs w:val="21"/>
              </w:rPr>
            </w:pPr>
            <w:r>
              <w:rPr>
                <w:rFonts w:hint="eastAsia" w:ascii="黑体" w:hAnsi="黑体" w:eastAsia="黑体" w:cs="黑体"/>
                <w:bCs/>
                <w:color w:val="000000"/>
                <w:sz w:val="21"/>
                <w:szCs w:val="21"/>
              </w:rPr>
              <w:t xml:space="preserve">CCS </w:t>
            </w:r>
          </w:p>
        </w:tc>
        <w:tc>
          <w:tcPr>
            <w:tcW w:w="8855" w:type="dxa"/>
            <w:noWrap w:val="0"/>
            <w:vAlign w:val="top"/>
          </w:tcPr>
          <w:p>
            <w:pPr>
              <w:pStyle w:val="6"/>
              <w:framePr w:wrap="notBeside" w:vAnchor="page" w:hAnchor="page" w:x="1372" w:y="568"/>
              <w:tabs>
                <w:tab w:val="clear" w:pos="4153"/>
                <w:tab w:val="clear" w:pos="8306"/>
              </w:tabs>
              <w:spacing w:before="40" w:line="240" w:lineRule="auto"/>
              <w:jc w:val="both"/>
              <w:rPr>
                <w:rFonts w:ascii="黑体" w:hAnsi="黑体" w:eastAsia="黑体" w:cs="黑体"/>
                <w:bCs/>
                <w:color w:val="000000"/>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9"/>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noWrap w:val="0"/>
            <w:vAlign w:val="top"/>
          </w:tcPr>
          <w:p>
            <w:pPr>
              <w:pStyle w:val="11"/>
              <w:framePr w:w="0" w:hRule="auto" w:wrap="auto" w:vAnchor="margin" w:hAnchor="text" w:xAlign="left" w:yAlign="inline"/>
              <w:rPr>
                <w:rFonts w:ascii="宋体" w:hAnsi="宋体"/>
                <w:sz w:val="28"/>
                <w:szCs w:val="28"/>
              </w:rPr>
            </w:pPr>
            <w:bookmarkStart w:id="2" w:name="_Hlk26473981"/>
            <w:r>
              <w:drawing>
                <wp:inline distT="0" distB="0" distL="114300" distR="114300">
                  <wp:extent cx="796290" cy="397510"/>
                  <wp:effectExtent l="0" t="0" r="3810" b="889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t>6540</w:t>
            </w:r>
          </w:p>
        </w:tc>
      </w:tr>
      <w:bookmarkEnd w:id="2"/>
    </w:tbl>
    <w:p>
      <w:pPr>
        <w:pStyle w:val="12"/>
        <w:rPr>
          <w:lang w:val="fr-FR"/>
        </w:rPr>
      </w:pPr>
    </w:p>
    <w:p>
      <w:pPr>
        <w:pStyle w:val="12"/>
        <w:jc w:val="center"/>
        <w:rPr>
          <w:rFonts w:hAnsi="黑体"/>
          <w:color w:val="000000"/>
        </w:rPr>
      </w:pPr>
      <w:r>
        <w:rPr>
          <w:rFonts w:hint="eastAsia"/>
          <w:color w:val="000000"/>
          <w:lang w:val="en-US" w:eastAsia="zh-CN"/>
        </w:rPr>
        <w:t xml:space="preserve">                                                </w:t>
      </w:r>
      <w:r>
        <w:rPr>
          <w:color w:val="000000"/>
          <w:lang w:val="fr-FR"/>
        </w:rPr>
        <w:t>DB</w:t>
      </w:r>
      <w:r>
        <w:rPr>
          <w:rFonts w:hint="eastAsia"/>
          <w:color w:val="000000"/>
          <w:lang w:val="en-US" w:eastAsia="zh-CN"/>
        </w:rPr>
        <w:t>6540/T</w:t>
      </w:r>
      <w:r>
        <w:rPr>
          <w:color w:val="000000"/>
        </w:rPr>
        <w:t>-</w:t>
      </w:r>
      <w:r>
        <w:rPr>
          <w:rFonts w:hint="eastAsia" w:hAnsi="黑体"/>
          <w:color w:val="000000"/>
          <w:lang w:val="en-US" w:eastAsia="zh-CN"/>
        </w:rPr>
        <w:t>2024</w:t>
      </w: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2672715</wp:posOffset>
                </wp:positionV>
                <wp:extent cx="5956935" cy="5080"/>
                <wp:effectExtent l="0" t="4445" r="12065" b="9525"/>
                <wp:wrapNone/>
                <wp:docPr id="2" name="直接箭头连接符 2"/>
                <wp:cNvGraphicFramePr/>
                <a:graphic xmlns:a="http://schemas.openxmlformats.org/drawingml/2006/main">
                  <a:graphicData uri="http://schemas.microsoft.com/office/word/2010/wordprocessingShape">
                    <wps:wsp>
                      <wps:cNvCnPr/>
                      <wps:spPr>
                        <a:xfrm>
                          <a:off x="0" y="0"/>
                          <a:ext cx="5956935" cy="508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0.9pt;margin-top:210.45pt;height:0.4pt;width:469.05pt;mso-position-horizontal-relative:page;mso-position-vertical-relative:page;z-index:251659264;mso-width-relative:page;mso-height-relative:page;" filled="f" stroked="t" coordsize="21600,21600" o:allowoverlap="f" o:gfxdata="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y+N7HdgA&#10;AAAMAQAADwAAAAAAAAABACAAAAAiAAAAZHJzL2Rvd25yZXYueG1sUEsBAhQAFAAAAAgAh07iQDST&#10;MSDmAQAAoQMAAA4AAAAAAAAAAQAgAAAAJwEAAGRycy9lMm9Eb2MueG1sUEsFBgAAAAAGAAYAWQEA&#10;AH8FAAAAAA==&#10;">
                <v:fill on="f" focussize="0,0"/>
                <v:stroke color="#000000" joinstyle="round"/>
                <v:imagedata o:title=""/>
                <o:lock v:ext="edit" aspectratio="f"/>
              </v:shape>
            </w:pict>
          </mc:Fallback>
        </mc:AlternateContent>
      </w:r>
    </w:p>
    <w:p>
      <w:pPr>
        <w:pStyle w:val="14"/>
        <w:framePr w:w="9639" w:h="6976" w:hRule="exact" w:hSpace="0" w:vSpace="0" w:vAnchor="text" w:hAnchor="page" w:y="6408"/>
        <w:jc w:val="center"/>
        <w:rPr>
          <w:rFonts w:ascii="黑体" w:hAnsi="黑体" w:eastAsia="黑体"/>
          <w:b w:val="0"/>
          <w:bCs w:val="0"/>
          <w:w w:val="100"/>
        </w:rPr>
      </w:pPr>
    </w:p>
    <w:p>
      <w:pPr>
        <w:keepNext w:val="0"/>
        <w:keepLines w:val="0"/>
        <w:framePr w:w="9639" w:h="6606" w:hRule="exact" w:wrap="around" w:vAnchor="page" w:hAnchor="page" w:x="1321" w:y="6489" w:anchorLock="1"/>
        <w:widowControl/>
        <w:suppressLineNumbers w:val="0"/>
        <w:pBdr>
          <w:top w:val="none" w:color="auto" w:sz="0" w:space="0"/>
          <w:left w:val="none" w:color="auto" w:sz="0" w:space="0"/>
          <w:bottom w:val="none" w:color="auto" w:sz="0" w:space="0"/>
          <w:right w:val="none" w:color="auto" w:sz="0" w:space="0"/>
        </w:pBdr>
        <w:jc w:val="center"/>
        <w:rPr>
          <w:rFonts w:hint="eastAsia" w:ascii="宋体" w:hAnsi="宋体"/>
          <w:b/>
          <w:bCs/>
          <w:spacing w:val="-10"/>
          <w:sz w:val="52"/>
          <w:szCs w:val="52"/>
        </w:rPr>
      </w:pPr>
      <w:r>
        <w:rPr>
          <w:rFonts w:hint="eastAsia" w:ascii="宋体" w:hAnsi="宋体"/>
          <w:b/>
          <w:bCs/>
          <w:spacing w:val="-10"/>
          <w:sz w:val="52"/>
          <w:szCs w:val="52"/>
          <w:lang w:val="en-US" w:eastAsia="zh-CN"/>
        </w:rPr>
        <w:t>伊犁河谷</w:t>
      </w:r>
      <w:r>
        <w:rPr>
          <w:rFonts w:hint="eastAsia" w:ascii="宋体" w:hAnsi="宋体"/>
          <w:b/>
          <w:bCs/>
          <w:spacing w:val="-10"/>
          <w:sz w:val="52"/>
          <w:szCs w:val="52"/>
        </w:rPr>
        <w:t>旱地</w:t>
      </w:r>
      <w:r>
        <w:rPr>
          <w:rFonts w:hint="eastAsia" w:ascii="宋体" w:hAnsi="宋体"/>
          <w:b/>
          <w:bCs/>
          <w:spacing w:val="-10"/>
          <w:sz w:val="52"/>
          <w:szCs w:val="52"/>
          <w:lang w:val="en-US" w:eastAsia="zh-CN"/>
        </w:rPr>
        <w:t>油用亚麻</w:t>
      </w:r>
      <w:r>
        <w:rPr>
          <w:rFonts w:hint="eastAsia" w:ascii="宋体" w:hAnsi="宋体"/>
          <w:b/>
          <w:bCs/>
          <w:spacing w:val="-10"/>
          <w:sz w:val="52"/>
          <w:szCs w:val="52"/>
        </w:rPr>
        <w:t>栽培技术规程</w:t>
      </w:r>
    </w:p>
    <w:p>
      <w:pPr>
        <w:keepNext w:val="0"/>
        <w:keepLines w:val="0"/>
        <w:framePr w:w="9639" w:h="6606" w:hRule="exact" w:wrap="around" w:vAnchor="page" w:hAnchor="page" w:x="1321" w:y="6489" w:anchorLock="1"/>
        <w:widowControl/>
        <w:suppressLineNumbers w:val="0"/>
        <w:pBdr>
          <w:top w:val="none" w:color="auto" w:sz="0" w:space="0"/>
          <w:left w:val="none" w:color="auto" w:sz="0" w:space="0"/>
          <w:bottom w:val="none" w:color="auto" w:sz="0" w:space="0"/>
          <w:right w:val="none" w:color="auto" w:sz="0" w:space="0"/>
        </w:pBdr>
        <w:jc w:val="center"/>
        <w:rPr>
          <w:rFonts w:hint="eastAsia" w:ascii="宋体" w:hAnsi="宋体"/>
          <w:b/>
          <w:bCs/>
          <w:spacing w:val="-10"/>
          <w:sz w:val="52"/>
          <w:szCs w:val="52"/>
        </w:rPr>
      </w:pPr>
    </w:p>
    <w:p>
      <w:pPr>
        <w:framePr w:w="9639" w:h="6606" w:hRule="exact" w:wrap="around" w:vAnchor="page" w:hAnchor="page" w:x="1321" w:y="6489" w:anchorLock="1"/>
        <w:spacing w:line="760" w:lineRule="exact"/>
        <w:ind w:left="-1418"/>
      </w:pPr>
    </w:p>
    <w:p>
      <w:pPr>
        <w:pStyle w:val="16"/>
        <w:framePr w:w="9639" w:h="6606" w:hRule="exact" w:wrap="around" w:vAnchor="page" w:hAnchor="page" w:x="1321" w:y="6489" w:anchorLock="1"/>
        <w:textAlignment w:val="bottom"/>
        <w:rPr>
          <w:rFonts w:eastAsia="黑体"/>
          <w:szCs w:val="28"/>
        </w:rPr>
      </w:pPr>
    </w:p>
    <w:p>
      <w:pPr>
        <w:pStyle w:val="16"/>
        <w:framePr w:w="9639" w:h="6606" w:hRule="exact" w:wrap="around" w:vAnchor="page" w:hAnchor="page" w:x="1321" w:y="6489" w:anchorLock="1"/>
        <w:spacing w:before="180" w:line="240" w:lineRule="atLeast"/>
        <w:textAlignment w:val="bottom"/>
        <w:rPr>
          <w:sz w:val="21"/>
          <w:szCs w:val="28"/>
        </w:rPr>
      </w:pPr>
    </w:p>
    <w:p>
      <w:pPr>
        <w:pStyle w:val="16"/>
        <w:framePr w:w="9639" w:h="6606" w:hRule="exact" w:wrap="around" w:vAnchor="page" w:hAnchor="page" w:x="1321" w:y="6489" w:anchorLock="1"/>
        <w:spacing w:before="720" w:beforeLines="300" w:after="72" w:afterLines="30" w:line="240" w:lineRule="auto"/>
        <w:textAlignment w:val="bottom"/>
        <w:rPr>
          <w:b/>
          <w:sz w:val="21"/>
          <w:szCs w:val="28"/>
        </w:rPr>
      </w:pPr>
    </w:p>
    <w:p>
      <w:pPr>
        <w:pStyle w:val="17"/>
        <w:framePr w:y="14176"/>
        <w:rPr>
          <w:color w:val="000000"/>
        </w:rPr>
      </w:pPr>
      <w:r>
        <w:rPr>
          <w:rFonts w:hint="eastAsia" w:ascii="黑体"/>
          <w:color w:val="000000"/>
        </w:rPr>
        <w:t>202</w:t>
      </w:r>
      <w:r>
        <w:rPr>
          <w:rFonts w:hint="eastAsia" w:ascii="黑体"/>
          <w:color w:val="000000"/>
          <w:lang w:val="en-US" w:eastAsia="zh-CN"/>
        </w:rPr>
        <w:t>4</w:t>
      </w:r>
      <w:r>
        <w:rPr>
          <w:rFonts w:ascii="黑体"/>
          <w:color w:val="000000"/>
        </w:rPr>
        <w:t>-</w:t>
      </w:r>
      <w:r>
        <w:rPr>
          <w:rFonts w:hint="default" w:ascii="黑体"/>
          <w:color w:val="000000"/>
        </w:rPr>
        <w:t>XX</w:t>
      </w:r>
      <w:r>
        <w:rPr>
          <w:rFonts w:ascii="黑体"/>
          <w:color w:val="000000"/>
        </w:rPr>
        <w:t>-</w:t>
      </w:r>
      <w:r>
        <w:rPr>
          <w:rFonts w:hint="default" w:ascii="黑体"/>
          <w:color w:val="000000"/>
        </w:rPr>
        <w:t>XX</w:t>
      </w:r>
      <w:r>
        <w:rPr>
          <w:rFonts w:hint="eastAsia"/>
          <w:color w:val="000000"/>
        </w:rPr>
        <w:t>发布</w:t>
      </w:r>
    </w:p>
    <w:p>
      <w:pPr>
        <w:pStyle w:val="19"/>
        <w:framePr w:y="14176"/>
        <w:rPr>
          <w:color w:val="FF0000"/>
        </w:rPr>
      </w:pPr>
      <w:r>
        <w:rPr>
          <w:rFonts w:hint="eastAsia" w:ascii="黑体"/>
          <w:color w:val="000000"/>
        </w:rPr>
        <w:t>202</w:t>
      </w:r>
      <w:r>
        <w:rPr>
          <w:rFonts w:hint="eastAsia" w:ascii="黑体"/>
          <w:color w:val="000000"/>
          <w:lang w:val="en-US" w:eastAsia="zh-CN"/>
        </w:rPr>
        <w:t>4</w:t>
      </w:r>
      <w:r>
        <w:rPr>
          <w:rFonts w:ascii="黑体"/>
          <w:color w:val="000000"/>
        </w:rPr>
        <w:t>-</w:t>
      </w:r>
      <w:r>
        <w:rPr>
          <w:rFonts w:hint="default" w:ascii="黑体"/>
          <w:color w:val="000000"/>
        </w:rPr>
        <w:t>XX</w:t>
      </w:r>
      <w:r>
        <w:rPr>
          <w:rFonts w:ascii="黑体"/>
          <w:color w:val="000000"/>
        </w:rPr>
        <w:t>-</w:t>
      </w:r>
      <w:r>
        <w:rPr>
          <w:rFonts w:hint="default" w:ascii="黑体"/>
          <w:color w:val="000000"/>
        </w:rPr>
        <w:t>XX</w:t>
      </w:r>
      <w:r>
        <w:rPr>
          <w:rFonts w:hint="eastAsia"/>
          <w:color w:val="000000"/>
        </w:rPr>
        <w:t>实施</w:t>
      </w:r>
    </w:p>
    <w:p>
      <w:pPr>
        <w:pStyle w:val="21"/>
        <w:framePr w:w="8070" w:h="405" w:hRule="exact" w:vAnchor="page" w:hAnchor="page" w:x="2115" w:y="14964"/>
        <w:tabs>
          <w:tab w:val="left" w:pos="6582"/>
        </w:tabs>
        <w:jc w:val="center"/>
        <w:rPr>
          <w:sz w:val="28"/>
          <w:szCs w:val="28"/>
        </w:rPr>
      </w:pPr>
      <w:r>
        <w:rPr>
          <w:rFonts w:hint="eastAsia"/>
          <w:sz w:val="28"/>
          <w:szCs w:val="28"/>
          <w:u w:val="none"/>
          <w:lang w:val="en-US" w:eastAsia="zh-CN"/>
        </w:rPr>
        <w:t>伊犁哈萨克自治州市场监督管理局发布</w:t>
      </w:r>
    </w:p>
    <w:p>
      <w:pPr>
        <w:rPr>
          <w:rFonts w:ascii="宋体" w:hAnsi="宋体"/>
          <w:sz w:val="28"/>
          <w:szCs w:val="28"/>
        </w:rPr>
      </w:pP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338" w:right="1134" w:bottom="1021" w:left="1134" w:header="0" w:footer="0" w:gutter="284"/>
          <w:pgNumType w:fmt="upperRoman" w:start="1"/>
          <w:cols w:space="720" w:num="1"/>
          <w:titlePg/>
          <w:docGrid w:linePitch="312" w:charSpace="0"/>
        </w:sectPr>
      </w:pPr>
      <w:r>
        <w:rPr>
          <w:rFonts w:hint="eastAsia" w:ascii="宋体" w:hAnsi="宋体" w:eastAsia="宋体"/>
          <w:sz w:val="28"/>
          <w:szCs w:val="28"/>
          <w:u w:val="none"/>
          <w:lang w:eastAsia="zh-CN"/>
        </w:rPr>
        <w:pict>
          <v:shape id="_x0000_s2052" o:spid="_x0000_s2052" o:spt="136" type="#_x0000_t136" style="position:absolute;left:0pt;margin-left:-8pt;margin-top:34.2pt;height:20.05pt;width:480.2pt;mso-wrap-distance-bottom:0pt;mso-wrap-distance-left:9pt;mso-wrap-distance-right:9pt;mso-wrap-distance-top:0pt;z-index:251661312;mso-width-relative:page;mso-height-relative:page;" fillcolor="#000000" filled="t" stroked="t" coordsize="21600,21600" adj="10800">
            <v:path/>
            <v:fill on="t" color2="#FFFFFF" focussize="0,0"/>
            <v:stroke weight="0.25pt"/>
            <v:imagedata o:title=""/>
            <o:lock v:ext="edit" aspectratio="f"/>
            <v:textpath on="t" fitshape="t" fitpath="t" trim="t" xscale="f" string="伊犁哈萨克自治州地方标准" style="font-family:宋体;font-size:36pt;v-text-align:center;"/>
            <v:shadow on="t" obscured="0" color="#9999FF" offset="0.000236220472440945pt,0pt" offset2="-2pt,-2pt"/>
            <w10:wrap type="square"/>
          </v:shape>
        </w:pict>
      </w: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szHPvXAAAADgEAAA8AAAAAAAAA&#10;AQAgAAAAIgAAAGRycy9kb3ducmV2LnhtbFBLAQIUABQAAAAIAIdO4kCv87JC2QEAAJYDAAAOAAAA&#10;AAAAAAEAIAAAACYBAABkcnMvZTJvRG9jLnhtbFBLBQYAAAAABgAGAFkBAABxBQAAAAA=&#10;">
                <v:fill on="f" focussize="0,0"/>
                <v:stroke color="#000000" joinstyle="round"/>
                <v:imagedata o:title=""/>
                <o:lock v:ext="edit" aspectratio="f"/>
                <w10:anchorlock/>
              </v:line>
            </w:pict>
          </mc:Fallback>
        </mc:AlternateContent>
      </w:r>
    </w:p>
    <w:p>
      <w:pPr>
        <w:keepNext w:val="0"/>
        <w:keepLines w:val="0"/>
        <w:widowControl/>
        <w:suppressLineNumbers w:val="0"/>
        <w:jc w:val="center"/>
        <w:rPr>
          <w:rFonts w:ascii="黑体" w:hAnsi="宋体" w:eastAsia="黑体" w:cs="黑体"/>
          <w:color w:val="000000"/>
          <w:kern w:val="0"/>
          <w:sz w:val="31"/>
          <w:szCs w:val="31"/>
          <w:lang w:val="en-US" w:eastAsia="zh-CN" w:bidi="ar"/>
        </w:rPr>
      </w:pPr>
      <w:bookmarkStart w:id="4" w:name="_GoBack"/>
      <w:bookmarkEnd w:id="4"/>
      <w:bookmarkStart w:id="3" w:name="muci"/>
      <w:bookmarkEnd w:id="3"/>
      <w:r>
        <w:rPr>
          <w:rFonts w:ascii="黑体" w:hAnsi="宋体" w:eastAsia="黑体" w:cs="黑体"/>
          <w:color w:val="000000"/>
          <w:kern w:val="0"/>
          <w:sz w:val="31"/>
          <w:szCs w:val="31"/>
          <w:lang w:val="en-US" w:eastAsia="zh-CN" w:bidi="ar"/>
        </w:rPr>
        <w:t>前 言</w:t>
      </w:r>
    </w:p>
    <w:p>
      <w:pPr>
        <w:keepNext w:val="0"/>
        <w:keepLines w:val="0"/>
        <w:widowControl/>
        <w:suppressLineNumbers w:val="0"/>
        <w:jc w:val="center"/>
        <w:rPr>
          <w:rFonts w:ascii="黑体" w:hAnsi="宋体" w:eastAsia="黑体" w:cs="黑体"/>
          <w:color w:val="000000"/>
          <w:kern w:val="0"/>
          <w:sz w:val="31"/>
          <w:szCs w:val="31"/>
          <w:lang w:val="en-US" w:eastAsia="zh-CN" w:bidi="ar"/>
        </w:rPr>
      </w:pPr>
    </w:p>
    <w:p>
      <w:pPr>
        <w:pStyle w:val="23"/>
        <w:tabs>
          <w:tab w:val="center" w:pos="4201"/>
          <w:tab w:val="right" w:leader="dot" w:pos="9298"/>
        </w:tabs>
        <w:ind w:left="0" w:leftChars="0" w:firstLine="420" w:firstLineChars="200"/>
        <w:rPr>
          <w:rFonts w:hint="eastAsia" w:ascii="宋体" w:hAnsi="Calibri" w:eastAsia="宋体" w:cs="Times New Roman"/>
          <w:color w:val="000000"/>
          <w:szCs w:val="22"/>
          <w:lang w:val="en-US" w:eastAsia="zh-CN"/>
        </w:rPr>
      </w:pPr>
      <w:r>
        <w:rPr>
          <w:rFonts w:hint="eastAsia" w:ascii="宋体" w:hAnsi="Calibri" w:eastAsia="宋体" w:cs="Times New Roman"/>
          <w:color w:val="000000"/>
          <w:szCs w:val="22"/>
          <w:lang w:val="en-US" w:eastAsia="zh-CN"/>
        </w:rPr>
        <w:t>本规程按照GB/T1.1-20</w:t>
      </w:r>
      <w:r>
        <w:rPr>
          <w:rFonts w:hint="eastAsia" w:hAnsi="Calibri" w:cs="Times New Roman"/>
          <w:color w:val="000000"/>
          <w:szCs w:val="22"/>
          <w:lang w:val="en-US" w:eastAsia="zh-CN"/>
        </w:rPr>
        <w:t>20</w:t>
      </w:r>
      <w:r>
        <w:rPr>
          <w:rFonts w:hint="eastAsia" w:ascii="宋体" w:hAnsi="Calibri" w:eastAsia="宋体" w:cs="Times New Roman"/>
          <w:color w:val="000000"/>
          <w:szCs w:val="22"/>
          <w:lang w:val="en-US" w:eastAsia="zh-CN"/>
        </w:rPr>
        <w:t xml:space="preserve">给出的规则起草。 </w:t>
      </w:r>
    </w:p>
    <w:p>
      <w:pPr>
        <w:pStyle w:val="23"/>
        <w:tabs>
          <w:tab w:val="center" w:pos="4201"/>
          <w:tab w:val="right" w:leader="dot" w:pos="9298"/>
        </w:tabs>
        <w:ind w:left="0" w:leftChars="0" w:firstLine="420" w:firstLineChars="200"/>
        <w:rPr>
          <w:rFonts w:hint="default" w:ascii="宋体" w:hAnsi="Calibri" w:eastAsia="宋体" w:cs="Times New Roman"/>
          <w:color w:val="000000"/>
          <w:szCs w:val="22"/>
          <w:lang w:val="en-US" w:eastAsia="zh-CN"/>
        </w:rPr>
      </w:pPr>
      <w:r>
        <w:rPr>
          <w:rFonts w:hint="eastAsia" w:ascii="宋体" w:hAnsi="Calibri" w:eastAsia="宋体" w:cs="Times New Roman"/>
          <w:color w:val="000000"/>
          <w:szCs w:val="22"/>
          <w:lang w:val="en-US" w:eastAsia="zh-CN"/>
        </w:rPr>
        <w:t>本规程由伊犁州农业科学研究所提出。</w:t>
      </w:r>
    </w:p>
    <w:p>
      <w:pPr>
        <w:pStyle w:val="23"/>
        <w:tabs>
          <w:tab w:val="center" w:pos="4201"/>
          <w:tab w:val="right" w:leader="dot" w:pos="9298"/>
        </w:tabs>
        <w:ind w:left="0" w:leftChars="0" w:firstLine="420" w:firstLineChars="200"/>
        <w:rPr>
          <w:rFonts w:hint="eastAsia" w:ascii="宋体" w:hAnsi="Calibri" w:eastAsia="宋体" w:cs="Times New Roman"/>
          <w:color w:val="000000"/>
          <w:szCs w:val="22"/>
          <w:lang w:val="en-US" w:eastAsia="zh-CN"/>
        </w:rPr>
      </w:pPr>
      <w:r>
        <w:rPr>
          <w:rFonts w:hint="eastAsia" w:ascii="宋体" w:hAnsi="Calibri" w:eastAsia="宋体" w:cs="Times New Roman"/>
          <w:color w:val="000000"/>
          <w:szCs w:val="22"/>
          <w:lang w:val="en-US" w:eastAsia="zh-CN"/>
        </w:rPr>
        <w:t xml:space="preserve">本规程由伊犁州农业标准化技术委员会归口。 </w:t>
      </w:r>
    </w:p>
    <w:p>
      <w:pPr>
        <w:pStyle w:val="23"/>
        <w:tabs>
          <w:tab w:val="center" w:pos="4201"/>
          <w:tab w:val="right" w:leader="dot" w:pos="9298"/>
        </w:tabs>
        <w:ind w:left="0" w:leftChars="0" w:firstLine="420" w:firstLineChars="200"/>
        <w:rPr>
          <w:rFonts w:hint="eastAsia" w:ascii="宋体" w:hAnsi="Calibri" w:eastAsia="宋体" w:cs="Times New Roman"/>
          <w:color w:val="000000"/>
          <w:szCs w:val="22"/>
          <w:lang w:val="en-US" w:eastAsia="zh-CN"/>
        </w:rPr>
      </w:pPr>
      <w:r>
        <w:rPr>
          <w:rFonts w:hint="eastAsia" w:ascii="宋体" w:hAnsi="Calibri" w:eastAsia="宋体" w:cs="Times New Roman"/>
          <w:color w:val="000000"/>
          <w:szCs w:val="22"/>
          <w:lang w:val="en-US" w:eastAsia="zh-CN"/>
        </w:rPr>
        <w:t xml:space="preserve">本规程起草单位：伊犁州农业科学研究所。 </w:t>
      </w:r>
    </w:p>
    <w:p>
      <w:pPr>
        <w:pStyle w:val="23"/>
        <w:tabs>
          <w:tab w:val="center" w:pos="4201"/>
          <w:tab w:val="right" w:leader="dot" w:pos="9298"/>
        </w:tabs>
        <w:ind w:left="0" w:leftChars="0" w:firstLine="420" w:firstLineChars="200"/>
        <w:rPr>
          <w:rFonts w:hint="default" w:ascii="宋体" w:hAnsi="Calibri" w:eastAsia="宋体" w:cs="Times New Roman"/>
          <w:color w:val="000000"/>
          <w:szCs w:val="22"/>
          <w:lang w:val="en-US" w:eastAsia="zh-CN"/>
        </w:rPr>
      </w:pPr>
      <w:r>
        <w:rPr>
          <w:rFonts w:hint="eastAsia" w:ascii="宋体" w:hAnsi="Calibri" w:eastAsia="宋体" w:cs="Times New Roman"/>
          <w:color w:val="000000"/>
          <w:szCs w:val="22"/>
          <w:lang w:val="en-US" w:eastAsia="zh-CN"/>
        </w:rPr>
        <w:t>本规程主要起草人：哈尼帕·哈再斯，</w:t>
      </w:r>
      <w:r>
        <w:rPr>
          <w:rFonts w:hint="eastAsia" w:hAnsi="Calibri" w:cs="Times New Roman"/>
          <w:color w:val="000000"/>
          <w:szCs w:val="22"/>
          <w:lang w:val="en-US" w:eastAsia="zh-CN"/>
        </w:rPr>
        <w:t>崔新菊、</w:t>
      </w:r>
      <w:r>
        <w:rPr>
          <w:rFonts w:hint="eastAsia" w:ascii="宋体" w:hAnsi="Calibri" w:eastAsia="宋体" w:cs="Times New Roman"/>
          <w:color w:val="000000"/>
          <w:szCs w:val="22"/>
          <w:lang w:val="en-US" w:eastAsia="zh-CN"/>
        </w:rPr>
        <w:t>张正，阿里别里根·哈孜太</w:t>
      </w:r>
      <w:r>
        <w:rPr>
          <w:rFonts w:hint="eastAsia" w:hAnsi="Calibri" w:cs="Times New Roman"/>
          <w:color w:val="000000"/>
          <w:szCs w:val="22"/>
          <w:lang w:val="en-US" w:eastAsia="zh-CN"/>
        </w:rPr>
        <w:t>，</w:t>
      </w:r>
      <w:r>
        <w:rPr>
          <w:rFonts w:hint="eastAsia" w:ascii="宋体" w:hAnsi="Calibri" w:eastAsia="宋体" w:cs="Times New Roman"/>
          <w:color w:val="000000"/>
          <w:szCs w:val="22"/>
          <w:lang w:val="en-US" w:eastAsia="zh-CN"/>
        </w:rPr>
        <w:t>祖勒胡玛尔·乌斯满江，守合热提·牙地卡尔</w:t>
      </w:r>
      <w:r>
        <w:rPr>
          <w:rFonts w:hint="eastAsia" w:hAnsi="Calibri" w:cs="Times New Roman"/>
          <w:color w:val="000000"/>
          <w:szCs w:val="22"/>
          <w:lang w:val="en-US" w:eastAsia="zh-CN"/>
        </w:rPr>
        <w:t>，朱增芳、邹乔生、李丹丹。</w:t>
      </w:r>
    </w:p>
    <w:p>
      <w:pPr>
        <w:pStyle w:val="23"/>
        <w:tabs>
          <w:tab w:val="center" w:pos="4201"/>
          <w:tab w:val="right" w:leader="dot" w:pos="9298"/>
        </w:tabs>
        <w:ind w:left="0" w:leftChars="0" w:firstLine="420" w:firstLineChars="200"/>
        <w:rPr>
          <w:rFonts w:hint="eastAsia" w:ascii="宋体" w:hAnsi="Calibri" w:eastAsia="宋体" w:cs="Times New Roman"/>
          <w:color w:val="000000"/>
          <w:szCs w:val="22"/>
          <w:lang w:val="en-US" w:eastAsia="zh-CN"/>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keepNext w:val="0"/>
        <w:keepLines w:val="0"/>
        <w:widowControl/>
        <w:suppressLineNumbers w:val="0"/>
        <w:jc w:val="left"/>
        <w:rPr>
          <w:rFonts w:hint="default" w:ascii="宋体" w:hAnsi="宋体" w:eastAsia="宋体" w:cs="宋体"/>
          <w:color w:val="000000"/>
          <w:kern w:val="0"/>
          <w:sz w:val="21"/>
          <w:szCs w:val="21"/>
          <w:lang w:val="en-US" w:eastAsia="zh-CN" w:bidi="ar"/>
        </w:rPr>
      </w:pP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723" w:firstLineChars="200"/>
        <w:jc w:val="center"/>
        <w:textAlignment w:val="auto"/>
        <w:rPr>
          <w:b/>
          <w:bCs/>
          <w:sz w:val="36"/>
          <w:szCs w:val="36"/>
        </w:rPr>
      </w:pPr>
      <w:r>
        <w:rPr>
          <w:rFonts w:hint="eastAsia"/>
          <w:b/>
          <w:bCs/>
          <w:sz w:val="36"/>
          <w:szCs w:val="36"/>
          <w:lang w:val="en-US" w:eastAsia="zh-CN"/>
        </w:rPr>
        <w:t>伊犁河谷</w:t>
      </w:r>
      <w:r>
        <w:rPr>
          <w:b/>
          <w:bCs/>
          <w:sz w:val="36"/>
          <w:szCs w:val="36"/>
        </w:rPr>
        <w:t>旱地</w:t>
      </w:r>
      <w:r>
        <w:rPr>
          <w:rFonts w:hint="eastAsia"/>
          <w:b/>
          <w:bCs/>
          <w:sz w:val="36"/>
          <w:szCs w:val="36"/>
          <w:lang w:val="en-US" w:eastAsia="zh-CN"/>
        </w:rPr>
        <w:t>油用亚麻</w:t>
      </w:r>
      <w:r>
        <w:rPr>
          <w:b/>
          <w:bCs/>
          <w:sz w:val="36"/>
          <w:szCs w:val="36"/>
        </w:rPr>
        <w:t>栽培技术规程</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1范围</w:t>
      </w:r>
    </w:p>
    <w:p>
      <w:pPr>
        <w:numPr>
          <w:ilvl w:val="0"/>
          <w:numId w:val="0"/>
        </w:numPr>
        <w:ind w:firstLine="420" w:firstLineChars="200"/>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本文件规定了</w:t>
      </w:r>
      <w:r>
        <w:rPr>
          <w:rFonts w:hint="eastAsia" w:ascii="Times New Roman" w:hAnsi="Times New Roman" w:eastAsia="宋体" w:cs="宋体"/>
          <w:color w:val="000000"/>
          <w:szCs w:val="21"/>
          <w:lang w:val="en-US" w:eastAsia="zh-CN" w:bidi="ar"/>
        </w:rPr>
        <w:t>油用亚麻</w:t>
      </w:r>
      <w:r>
        <w:rPr>
          <w:rFonts w:hint="default" w:ascii="Times New Roman" w:hAnsi="Times New Roman" w:eastAsia="宋体" w:cs="宋体"/>
          <w:color w:val="000000"/>
          <w:szCs w:val="21"/>
          <w:lang w:val="en-US" w:eastAsia="zh-CN" w:bidi="ar"/>
        </w:rPr>
        <w:t>栽培的选地、轮作倒茬</w:t>
      </w:r>
      <w:r>
        <w:rPr>
          <w:rFonts w:hint="eastAsia" w:ascii="Times New Roman" w:hAnsi="Times New Roman" w:eastAsia="宋体" w:cs="宋体"/>
          <w:color w:val="000000"/>
          <w:szCs w:val="21"/>
          <w:lang w:val="en-US" w:eastAsia="zh-CN" w:bidi="ar"/>
        </w:rPr>
        <w:t>、</w:t>
      </w:r>
      <w:r>
        <w:rPr>
          <w:rFonts w:hint="default" w:ascii="Times New Roman" w:hAnsi="Times New Roman" w:eastAsia="宋体" w:cs="宋体"/>
          <w:color w:val="000000"/>
          <w:szCs w:val="21"/>
          <w:lang w:val="en-US" w:eastAsia="zh-CN" w:bidi="ar"/>
        </w:rPr>
        <w:t>播前准备、施肥、播种、田间管理、适时收获等技术规范。</w:t>
      </w:r>
    </w:p>
    <w:p>
      <w:pPr>
        <w:numPr>
          <w:ilvl w:val="0"/>
          <w:numId w:val="0"/>
        </w:numPr>
        <w:ind w:firstLine="420" w:firstLineChars="200"/>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本文件适用于</w:t>
      </w:r>
      <w:r>
        <w:rPr>
          <w:rFonts w:hint="eastAsia" w:ascii="Times New Roman" w:hAnsi="Times New Roman" w:eastAsia="宋体" w:cs="宋体"/>
          <w:color w:val="000000"/>
          <w:szCs w:val="21"/>
          <w:lang w:val="en-US" w:eastAsia="zh-CN" w:bidi="ar"/>
        </w:rPr>
        <w:t>伊犁河谷油用亚麻</w:t>
      </w:r>
      <w:r>
        <w:rPr>
          <w:rFonts w:hint="default" w:ascii="Times New Roman" w:hAnsi="Times New Roman" w:eastAsia="宋体" w:cs="宋体"/>
          <w:color w:val="000000"/>
          <w:szCs w:val="21"/>
          <w:lang w:val="en-US" w:eastAsia="zh-CN" w:bidi="ar"/>
        </w:rPr>
        <w:t>种植区。</w:t>
      </w:r>
    </w:p>
    <w:p>
      <w:pPr>
        <w:pStyle w:val="26"/>
        <w:numPr>
          <w:ilvl w:val="0"/>
          <w:numId w:val="0"/>
        </w:numPr>
        <w:spacing w:before="312" w:beforeLines="100" w:after="312" w:afterLines="100"/>
        <w:ind w:firstLine="420" w:firstLineChars="200"/>
        <w:outlineLvl w:val="0"/>
        <w:rPr>
          <w:rFonts w:hAnsi="黑体" w:cs="黑体"/>
          <w:szCs w:val="21"/>
        </w:rPr>
      </w:pPr>
      <w:r>
        <w:rPr>
          <w:rFonts w:hint="eastAsia" w:hAnsi="黑体" w:cs="黑体"/>
          <w:szCs w:val="21"/>
        </w:rPr>
        <w:t>2 规范性应用文件</w:t>
      </w:r>
    </w:p>
    <w:p>
      <w:pPr>
        <w:pStyle w:val="23"/>
        <w:rPr>
          <w:rFonts w:hint="eastAsia" w:ascii="Times New Roman"/>
        </w:rPr>
      </w:pPr>
      <w:r>
        <w:rPr>
          <w:rFonts w:hint="eastAsia" w:ascii="Times New Roman"/>
        </w:rPr>
        <w:t>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pPr>
        <w:adjustRightInd w:val="0"/>
        <w:ind w:firstLine="420" w:firstLineChars="200"/>
        <w:rPr>
          <w:rFonts w:hint="eastAsia" w:ascii="Times New Roman" w:hAnsi="Times New Roman" w:eastAsia="宋体" w:cs="宋体"/>
          <w:color w:val="000000"/>
          <w:szCs w:val="21"/>
          <w:lang w:bidi="ar"/>
        </w:rPr>
      </w:pPr>
      <w:r>
        <w:rPr>
          <w:rFonts w:hint="eastAsia" w:ascii="Times New Roman" w:hAnsi="Times New Roman" w:eastAsia="宋体" w:cs="宋体"/>
          <w:color w:val="000000"/>
          <w:szCs w:val="21"/>
          <w:lang w:bidi="ar"/>
        </w:rPr>
        <w:t>GB /T 3543.3  农作物种子检验规程 净度分析标准</w:t>
      </w:r>
    </w:p>
    <w:p>
      <w:pPr>
        <w:pStyle w:val="23"/>
        <w:rPr>
          <w:rFonts w:hint="eastAsia" w:ascii="Times New Roman"/>
        </w:rPr>
      </w:pPr>
      <w:r>
        <w:rPr>
          <w:rFonts w:hint="default" w:ascii="Times New Roman"/>
          <w:lang w:val="en-US" w:eastAsia="zh-CN"/>
        </w:rPr>
        <w:t>GB4407.1--2008</w:t>
      </w:r>
      <w:r>
        <w:rPr>
          <w:rFonts w:hint="eastAsia" w:ascii="Times New Roman"/>
          <w:lang w:val="en-US" w:eastAsia="zh-CN"/>
        </w:rPr>
        <w:t xml:space="preserve">  </w:t>
      </w:r>
      <w:r>
        <w:rPr>
          <w:rFonts w:hint="eastAsia" w:ascii="Times New Roman"/>
        </w:rPr>
        <w:t>经济作物种子</w:t>
      </w:r>
    </w:p>
    <w:p>
      <w:pPr>
        <w:adjustRightInd w:val="0"/>
        <w:ind w:firstLine="420" w:firstLineChars="200"/>
        <w:rPr>
          <w:rFonts w:hint="eastAsia" w:ascii="Times New Roman"/>
        </w:rPr>
      </w:pPr>
      <w:r>
        <w:rPr>
          <w:rFonts w:hint="eastAsia" w:ascii="Times New Roman" w:hAnsi="Times New Roman" w:eastAsia="宋体" w:cs="宋体"/>
          <w:color w:val="000000"/>
          <w:szCs w:val="21"/>
          <w:lang w:bidi="ar"/>
        </w:rPr>
        <w:t>GB/T 8321   农药合理使用准则</w:t>
      </w:r>
    </w:p>
    <w:p>
      <w:pPr>
        <w:adjustRightInd w:val="0"/>
        <w:ind w:firstLine="420" w:firstLineChars="200"/>
        <w:rPr>
          <w:rFonts w:ascii="Times New Roman" w:hAnsi="Times New Roman" w:eastAsia="宋体" w:cs="宋体"/>
          <w:color w:val="000000"/>
          <w:szCs w:val="21"/>
          <w:lang w:bidi="ar"/>
        </w:rPr>
      </w:pPr>
      <w:r>
        <w:rPr>
          <w:rFonts w:hint="eastAsia" w:ascii="Times New Roman" w:hAnsi="Times New Roman" w:eastAsia="宋体" w:cs="宋体"/>
          <w:color w:val="000000"/>
          <w:szCs w:val="21"/>
          <w:lang w:bidi="ar"/>
        </w:rPr>
        <w:t>NY/T 496    肥料合理使用准则  通则</w:t>
      </w:r>
    </w:p>
    <w:p>
      <w:pPr>
        <w:adjustRightInd w:val="0"/>
        <w:ind w:firstLine="420" w:firstLineChars="200"/>
        <w:rPr>
          <w:rFonts w:hint="eastAsia" w:ascii="Times New Roman"/>
        </w:rPr>
      </w:pPr>
      <w:r>
        <w:rPr>
          <w:rFonts w:hint="eastAsia" w:ascii="Times New Roman" w:hAnsi="Times New Roman" w:eastAsia="宋体" w:cs="宋体"/>
          <w:color w:val="000000"/>
          <w:szCs w:val="21"/>
          <w:lang w:bidi="ar"/>
        </w:rPr>
        <w:t>NY/T 1267   农药安全使用规范总则</w:t>
      </w:r>
    </w:p>
    <w:p>
      <w:pPr>
        <w:pStyle w:val="26"/>
        <w:numPr>
          <w:ilvl w:val="0"/>
          <w:numId w:val="0"/>
        </w:numPr>
        <w:spacing w:before="312" w:beforeLines="100" w:after="312" w:afterLines="100"/>
        <w:ind w:firstLine="420" w:firstLineChars="200"/>
        <w:outlineLvl w:val="0"/>
      </w:pPr>
      <w:r>
        <w:rPr>
          <w:rFonts w:hint="eastAsia" w:hAnsi="黑体" w:cs="黑体"/>
          <w:szCs w:val="21"/>
        </w:rPr>
        <w:t>3</w:t>
      </w:r>
      <w:r>
        <w:rPr>
          <w:rFonts w:hAnsi="黑体" w:cs="黑体"/>
          <w:szCs w:val="21"/>
        </w:rPr>
        <w:t>术语与定义</w:t>
      </w:r>
    </w:p>
    <w:p>
      <w:pPr>
        <w:keepNext w:val="0"/>
        <w:keepLines w:val="0"/>
        <w:widowControl/>
        <w:suppressLineNumbers w:val="0"/>
        <w:ind w:firstLine="420" w:firstLineChars="200"/>
        <w:jc w:val="left"/>
        <w:rPr>
          <w:rFonts w:hint="default" w:ascii="Times New Roman" w:hAnsi="Times New Roman" w:eastAsia="宋体" w:cs="宋体"/>
          <w:color w:val="000000"/>
          <w:szCs w:val="21"/>
          <w:lang w:val="en-US" w:bidi="ar"/>
        </w:rPr>
      </w:pPr>
      <w:r>
        <w:rPr>
          <w:rFonts w:hint="eastAsia" w:ascii="宋体" w:hAnsi="宋体" w:eastAsia="宋体" w:cs="宋体"/>
          <w:color w:val="000000"/>
          <w:kern w:val="0"/>
          <w:sz w:val="21"/>
          <w:szCs w:val="21"/>
          <w:lang w:val="en-US" w:eastAsia="zh-CN" w:bidi="ar"/>
        </w:rPr>
        <w:t xml:space="preserve">本文件没有需要界定的术语和定义。 </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4选地</w:t>
      </w:r>
    </w:p>
    <w:p>
      <w:pPr>
        <w:numPr>
          <w:ilvl w:val="0"/>
          <w:numId w:val="0"/>
        </w:numPr>
        <w:ind w:firstLine="420" w:firstLineChars="200"/>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选用</w:t>
      </w:r>
      <w:r>
        <w:rPr>
          <w:rFonts w:hint="eastAsia" w:ascii="Times New Roman" w:hAnsi="Times New Roman" w:eastAsia="宋体" w:cs="宋体"/>
          <w:color w:val="000000"/>
          <w:szCs w:val="21"/>
          <w:lang w:val="en-US" w:eastAsia="zh-CN" w:bidi="ar"/>
        </w:rPr>
        <w:t>伊犁河谷</w:t>
      </w:r>
      <w:r>
        <w:rPr>
          <w:rFonts w:hint="default" w:ascii="Times New Roman" w:hAnsi="Times New Roman" w:eastAsia="宋体" w:cs="宋体"/>
          <w:color w:val="000000"/>
          <w:szCs w:val="21"/>
          <w:lang w:val="en-US" w:eastAsia="zh-CN" w:bidi="ar"/>
        </w:rPr>
        <w:t>旱</w:t>
      </w:r>
      <w:r>
        <w:rPr>
          <w:rFonts w:hint="eastAsia" w:ascii="Times New Roman" w:hAnsi="Times New Roman" w:eastAsia="宋体" w:cs="宋体"/>
          <w:color w:val="000000"/>
          <w:szCs w:val="21"/>
          <w:lang w:val="en-US" w:eastAsia="zh-CN" w:bidi="ar"/>
        </w:rPr>
        <w:t>田</w:t>
      </w:r>
      <w:r>
        <w:rPr>
          <w:rFonts w:hint="default" w:ascii="Times New Roman" w:hAnsi="Times New Roman" w:eastAsia="宋体" w:cs="宋体"/>
          <w:color w:val="000000"/>
          <w:szCs w:val="21"/>
          <w:lang w:val="en-US" w:eastAsia="zh-CN" w:bidi="ar"/>
        </w:rPr>
        <w:t>和旱坡地。</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5轮作倒茬</w:t>
      </w:r>
    </w:p>
    <w:p>
      <w:pPr>
        <w:numPr>
          <w:ilvl w:val="0"/>
          <w:numId w:val="0"/>
        </w:numPr>
        <w:ind w:firstLine="420" w:firstLineChars="200"/>
        <w:rPr>
          <w:rFonts w:hint="default" w:ascii="Times New Roman" w:hAnsi="Times New Roman" w:eastAsia="宋体" w:cs="宋体"/>
          <w:color w:val="000000"/>
          <w:szCs w:val="21"/>
          <w:lang w:val="en-US" w:eastAsia="zh-CN" w:bidi="ar"/>
        </w:rPr>
      </w:pPr>
      <w:r>
        <w:rPr>
          <w:rFonts w:hint="eastAsia" w:ascii="Times New Roman" w:hAnsi="Times New Roman" w:eastAsia="宋体" w:cs="宋体"/>
          <w:color w:val="000000"/>
          <w:szCs w:val="21"/>
          <w:lang w:val="en-US" w:eastAsia="zh-CN" w:bidi="ar"/>
        </w:rPr>
        <w:t>油用亚麻</w:t>
      </w:r>
      <w:r>
        <w:rPr>
          <w:rFonts w:hint="default" w:ascii="Times New Roman" w:hAnsi="Times New Roman" w:eastAsia="宋体" w:cs="宋体"/>
          <w:color w:val="000000"/>
          <w:szCs w:val="21"/>
          <w:lang w:val="en-US" w:eastAsia="zh-CN" w:bidi="ar"/>
        </w:rPr>
        <w:t>不宜重茬和迎茬种植，要进行三年以上轮作倒茬。选择</w:t>
      </w:r>
      <w:r>
        <w:rPr>
          <w:rFonts w:hint="eastAsia" w:ascii="Times New Roman" w:hAnsi="Times New Roman" w:eastAsia="宋体" w:cs="宋体"/>
          <w:color w:val="000000"/>
          <w:szCs w:val="21"/>
          <w:lang w:val="en-US" w:eastAsia="zh-CN" w:bidi="ar"/>
        </w:rPr>
        <w:t>春麦、红花</w:t>
      </w:r>
      <w:r>
        <w:rPr>
          <w:rFonts w:hint="default" w:ascii="Times New Roman" w:hAnsi="Times New Roman" w:eastAsia="宋体" w:cs="宋体"/>
          <w:color w:val="000000"/>
          <w:szCs w:val="21"/>
          <w:lang w:val="en-US" w:eastAsia="zh-CN" w:bidi="ar"/>
        </w:rPr>
        <w:t>进行轮作倒茬。</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6播前准备</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6.1品种选择</w:t>
      </w:r>
    </w:p>
    <w:p>
      <w:pPr>
        <w:numPr>
          <w:ilvl w:val="0"/>
          <w:numId w:val="0"/>
        </w:numPr>
        <w:ind w:firstLine="420" w:firstLineChars="200"/>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选用通过鉴定</w:t>
      </w:r>
      <w:r>
        <w:rPr>
          <w:rFonts w:hint="eastAsia" w:ascii="Times New Roman" w:hAnsi="Times New Roman" w:eastAsia="宋体" w:cs="宋体"/>
          <w:color w:val="000000"/>
          <w:szCs w:val="21"/>
          <w:lang w:val="en-US" w:eastAsia="zh-CN" w:bidi="ar"/>
        </w:rPr>
        <w:t>（</w:t>
      </w:r>
      <w:r>
        <w:rPr>
          <w:rFonts w:hint="default" w:ascii="Times New Roman" w:hAnsi="Times New Roman" w:eastAsia="宋体" w:cs="宋体"/>
          <w:color w:val="000000"/>
          <w:szCs w:val="21"/>
          <w:lang w:val="en-US" w:eastAsia="zh-CN" w:bidi="ar"/>
        </w:rPr>
        <w:t>审定、评价</w:t>
      </w:r>
      <w:r>
        <w:rPr>
          <w:rFonts w:hint="eastAsia" w:ascii="Times New Roman" w:hAnsi="Times New Roman" w:eastAsia="宋体" w:cs="宋体"/>
          <w:color w:val="000000"/>
          <w:szCs w:val="21"/>
          <w:lang w:val="en-US" w:eastAsia="zh-CN" w:bidi="ar"/>
        </w:rPr>
        <w:t>）</w:t>
      </w:r>
      <w:r>
        <w:rPr>
          <w:rFonts w:hint="default" w:ascii="Times New Roman" w:hAnsi="Times New Roman" w:eastAsia="宋体" w:cs="宋体"/>
          <w:color w:val="000000"/>
          <w:szCs w:val="21"/>
          <w:lang w:val="en-US" w:eastAsia="zh-CN" w:bidi="ar"/>
        </w:rPr>
        <w:t>的高产、优质、综合抗性好的</w:t>
      </w:r>
      <w:r>
        <w:rPr>
          <w:rFonts w:hint="eastAsia" w:ascii="Times New Roman" w:hAnsi="Times New Roman" w:eastAsia="宋体" w:cs="宋体"/>
          <w:color w:val="000000"/>
          <w:szCs w:val="21"/>
          <w:lang w:val="en-US" w:eastAsia="zh-CN" w:bidi="ar"/>
        </w:rPr>
        <w:t>油用亚麻</w:t>
      </w:r>
      <w:r>
        <w:rPr>
          <w:rFonts w:hint="default" w:ascii="Times New Roman" w:hAnsi="Times New Roman" w:eastAsia="宋体" w:cs="宋体"/>
          <w:color w:val="000000"/>
          <w:szCs w:val="21"/>
          <w:lang w:val="en-US" w:eastAsia="zh-CN" w:bidi="ar"/>
        </w:rPr>
        <w:t>品种。选择</w:t>
      </w:r>
      <w:r>
        <w:rPr>
          <w:rFonts w:hint="eastAsia" w:ascii="Times New Roman" w:hAnsi="Times New Roman" w:eastAsia="宋体" w:cs="宋体"/>
          <w:color w:val="000000"/>
          <w:szCs w:val="21"/>
          <w:lang w:val="en-US" w:eastAsia="zh-CN" w:bidi="ar"/>
        </w:rPr>
        <w:t>伊亚3号、伊亚4号、伊亚6号，陇亚13号，坝亚3号等品种</w:t>
      </w:r>
      <w:r>
        <w:rPr>
          <w:rFonts w:hint="default" w:ascii="Times New Roman" w:hAnsi="Times New Roman" w:eastAsia="宋体" w:cs="宋体"/>
          <w:color w:val="000000"/>
          <w:szCs w:val="21"/>
          <w:lang w:val="en-US" w:eastAsia="zh-CN" w:bidi="ar"/>
        </w:rPr>
        <w:t>。</w:t>
      </w:r>
    </w:p>
    <w:p>
      <w:pPr>
        <w:numPr>
          <w:ilvl w:val="0"/>
          <w:numId w:val="0"/>
        </w:numPr>
        <w:ind w:firstLine="420" w:firstLineChars="200"/>
        <w:rPr>
          <w:rFonts w:hint="eastAsia"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种子质量应符合GB4407.1--2008</w:t>
      </w:r>
      <w:r>
        <w:rPr>
          <w:rFonts w:hint="eastAsia" w:ascii="Times New Roman" w:hAnsi="Times New Roman" w:eastAsia="宋体" w:cs="宋体"/>
          <w:color w:val="000000"/>
          <w:szCs w:val="21"/>
          <w:lang w:val="en-US" w:eastAsia="zh-CN" w:bidi="ar"/>
        </w:rPr>
        <w:t>和</w:t>
      </w:r>
      <w:r>
        <w:rPr>
          <w:rFonts w:ascii="Times New Roman" w:hAnsi="Times New Roman" w:eastAsia="宋体" w:cs="宋体"/>
          <w:color w:val="000000"/>
          <w:szCs w:val="21"/>
          <w:lang w:bidi="ar"/>
        </w:rPr>
        <w:t>GB /T 354</w:t>
      </w:r>
      <w:r>
        <w:rPr>
          <w:rFonts w:hint="eastAsia" w:ascii="Times New Roman" w:hAnsi="Times New Roman" w:eastAsia="宋体" w:cs="宋体"/>
          <w:color w:val="000000"/>
          <w:szCs w:val="21"/>
          <w:lang w:bidi="ar"/>
        </w:rPr>
        <w:t>3.</w:t>
      </w:r>
      <w:r>
        <w:rPr>
          <w:rFonts w:ascii="Times New Roman" w:hAnsi="Times New Roman" w:eastAsia="宋体" w:cs="宋体"/>
          <w:color w:val="000000"/>
          <w:szCs w:val="21"/>
          <w:lang w:bidi="ar"/>
        </w:rPr>
        <w:t>3</w:t>
      </w:r>
      <w:r>
        <w:rPr>
          <w:rFonts w:hint="eastAsia" w:ascii="Times New Roman" w:hAnsi="Times New Roman" w:eastAsia="宋体" w:cs="宋体"/>
          <w:color w:val="000000"/>
          <w:szCs w:val="21"/>
          <w:lang w:bidi="ar"/>
        </w:rPr>
        <w:t xml:space="preserve"> </w:t>
      </w:r>
      <w:r>
        <w:rPr>
          <w:rFonts w:hint="eastAsia" w:ascii="Times New Roman" w:hAnsi="Times New Roman" w:eastAsia="宋体" w:cs="宋体"/>
          <w:color w:val="000000"/>
          <w:szCs w:val="21"/>
          <w:lang w:eastAsia="zh-CN" w:bidi="ar"/>
        </w:rPr>
        <w:t>。</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Times New Roman" w:hAnsi="Times New Roman" w:eastAsia="宋体" w:cs="宋体"/>
          <w:color w:val="000000"/>
          <w:kern w:val="2"/>
          <w:sz w:val="21"/>
          <w:szCs w:val="21"/>
          <w:lang w:val="en-US" w:eastAsia="zh-CN" w:bidi="ar"/>
        </w:rPr>
      </w:pPr>
      <w:r>
        <w:rPr>
          <w:rFonts w:hint="eastAsia" w:ascii="黑体" w:hAnsi="黑体" w:eastAsia="黑体" w:cs="黑体"/>
          <w:kern w:val="0"/>
          <w:sz w:val="21"/>
          <w:szCs w:val="21"/>
          <w:lang w:val="en-US" w:eastAsia="zh-CN" w:bidi="ar-SA"/>
        </w:rPr>
        <w:t>6.2整地</w:t>
      </w:r>
    </w:p>
    <w:p>
      <w:pPr>
        <w:numPr>
          <w:ilvl w:val="0"/>
          <w:numId w:val="0"/>
        </w:numPr>
        <w:ind w:firstLine="420" w:firstLineChars="200"/>
        <w:rPr>
          <w:rFonts w:hint="eastAsia" w:ascii="Times New Roman" w:hAnsi="Times New Roman" w:eastAsia="宋体" w:cs="宋体"/>
          <w:color w:val="000000"/>
          <w:szCs w:val="21"/>
          <w:lang w:val="en-US" w:eastAsia="zh-CN" w:bidi="ar"/>
        </w:rPr>
      </w:pPr>
      <w:r>
        <w:rPr>
          <w:rFonts w:hint="default" w:ascii="Times New Roman" w:hAnsi="Times New Roman" w:eastAsia="宋体" w:cs="宋体"/>
          <w:color w:val="000000"/>
          <w:kern w:val="2"/>
          <w:sz w:val="21"/>
          <w:szCs w:val="21"/>
          <w:lang w:val="en-US" w:eastAsia="zh-CN" w:bidi="ar"/>
        </w:rPr>
        <w:t>秋季或早春土壤解冻后深耕25cm以</w:t>
      </w:r>
      <w:r>
        <w:rPr>
          <w:rFonts w:hint="default" w:ascii="Times New Roman" w:hAnsi="Times New Roman" w:eastAsia="宋体" w:cs="宋体"/>
          <w:color w:val="000000"/>
          <w:szCs w:val="21"/>
          <w:lang w:val="en-US" w:eastAsia="zh-CN" w:bidi="ar"/>
        </w:rPr>
        <w:t>上，耕后</w:t>
      </w:r>
      <w:r>
        <w:rPr>
          <w:rFonts w:hint="eastAsia" w:ascii="Times New Roman" w:hAnsi="Times New Roman" w:eastAsia="宋体" w:cs="宋体"/>
          <w:color w:val="000000"/>
          <w:szCs w:val="21"/>
          <w:lang w:val="en-US" w:eastAsia="zh-CN" w:bidi="ar"/>
        </w:rPr>
        <w:t>及时耙耱</w:t>
      </w:r>
      <w:r>
        <w:rPr>
          <w:rFonts w:hint="default" w:ascii="Times New Roman" w:hAnsi="Times New Roman" w:eastAsia="宋体" w:cs="宋体"/>
          <w:color w:val="000000"/>
          <w:szCs w:val="21"/>
          <w:lang w:val="en-US" w:eastAsia="zh-CN" w:bidi="ar"/>
        </w:rPr>
        <w:t>整地，要求</w:t>
      </w:r>
      <w:r>
        <w:rPr>
          <w:rFonts w:hint="eastAsia" w:ascii="Times New Roman" w:hAnsi="Times New Roman" w:eastAsia="宋体" w:cs="宋体"/>
          <w:color w:val="000000"/>
          <w:szCs w:val="21"/>
          <w:lang w:val="en-US" w:eastAsia="zh-CN" w:bidi="ar"/>
        </w:rPr>
        <w:t>达到土壤细碎、地面平整、上松下实，以利防旱保墒。</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6.3施基肥</w:t>
      </w:r>
    </w:p>
    <w:p>
      <w:pPr>
        <w:numPr>
          <w:ilvl w:val="0"/>
          <w:numId w:val="0"/>
        </w:numPr>
        <w:ind w:firstLine="420" w:firstLineChars="200"/>
        <w:rPr>
          <w:rFonts w:hint="default"/>
          <w:lang w:val="en-US"/>
        </w:rPr>
      </w:pPr>
      <w:r>
        <w:rPr>
          <w:rFonts w:hint="default" w:ascii="Times New Roman" w:hAnsi="Times New Roman" w:eastAsia="宋体" w:cs="宋体"/>
          <w:color w:val="000000"/>
          <w:szCs w:val="21"/>
          <w:lang w:val="en-US" w:eastAsia="zh-CN" w:bidi="ar"/>
        </w:rPr>
        <w:t>结合春</w:t>
      </w:r>
      <w:r>
        <w:rPr>
          <w:rFonts w:hint="eastAsia" w:ascii="Times New Roman" w:hAnsi="Times New Roman" w:eastAsia="宋体" w:cs="宋体"/>
          <w:color w:val="000000"/>
          <w:szCs w:val="21"/>
          <w:lang w:val="en-US" w:eastAsia="zh-CN" w:bidi="ar"/>
        </w:rPr>
        <w:t>、秋季耕</w:t>
      </w:r>
      <w:r>
        <w:rPr>
          <w:rFonts w:hint="default" w:ascii="Times New Roman" w:hAnsi="Times New Roman" w:eastAsia="宋体" w:cs="宋体"/>
          <w:color w:val="000000"/>
          <w:szCs w:val="21"/>
          <w:lang w:val="en-US" w:eastAsia="zh-CN" w:bidi="ar"/>
        </w:rPr>
        <w:t>整地，</w:t>
      </w:r>
      <w:r>
        <w:rPr>
          <w:rFonts w:hint="eastAsia" w:ascii="Times New Roman" w:hAnsi="Times New Roman" w:eastAsia="宋体" w:cs="宋体"/>
          <w:color w:val="000000"/>
          <w:szCs w:val="21"/>
          <w:lang w:val="en-US" w:eastAsia="zh-CN" w:bidi="ar"/>
        </w:rPr>
        <w:t>每亩施优质腐熟农家肥1.5-2t，基肥施尿素8</w:t>
      </w:r>
      <w:r>
        <w:rPr>
          <w:rFonts w:hint="default" w:ascii="Times New Roman" w:hAnsi="Times New Roman" w:eastAsia="宋体" w:cs="宋体"/>
          <w:color w:val="000000"/>
          <w:szCs w:val="21"/>
          <w:lang w:val="en-US" w:eastAsia="zh-CN" w:bidi="ar"/>
        </w:rPr>
        <w:t>kg</w:t>
      </w:r>
      <w:r>
        <w:rPr>
          <w:rFonts w:hint="eastAsia" w:ascii="Times New Roman" w:hAnsi="Times New Roman" w:eastAsia="宋体" w:cs="宋体"/>
          <w:color w:val="000000"/>
          <w:szCs w:val="21"/>
          <w:lang w:val="en-US" w:eastAsia="zh-CN" w:bidi="ar"/>
        </w:rPr>
        <w:t>/亩、磷酸二铵15</w:t>
      </w:r>
      <w:r>
        <w:rPr>
          <w:rFonts w:hint="default" w:ascii="Times New Roman" w:hAnsi="Times New Roman" w:eastAsia="宋体" w:cs="宋体"/>
          <w:color w:val="000000"/>
          <w:szCs w:val="21"/>
          <w:lang w:val="en-US" w:eastAsia="zh-CN" w:bidi="ar"/>
        </w:rPr>
        <w:t>kg</w:t>
      </w:r>
      <w:r>
        <w:rPr>
          <w:rFonts w:hint="eastAsia" w:ascii="Times New Roman" w:hAnsi="Times New Roman" w:eastAsia="宋体" w:cs="宋体"/>
          <w:color w:val="000000"/>
          <w:szCs w:val="21"/>
          <w:lang w:val="en-US" w:eastAsia="zh-CN" w:bidi="ar"/>
        </w:rPr>
        <w:t>/亩、硫酸钾5</w:t>
      </w:r>
      <w:r>
        <w:rPr>
          <w:rFonts w:hint="default" w:ascii="Times New Roman" w:hAnsi="Times New Roman" w:eastAsia="宋体" w:cs="宋体"/>
          <w:color w:val="000000"/>
          <w:szCs w:val="21"/>
          <w:lang w:val="en-US" w:eastAsia="zh-CN" w:bidi="ar"/>
        </w:rPr>
        <w:t>kg</w:t>
      </w:r>
      <w:r>
        <w:rPr>
          <w:rFonts w:hint="eastAsia" w:ascii="Times New Roman" w:hAnsi="Times New Roman" w:eastAsia="宋体" w:cs="宋体"/>
          <w:color w:val="000000"/>
          <w:szCs w:val="21"/>
          <w:lang w:val="en-US" w:eastAsia="zh-CN" w:bidi="ar"/>
        </w:rPr>
        <w:t>/亩，均匀施于地面深翻入土。</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7播种</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7.1播种期</w:t>
      </w:r>
    </w:p>
    <w:p>
      <w:pPr>
        <w:numPr>
          <w:ilvl w:val="0"/>
          <w:numId w:val="0"/>
        </w:numPr>
        <w:ind w:firstLine="420" w:firstLineChars="200"/>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当5 cm地温稳定通过5℃时即可播种，</w:t>
      </w:r>
      <w:r>
        <w:rPr>
          <w:rFonts w:hint="eastAsia" w:ascii="Times New Roman" w:hAnsi="Times New Roman" w:eastAsia="宋体" w:cs="宋体"/>
          <w:color w:val="000000"/>
          <w:szCs w:val="21"/>
          <w:lang w:val="en-US" w:eastAsia="zh-CN" w:bidi="ar"/>
        </w:rPr>
        <w:t>伊犁河谷尼勒克县、察布查尔县旱区4</w:t>
      </w:r>
      <w:r>
        <w:rPr>
          <w:rFonts w:hint="default" w:ascii="Times New Roman" w:hAnsi="Times New Roman" w:eastAsia="宋体" w:cs="宋体"/>
          <w:color w:val="000000"/>
          <w:szCs w:val="21"/>
          <w:lang w:val="en-US" w:eastAsia="zh-CN" w:bidi="ar"/>
        </w:rPr>
        <w:t>月上中旬播种</w:t>
      </w:r>
      <w:r>
        <w:rPr>
          <w:rFonts w:hint="eastAsia" w:ascii="Times New Roman" w:hAnsi="Times New Roman" w:eastAsia="宋体" w:cs="宋体"/>
          <w:color w:val="000000"/>
          <w:szCs w:val="21"/>
          <w:lang w:val="en-US" w:eastAsia="zh-CN" w:bidi="ar"/>
        </w:rPr>
        <w:t>，特克斯县和昭苏县旱区5月上旬播种</w:t>
      </w:r>
      <w:r>
        <w:rPr>
          <w:rFonts w:hint="default" w:ascii="Times New Roman" w:hAnsi="Times New Roman" w:eastAsia="宋体" w:cs="宋体"/>
          <w:color w:val="000000"/>
          <w:szCs w:val="21"/>
          <w:lang w:val="en-US" w:eastAsia="zh-CN" w:bidi="ar"/>
        </w:rPr>
        <w:t>。</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7.2播种方式</w:t>
      </w:r>
    </w:p>
    <w:p>
      <w:pPr>
        <w:numPr>
          <w:ilvl w:val="0"/>
          <w:numId w:val="0"/>
        </w:numPr>
        <w:ind w:firstLine="420" w:firstLineChars="200"/>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机械条播</w:t>
      </w:r>
      <w:r>
        <w:rPr>
          <w:rFonts w:hint="eastAsia" w:ascii="Times New Roman" w:hAnsi="Times New Roman" w:eastAsia="宋体" w:cs="宋体"/>
          <w:color w:val="000000"/>
          <w:szCs w:val="21"/>
          <w:lang w:val="en-US" w:eastAsia="zh-CN" w:bidi="ar"/>
        </w:rPr>
        <w:t>，等行距播种</w:t>
      </w:r>
      <w:r>
        <w:rPr>
          <w:rFonts w:hint="default" w:ascii="Times New Roman" w:hAnsi="Times New Roman" w:eastAsia="宋体" w:cs="宋体"/>
          <w:color w:val="000000"/>
          <w:szCs w:val="21"/>
          <w:lang w:val="en-US" w:eastAsia="zh-CN" w:bidi="ar"/>
        </w:rPr>
        <w:t>，行距</w:t>
      </w:r>
      <w:r>
        <w:rPr>
          <w:rFonts w:hint="eastAsia" w:ascii="Times New Roman" w:hAnsi="Times New Roman" w:eastAsia="宋体" w:cs="宋体"/>
          <w:color w:val="000000"/>
          <w:szCs w:val="21"/>
          <w:lang w:val="en-US" w:eastAsia="zh-CN" w:bidi="ar"/>
        </w:rPr>
        <w:t>15</w:t>
      </w:r>
      <w:r>
        <w:rPr>
          <w:rFonts w:hint="default" w:ascii="Times New Roman" w:hAnsi="Times New Roman" w:eastAsia="宋体" w:cs="宋体"/>
          <w:color w:val="000000"/>
          <w:szCs w:val="21"/>
          <w:lang w:val="en-US" w:eastAsia="zh-CN" w:bidi="ar"/>
        </w:rPr>
        <w:t xml:space="preserve"> cm</w:t>
      </w:r>
      <w:r>
        <w:rPr>
          <w:rFonts w:hint="eastAsia" w:ascii="Times New Roman" w:hAnsi="Times New Roman" w:eastAsia="宋体" w:cs="宋体"/>
          <w:color w:val="000000"/>
          <w:szCs w:val="21"/>
          <w:lang w:val="en-US" w:eastAsia="zh-CN" w:bidi="ar"/>
        </w:rPr>
        <w:t>-</w:t>
      </w:r>
      <w:r>
        <w:rPr>
          <w:rFonts w:hint="default" w:ascii="Times New Roman" w:hAnsi="Times New Roman" w:eastAsia="宋体" w:cs="宋体"/>
          <w:color w:val="000000"/>
          <w:szCs w:val="21"/>
          <w:lang w:val="en-US" w:eastAsia="zh-CN" w:bidi="ar"/>
        </w:rPr>
        <w:t>2</w:t>
      </w:r>
      <w:r>
        <w:rPr>
          <w:rFonts w:hint="eastAsia" w:ascii="Times New Roman" w:hAnsi="Times New Roman" w:eastAsia="宋体" w:cs="宋体"/>
          <w:color w:val="000000"/>
          <w:szCs w:val="21"/>
          <w:lang w:val="en-US" w:eastAsia="zh-CN" w:bidi="ar"/>
        </w:rPr>
        <w:t>0</w:t>
      </w:r>
      <w:r>
        <w:rPr>
          <w:rFonts w:hint="default" w:ascii="Times New Roman" w:hAnsi="Times New Roman" w:eastAsia="宋体" w:cs="宋体"/>
          <w:color w:val="000000"/>
          <w:szCs w:val="21"/>
          <w:lang w:val="en-US" w:eastAsia="zh-CN" w:bidi="ar"/>
        </w:rPr>
        <w:t xml:space="preserve"> cm,播深3</w:t>
      </w:r>
      <w:r>
        <w:rPr>
          <w:rFonts w:hint="eastAsia" w:ascii="Times New Roman" w:hAnsi="Times New Roman" w:eastAsia="宋体" w:cs="宋体"/>
          <w:color w:val="000000"/>
          <w:szCs w:val="21"/>
          <w:lang w:val="en-US" w:eastAsia="zh-CN" w:bidi="ar"/>
        </w:rPr>
        <w:t>-4</w:t>
      </w:r>
      <w:r>
        <w:rPr>
          <w:rFonts w:hint="default" w:ascii="Times New Roman" w:hAnsi="Times New Roman" w:eastAsia="宋体" w:cs="宋体"/>
          <w:color w:val="000000"/>
          <w:szCs w:val="21"/>
          <w:lang w:val="en-US" w:eastAsia="zh-CN" w:bidi="ar"/>
        </w:rPr>
        <w:t xml:space="preserve"> cm左右，下籽均匀，行垄匀直，覆土一致，播后镇压。</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7.3播种量</w:t>
      </w:r>
    </w:p>
    <w:p>
      <w:pPr>
        <w:numPr>
          <w:ilvl w:val="0"/>
          <w:numId w:val="0"/>
        </w:numPr>
        <w:ind w:firstLine="420" w:firstLineChars="200"/>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按千粒重和发芽率计算亩播量50</w:t>
      </w:r>
      <w:r>
        <w:rPr>
          <w:rFonts w:hint="eastAsia" w:ascii="Times New Roman" w:hAnsi="Times New Roman" w:eastAsia="宋体" w:cs="宋体"/>
          <w:color w:val="000000"/>
          <w:szCs w:val="21"/>
          <w:lang w:val="en-US" w:eastAsia="zh-CN" w:bidi="ar"/>
        </w:rPr>
        <w:t>-</w:t>
      </w:r>
      <w:r>
        <w:rPr>
          <w:rFonts w:hint="default" w:ascii="Times New Roman" w:hAnsi="Times New Roman" w:eastAsia="宋体" w:cs="宋体"/>
          <w:color w:val="000000"/>
          <w:szCs w:val="21"/>
          <w:lang w:val="en-US" w:eastAsia="zh-CN" w:bidi="ar"/>
        </w:rPr>
        <w:t>60万粒，亩播量</w:t>
      </w:r>
      <w:r>
        <w:rPr>
          <w:rFonts w:hint="eastAsia" w:ascii="Times New Roman" w:hAnsi="Times New Roman" w:eastAsia="宋体" w:cs="宋体"/>
          <w:color w:val="000000"/>
          <w:szCs w:val="21"/>
          <w:lang w:val="en-US" w:eastAsia="zh-CN" w:bidi="ar"/>
        </w:rPr>
        <w:t>5</w:t>
      </w:r>
      <w:r>
        <w:rPr>
          <w:rFonts w:hint="default" w:ascii="Times New Roman" w:hAnsi="Times New Roman" w:eastAsia="宋体" w:cs="宋体"/>
          <w:color w:val="000000"/>
          <w:szCs w:val="21"/>
          <w:lang w:val="en-US" w:eastAsia="zh-CN" w:bidi="ar"/>
        </w:rPr>
        <w:t xml:space="preserve"> kg</w:t>
      </w:r>
      <w:r>
        <w:rPr>
          <w:rFonts w:hint="eastAsia" w:ascii="Times New Roman" w:hAnsi="Times New Roman" w:eastAsia="宋体" w:cs="宋体"/>
          <w:color w:val="000000"/>
          <w:szCs w:val="21"/>
          <w:lang w:val="en-US" w:eastAsia="zh-CN" w:bidi="ar"/>
        </w:rPr>
        <w:t>-6</w:t>
      </w:r>
      <w:r>
        <w:rPr>
          <w:rFonts w:hint="default" w:ascii="Times New Roman" w:hAnsi="Times New Roman" w:eastAsia="宋体" w:cs="宋体"/>
          <w:color w:val="000000"/>
          <w:szCs w:val="21"/>
          <w:lang w:val="en-US" w:eastAsia="zh-CN" w:bidi="ar"/>
        </w:rPr>
        <w:t xml:space="preserve"> kg。</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7.4种肥</w:t>
      </w:r>
    </w:p>
    <w:p>
      <w:pPr>
        <w:numPr>
          <w:ilvl w:val="0"/>
          <w:numId w:val="0"/>
        </w:numPr>
        <w:ind w:firstLine="420" w:firstLineChars="200"/>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每亩施多元复合肥5 kg</w:t>
      </w:r>
      <w:r>
        <w:rPr>
          <w:rFonts w:hint="eastAsia" w:ascii="Times New Roman" w:hAnsi="Times New Roman" w:eastAsia="宋体" w:cs="宋体"/>
          <w:color w:val="000000"/>
          <w:szCs w:val="21"/>
          <w:lang w:val="en-US" w:eastAsia="zh-CN" w:bidi="ar"/>
        </w:rPr>
        <w:t>-</w:t>
      </w:r>
      <w:r>
        <w:rPr>
          <w:rFonts w:hint="default" w:ascii="Times New Roman" w:hAnsi="Times New Roman" w:eastAsia="宋体" w:cs="宋体"/>
          <w:color w:val="000000"/>
          <w:szCs w:val="21"/>
          <w:lang w:val="en-US" w:eastAsia="zh-CN" w:bidi="ar"/>
        </w:rPr>
        <w:t>7.5kg，与种子混合均匀一起播种。</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8田间管理</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8.1中耕锄草</w:t>
      </w:r>
    </w:p>
    <w:p>
      <w:pPr>
        <w:numPr>
          <w:ilvl w:val="0"/>
          <w:numId w:val="0"/>
        </w:numPr>
        <w:ind w:firstLine="420" w:firstLineChars="200"/>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苗高5 cm</w:t>
      </w:r>
      <w:r>
        <w:rPr>
          <w:rFonts w:hint="eastAsia" w:ascii="Times New Roman" w:hAnsi="Times New Roman" w:eastAsia="宋体" w:cs="宋体"/>
          <w:color w:val="000000"/>
          <w:szCs w:val="21"/>
          <w:lang w:val="en-US" w:eastAsia="zh-CN" w:bidi="ar"/>
        </w:rPr>
        <w:t>-</w:t>
      </w:r>
      <w:r>
        <w:rPr>
          <w:rFonts w:hint="default" w:ascii="Times New Roman" w:hAnsi="Times New Roman" w:eastAsia="宋体" w:cs="宋体"/>
          <w:color w:val="000000"/>
          <w:szCs w:val="21"/>
          <w:lang w:val="en-US" w:eastAsia="zh-CN" w:bidi="ar"/>
        </w:rPr>
        <w:t>7 cm中耕第一次，苗高17 cm</w:t>
      </w:r>
      <w:r>
        <w:rPr>
          <w:rFonts w:hint="eastAsia" w:ascii="Times New Roman" w:hAnsi="Times New Roman" w:eastAsia="宋体" w:cs="宋体"/>
          <w:color w:val="000000"/>
          <w:szCs w:val="21"/>
          <w:lang w:val="en-US" w:eastAsia="zh-CN" w:bidi="ar"/>
        </w:rPr>
        <w:t>-</w:t>
      </w:r>
      <w:r>
        <w:rPr>
          <w:rFonts w:hint="default" w:ascii="Times New Roman" w:hAnsi="Times New Roman" w:eastAsia="宋体" w:cs="宋体"/>
          <w:color w:val="000000"/>
          <w:szCs w:val="21"/>
          <w:lang w:val="en-US" w:eastAsia="zh-CN" w:bidi="ar"/>
        </w:rPr>
        <w:t>20 cm中耕第二次。</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8.2化学除草</w:t>
      </w:r>
    </w:p>
    <w:p>
      <w:pPr>
        <w:pStyle w:val="4"/>
        <w:keepNext w:val="0"/>
        <w:keepLines w:val="0"/>
        <w:pageBreakBefore w:val="0"/>
        <w:widowControl w:val="0"/>
        <w:kinsoku w:val="0"/>
        <w:wordWrap w:val="0"/>
        <w:overflowPunct/>
        <w:topLinePunct w:val="0"/>
        <w:autoSpaceDE/>
        <w:autoSpaceDN/>
        <w:bidi w:val="0"/>
        <w:adjustRightInd/>
        <w:snapToGrid/>
        <w:ind w:firstLine="420" w:firstLineChars="200"/>
        <w:textAlignment w:val="auto"/>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以狗尾草、野燕麦、野糜子、稗草、反枝苋</w:t>
      </w:r>
      <w:r>
        <w:rPr>
          <w:rFonts w:hint="eastAsia" w:ascii="Times New Roman" w:hAnsi="Times New Roman" w:eastAsia="宋体" w:cs="宋体"/>
          <w:color w:val="000000"/>
          <w:szCs w:val="21"/>
          <w:lang w:val="en-US" w:eastAsia="zh-CN" w:bidi="ar"/>
        </w:rPr>
        <w:t>、</w:t>
      </w:r>
      <w:r>
        <w:rPr>
          <w:rFonts w:hint="default" w:ascii="Times New Roman" w:hAnsi="Times New Roman" w:eastAsia="宋体" w:cs="宋体"/>
          <w:color w:val="000000"/>
          <w:szCs w:val="21"/>
          <w:lang w:val="en-US" w:eastAsia="zh-CN" w:bidi="ar"/>
        </w:rPr>
        <w:t>苦荞、藜等为优势杂草的胡麻田，在胡麻苗高7 cm～10 cm、杂草3～5叶期，亩用10%精喹禾灵</w:t>
      </w:r>
      <w:r>
        <w:rPr>
          <w:rFonts w:hint="eastAsia"/>
          <w:lang w:val="en-US" w:eastAsia="zh-CN"/>
        </w:rPr>
        <w:t>EC</w:t>
      </w:r>
      <w:r>
        <w:rPr>
          <w:rFonts w:hint="default" w:ascii="Times New Roman" w:hAnsi="Times New Roman" w:eastAsia="宋体" w:cs="宋体"/>
          <w:color w:val="000000"/>
          <w:szCs w:val="21"/>
          <w:lang w:val="en-US" w:eastAsia="zh-CN" w:bidi="ar"/>
        </w:rPr>
        <w:t>60 mL～80 mL+40%二甲·辛酰溴</w:t>
      </w:r>
      <w:r>
        <w:rPr>
          <w:rFonts w:hint="eastAsia"/>
          <w:lang w:val="en-US" w:eastAsia="zh-CN"/>
        </w:rPr>
        <w:t>EC</w:t>
      </w:r>
      <w:r>
        <w:rPr>
          <w:rFonts w:hint="default" w:ascii="Times New Roman" w:hAnsi="Times New Roman" w:eastAsia="宋体" w:cs="宋体"/>
          <w:color w:val="000000"/>
          <w:szCs w:val="21"/>
          <w:lang w:val="en-US" w:eastAsia="zh-CN" w:bidi="ar"/>
        </w:rPr>
        <w:t>100 mL,人工背负式喷雾兑水30 kg～45 kg,车载机械兑水20 kg～30 kg,无人机喷雾药量减半兑水2 kg</w:t>
      </w:r>
      <w:r>
        <w:rPr>
          <w:rFonts w:hint="eastAsia" w:ascii="Times New Roman" w:hAnsi="Times New Roman" w:eastAsia="宋体" w:cs="宋体"/>
          <w:color w:val="000000"/>
          <w:szCs w:val="21"/>
          <w:lang w:val="en-US" w:eastAsia="zh-CN" w:bidi="ar"/>
        </w:rPr>
        <w:t>，</w:t>
      </w:r>
      <w:r>
        <w:rPr>
          <w:rFonts w:hint="default" w:ascii="Times New Roman" w:hAnsi="Times New Roman" w:eastAsia="宋体" w:cs="宋体"/>
          <w:color w:val="000000"/>
          <w:szCs w:val="21"/>
          <w:lang w:val="en-US" w:eastAsia="zh-CN" w:bidi="ar"/>
        </w:rPr>
        <w:t>以反枝苋为优势杂草的胡麻田，在反枝苋3～5叶期，亩用30%苯唑草酮SC15mL+40%2甲·辛酰溴EC40 mL+10%精喹禾灵EC 40 mL或30%苯唑草酮SC15 mL+48%灭草松AS 125 mL+10%精喹禾灵EC 40 mL,人工背负式喷雾兑水30 kg～45 kg,车载机械兑水20 kg～30 kg。微风或无风天上午进行，均匀喷雾。</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8.3施肥</w:t>
      </w:r>
    </w:p>
    <w:p>
      <w:pPr>
        <w:numPr>
          <w:ilvl w:val="0"/>
          <w:numId w:val="0"/>
        </w:numPr>
        <w:ind w:firstLine="420" w:firstLineChars="200"/>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乘雨追肥</w:t>
      </w:r>
      <w:r>
        <w:rPr>
          <w:rFonts w:hint="eastAsia" w:ascii="Times New Roman" w:hAnsi="Times New Roman" w:eastAsia="宋体" w:cs="宋体"/>
          <w:color w:val="000000"/>
          <w:szCs w:val="21"/>
          <w:lang w:val="en-US" w:eastAsia="zh-CN" w:bidi="ar"/>
        </w:rPr>
        <w:t>，</w:t>
      </w:r>
      <w:r>
        <w:rPr>
          <w:rFonts w:hint="default" w:ascii="Times New Roman" w:hAnsi="Times New Roman" w:eastAsia="宋体" w:cs="宋体"/>
          <w:color w:val="000000"/>
          <w:szCs w:val="21"/>
          <w:lang w:val="en-US" w:eastAsia="zh-CN" w:bidi="ar"/>
        </w:rPr>
        <w:t>在现蕾前每亩追施尿素5 kg</w:t>
      </w:r>
      <w:r>
        <w:rPr>
          <w:rFonts w:hint="eastAsia" w:ascii="Times New Roman" w:hAnsi="Times New Roman" w:eastAsia="宋体" w:cs="宋体"/>
          <w:color w:val="000000"/>
          <w:szCs w:val="21"/>
          <w:lang w:val="en-US" w:eastAsia="zh-CN" w:bidi="ar"/>
        </w:rPr>
        <w:t>-7</w:t>
      </w:r>
      <w:r>
        <w:rPr>
          <w:rFonts w:hint="default" w:ascii="Times New Roman" w:hAnsi="Times New Roman" w:eastAsia="宋体" w:cs="宋体"/>
          <w:color w:val="000000"/>
          <w:szCs w:val="21"/>
          <w:lang w:val="en-US" w:eastAsia="zh-CN" w:bidi="ar"/>
        </w:rPr>
        <w:t xml:space="preserve"> kg。</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8.4病害防治</w:t>
      </w:r>
    </w:p>
    <w:p>
      <w:pPr>
        <w:pStyle w:val="4"/>
        <w:ind w:firstLine="420" w:firstLineChars="200"/>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白粉病发生初期，亩用40%氟硅唑</w:t>
      </w:r>
      <w:r>
        <w:rPr>
          <w:rFonts w:hint="eastAsia"/>
          <w:lang w:val="en-US" w:eastAsia="zh-CN"/>
        </w:rPr>
        <w:t>EC</w:t>
      </w:r>
      <w:r>
        <w:rPr>
          <w:rFonts w:hint="default" w:ascii="Times New Roman" w:hAnsi="Times New Roman" w:eastAsia="宋体" w:cs="宋体"/>
          <w:color w:val="000000"/>
          <w:szCs w:val="21"/>
          <w:lang w:val="en-US" w:eastAsia="zh-CN" w:bidi="ar"/>
        </w:rPr>
        <w:t>8.5mL或43%戊唑醇</w:t>
      </w:r>
      <w:r>
        <w:rPr>
          <w:rFonts w:hint="eastAsia"/>
          <w:lang w:val="en-US" w:eastAsia="zh-CN"/>
        </w:rPr>
        <w:t>EC</w:t>
      </w:r>
      <w:r>
        <w:rPr>
          <w:rFonts w:hint="default" w:ascii="Times New Roman" w:hAnsi="Times New Roman" w:eastAsia="宋体" w:cs="宋体"/>
          <w:color w:val="000000"/>
          <w:szCs w:val="21"/>
          <w:lang w:val="en-US" w:eastAsia="zh-CN" w:bidi="ar"/>
        </w:rPr>
        <w:t>15 mL兑水45 kg喷施1～2次，间隔7 d～10 d。</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8.5虫害防治</w:t>
      </w:r>
    </w:p>
    <w:p>
      <w:pPr>
        <w:pStyle w:val="4"/>
        <w:ind w:firstLine="420" w:firstLineChars="200"/>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胡麻</w:t>
      </w:r>
      <w:r>
        <w:rPr>
          <w:rFonts w:hint="eastAsia" w:ascii="Times New Roman" w:hAnsi="Times New Roman" w:eastAsia="宋体" w:cs="宋体"/>
          <w:color w:val="000000"/>
          <w:szCs w:val="21"/>
          <w:lang w:val="en-US" w:eastAsia="zh-CN" w:bidi="ar"/>
        </w:rPr>
        <w:t>田</w:t>
      </w:r>
      <w:r>
        <w:rPr>
          <w:rFonts w:hint="default" w:ascii="Times New Roman" w:hAnsi="Times New Roman" w:eastAsia="宋体" w:cs="宋体"/>
          <w:color w:val="000000"/>
          <w:szCs w:val="21"/>
          <w:lang w:val="en-US" w:eastAsia="zh-CN" w:bidi="ar"/>
        </w:rPr>
        <w:t>蚜虫危害期或百株虫量达到1200～1500头开始防治，用4.5%高效氯氰菊脂</w:t>
      </w:r>
      <w:r>
        <w:rPr>
          <w:rFonts w:hint="eastAsia"/>
          <w:lang w:val="en-US" w:eastAsia="zh-CN"/>
        </w:rPr>
        <w:t xml:space="preserve">EC </w:t>
      </w:r>
      <w:r>
        <w:rPr>
          <w:rFonts w:hint="default" w:ascii="Times New Roman" w:hAnsi="Times New Roman" w:eastAsia="宋体" w:cs="宋体"/>
          <w:color w:val="000000"/>
          <w:szCs w:val="21"/>
          <w:lang w:val="en-US" w:eastAsia="zh-CN" w:bidi="ar"/>
        </w:rPr>
        <w:t>1500～2000倍液喷雾。</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20" w:firstLineChars="200"/>
        <w:textAlignment w:val="auto"/>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9适时收获</w:t>
      </w:r>
    </w:p>
    <w:p>
      <w:pPr>
        <w:numPr>
          <w:ilvl w:val="0"/>
          <w:numId w:val="0"/>
        </w:numPr>
        <w:ind w:firstLine="420" w:firstLineChars="200"/>
        <w:rPr>
          <w:rFonts w:hint="default" w:ascii="Times New Roman" w:hAnsi="Times New Roman" w:eastAsia="宋体" w:cs="宋体"/>
          <w:color w:val="000000"/>
          <w:szCs w:val="21"/>
          <w:lang w:val="en-US" w:eastAsia="zh-CN" w:bidi="ar"/>
        </w:rPr>
      </w:pPr>
      <w:r>
        <w:rPr>
          <w:rFonts w:hint="default" w:ascii="Times New Roman" w:hAnsi="Times New Roman" w:eastAsia="宋体" w:cs="宋体"/>
          <w:color w:val="000000"/>
          <w:szCs w:val="21"/>
          <w:lang w:val="en-US" w:eastAsia="zh-CN" w:bidi="ar"/>
        </w:rPr>
        <w:t>田间有75%的植株上部蒴果开始变褐、叶片凋萎、种子呈固有光泽并与蒴果隔膜分离、摇动植株沙沙作响、籽粒饱满时即可收获。</w:t>
      </w: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80" w:firstLineChars="200"/>
        <w:textAlignment w:val="auto"/>
      </w:pPr>
    </w:p>
    <w:p>
      <w:pPr>
        <w:pStyle w:val="7"/>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right="0" w:firstLine="480" w:firstLineChars="200"/>
        <w:textAlignment w:val="auto"/>
      </w:pPr>
    </w:p>
    <w:p>
      <w:pPr>
        <w:numPr>
          <w:ilvl w:val="0"/>
          <w:numId w:val="0"/>
        </w:num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RqoqKrgEAAEsD&#10;AAAOAAAAAAAAAAEAIAAAAB4BAABkcnMvZTJvRG9jLnhtbFBLBQYAAAAABgAGAFkBAAA+BQ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720"/>
      <w:jc w:val="both"/>
      <w:rPr>
        <w:sz w:val="2"/>
        <w:szCs w:val="2"/>
      </w:rPr>
    </w:pPr>
    <w:r>
      <w:rPr>
        <w:sz w:val="2"/>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ql5uc8AAAAFAQAADwAA&#10;AAAAAAABACAAAAAiAAAAZHJzL2Rvd25yZXYueG1sUEsBAhQAFAAAAAgAh07iQMAwmbStAQAASwMA&#10;AA4AAAAAAAAAAQAgAAAAHgEAAGRycy9lMm9Eb2MueG1sUEsFBgAAAAAGAAYAWQEAAD0FA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wordWrap w:val="0"/>
      <w:spacing w:after="360" w:line="240" w:lineRule="auto"/>
      <w:jc w:val="right"/>
      <w:rPr>
        <w:rFonts w:hint="eastAsia" w:ascii="黑体" w:hAnsi="黑体" w:eastAsia="黑体" w:cs="黑体"/>
        <w:bCs/>
        <w:sz w:val="21"/>
        <w:szCs w:val="21"/>
        <w:lang w:eastAsia="zh-CN"/>
      </w:rPr>
    </w:pPr>
    <w:r>
      <w:rPr>
        <w:rFonts w:hint="eastAsia" w:ascii="黑体" w:hAnsi="黑体" w:eastAsia="黑体" w:cs="黑体"/>
        <w:bCs/>
        <w:sz w:val="21"/>
        <w:szCs w:val="21"/>
      </w:rPr>
      <w:t>DB6540/T 004—202</w:t>
    </w:r>
    <w:r>
      <w:rPr>
        <w:rFonts w:hint="eastAsia" w:ascii="黑体" w:hAnsi="黑体" w:eastAsia="黑体" w:cs="黑体"/>
        <w:bCs/>
        <w:sz w:val="21"/>
        <w:szCs w:val="21"/>
        <w:lang w:val="en-US" w:eastAsia="zh-CN"/>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lvlText w:val="[%1]"/>
      <w:lvlJc w:val="left"/>
      <w:pPr>
        <w:tabs>
          <w:tab w:val="left" w:pos="1646"/>
        </w:tabs>
        <w:ind w:left="1646" w:hanging="648"/>
      </w:pPr>
    </w:lvl>
    <w:lvl w:ilvl="1" w:tentative="0">
      <w:start w:val="1"/>
      <w:numFmt w:val="lowerLetter"/>
      <w:pStyle w:val="26"/>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zNDVlYzJmOWRmYTI1MmY4MGNjYWU0MDdiZTRkOTkifQ=="/>
  </w:docVars>
  <w:rsids>
    <w:rsidRoot w:val="4B61212B"/>
    <w:rsid w:val="004F1E8C"/>
    <w:rsid w:val="01BB7833"/>
    <w:rsid w:val="06C84383"/>
    <w:rsid w:val="0A2763AD"/>
    <w:rsid w:val="10B755B5"/>
    <w:rsid w:val="122D336B"/>
    <w:rsid w:val="160A26DF"/>
    <w:rsid w:val="25ED402C"/>
    <w:rsid w:val="270A253F"/>
    <w:rsid w:val="29BC2AB8"/>
    <w:rsid w:val="37D966DC"/>
    <w:rsid w:val="3C517B1A"/>
    <w:rsid w:val="4811569B"/>
    <w:rsid w:val="4B61212B"/>
    <w:rsid w:val="4E087FAC"/>
    <w:rsid w:val="59376DAF"/>
    <w:rsid w:val="5E48511F"/>
    <w:rsid w:val="5EA04F5B"/>
    <w:rsid w:val="6522597D"/>
    <w:rsid w:val="6B480A8C"/>
    <w:rsid w:val="70812E3F"/>
    <w:rsid w:val="76B85735"/>
    <w:rsid w:val="770A78C8"/>
    <w:rsid w:val="78757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customStyle="1" w:styleId="2">
    <w:name w:val="Heading3"/>
    <w:basedOn w:val="1"/>
    <w:next w:val="1"/>
    <w:qFormat/>
    <w:uiPriority w:val="0"/>
    <w:pPr>
      <w:spacing w:before="260" w:after="260" w:line="416" w:lineRule="auto"/>
    </w:pPr>
    <w:rPr>
      <w:b/>
      <w:bCs/>
      <w:sz w:val="32"/>
      <w:szCs w:val="32"/>
    </w:rPr>
  </w:style>
  <w:style w:type="paragraph" w:styleId="4">
    <w:name w:val="annotation text"/>
    <w:basedOn w:val="1"/>
    <w:qFormat/>
    <w:uiPriority w:val="0"/>
    <w:pPr>
      <w:jc w:val="left"/>
    </w:pPr>
  </w:style>
  <w:style w:type="paragraph" w:styleId="5">
    <w:name w:val="footer"/>
    <w:basedOn w:val="1"/>
    <w:qFormat/>
    <w:uiPriority w:val="99"/>
    <w:pPr>
      <w:tabs>
        <w:tab w:val="center" w:pos="4153"/>
        <w:tab w:val="right" w:pos="8306"/>
      </w:tabs>
      <w:adjustRightInd/>
      <w:snapToGrid w:val="0"/>
      <w:spacing w:line="240" w:lineRule="auto"/>
      <w:jc w:val="right"/>
    </w:pPr>
    <w:rPr>
      <w:rFonts w:ascii="宋体" w:hAnsi="Times New Roman"/>
      <w:kern w:val="0"/>
      <w:sz w:val="18"/>
      <w:szCs w:val="18"/>
    </w:rPr>
  </w:style>
  <w:style w:type="paragraph" w:styleId="6">
    <w:name w:val="header"/>
    <w:basedOn w:val="1"/>
    <w:qFormat/>
    <w:uiPriority w:val="99"/>
    <w:pPr>
      <w:tabs>
        <w:tab w:val="center" w:pos="4153"/>
        <w:tab w:val="right" w:pos="8306"/>
      </w:tabs>
      <w:adjustRightInd/>
      <w:snapToGrid w:val="0"/>
      <w:jc w:val="center"/>
    </w:pPr>
    <w:rPr>
      <w:rFonts w:ascii="Times New Roman" w:hAnsi="Times New Roman"/>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2">
    <w:name w:val="标准文件_文件编号"/>
    <w:basedOn w:val="13"/>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3">
    <w:name w:val="标准文件_段"/>
    <w:qFormat/>
    <w:uiPriority w:val="0"/>
    <w:pPr>
      <w:autoSpaceDE w:val="0"/>
      <w:autoSpaceDN w:val="0"/>
      <w:ind w:firstLine="200" w:firstLineChars="200"/>
      <w:jc w:val="both"/>
    </w:pPr>
    <w:rPr>
      <w:rFonts w:ascii="宋体" w:hAnsi="Times New Roman" w:eastAsia="宋体" w:cs="Times New Roman"/>
      <w:sz w:val="21"/>
      <w:lang w:bidi="ar-SA"/>
    </w:rPr>
  </w:style>
  <w:style w:type="paragraph" w:customStyle="1" w:styleId="1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5">
    <w:name w:val="标准文件_文件名称"/>
    <w:basedOn w:val="13"/>
    <w:next w:val="13"/>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7">
    <w:name w:val="其他发布日期"/>
    <w:basedOn w:val="18"/>
    <w:qFormat/>
    <w:uiPriority w:val="0"/>
    <w:pPr>
      <w:framePr w:w="3997" w:h="471" w:hRule="exact" w:hSpace="0" w:vSpace="181" w:vAnchor="page" w:hAnchor="page" w:x="1419" w:y="14097"/>
    </w:pPr>
  </w:style>
  <w:style w:type="paragraph" w:customStyle="1" w:styleId="18">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9">
    <w:name w:val="其他实施日期"/>
    <w:basedOn w:val="20"/>
    <w:qFormat/>
    <w:uiPriority w:val="0"/>
    <w:pPr>
      <w:framePr w:w="3997" w:h="471" w:hRule="exact" w:vSpace="181" w:vAnchor="page" w:hAnchor="page" w:x="7089" w:y="14097"/>
    </w:pPr>
  </w:style>
  <w:style w:type="paragraph" w:customStyle="1" w:styleId="20">
    <w:name w:val="实施日期"/>
    <w:basedOn w:val="18"/>
    <w:qFormat/>
    <w:uiPriority w:val="0"/>
    <w:pPr>
      <w:framePr w:hSpace="0" w:xAlign="right"/>
      <w:jc w:val="right"/>
    </w:pPr>
  </w:style>
  <w:style w:type="paragraph" w:customStyle="1" w:styleId="21">
    <w:name w:val="其他发布部门"/>
    <w:basedOn w:val="22"/>
    <w:qFormat/>
    <w:uiPriority w:val="0"/>
    <w:pPr>
      <w:spacing w:line="0" w:lineRule="atLeast"/>
    </w:pPr>
    <w:rPr>
      <w:rFonts w:ascii="黑体" w:eastAsia="黑体"/>
      <w:b w:val="0"/>
    </w:rPr>
  </w:style>
  <w:style w:type="paragraph" w:customStyle="1" w:styleId="22">
    <w:name w:val="发布部门"/>
    <w:next w:val="23"/>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2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5">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6">
    <w:name w:val="章标题"/>
    <w:next w:val="23"/>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tif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1338</Words>
  <Characters>1653</Characters>
  <Lines>0</Lines>
  <Paragraphs>0</Paragraphs>
  <TotalTime>1</TotalTime>
  <ScaleCrop>false</ScaleCrop>
  <LinksUpToDate>false</LinksUpToDate>
  <CharactersWithSpaces>1776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2023-01-11T17:01:00Z</dcterms:created>
  <dc:creator>哈尼帕</dc:creator>
  <cp:lastModifiedBy>Administrator</cp:lastModifiedBy>
  <dcterms:modified xsi:type="dcterms:W3CDTF">2024-11-12T11:23:15Z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ICV">
    <vt:lpwstr>7BB0BF23FD20431AA83C312FCD07A897</vt:lpwstr>
  </property>
</Properties>
</file>