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364" w:type="dxa"/>
        <w:tblInd w:w="0" w:type="dxa"/>
        <w:tblLayout w:type="fixed"/>
        <w:tblCellMar>
          <w:top w:w="0" w:type="dxa"/>
          <w:left w:w="0" w:type="dxa"/>
          <w:bottom w:w="0" w:type="dxa"/>
          <w:right w:w="0" w:type="dxa"/>
        </w:tblCellMar>
      </w:tblPr>
      <w:tblGrid>
        <w:gridCol w:w="509"/>
        <w:gridCol w:w="8855"/>
      </w:tblGrid>
      <w:tr>
        <w:tblPrEx>
          <w:tblLayout w:type="fixed"/>
          <w:tblCellMar>
            <w:top w:w="0" w:type="dxa"/>
            <w:left w:w="0" w:type="dxa"/>
            <w:bottom w:w="0" w:type="dxa"/>
            <w:right w:w="0" w:type="dxa"/>
          </w:tblCellMar>
        </w:tblPrEx>
        <w:tc>
          <w:tcPr>
            <w:tcW w:w="509" w:type="dxa"/>
            <w:noWrap w:val="0"/>
            <w:vAlign w:val="top"/>
          </w:tcPr>
          <w:p>
            <w:pPr>
              <w:pStyle w:val="3"/>
              <w:framePr w:wrap="notBeside" w:vAnchor="page" w:hAnchor="page" w:x="1416" w:y="1438"/>
              <w:tabs>
                <w:tab w:val="clear" w:pos="4153"/>
                <w:tab w:val="clear" w:pos="8306"/>
              </w:tabs>
              <w:spacing w:line="240" w:lineRule="auto"/>
              <w:jc w:val="left"/>
              <w:rPr>
                <w:rFonts w:ascii="黑体" w:hAnsi="黑体" w:eastAsia="黑体"/>
                <w:kern w:val="2"/>
                <w:sz w:val="21"/>
                <w:szCs w:val="21"/>
                <w:lang w:val="en-US" w:eastAsia="zh-CN"/>
              </w:rPr>
            </w:pPr>
            <w:r>
              <w:rPr>
                <w:rFonts w:eastAsia="黑体"/>
                <w:kern w:val="2"/>
                <w:sz w:val="21"/>
                <w:szCs w:val="21"/>
                <w:lang w:val="en-US" w:eastAsia="zh-CN"/>
              </w:rPr>
              <w:t>ICS</w:t>
            </w:r>
            <w:r>
              <w:rPr>
                <w:rFonts w:ascii="黑体" w:hAnsi="黑体" w:eastAsia="黑体"/>
                <w:kern w:val="2"/>
                <w:sz w:val="21"/>
                <w:szCs w:val="21"/>
                <w:lang w:val="en-US" w:eastAsia="zh-CN"/>
              </w:rPr>
              <w:t xml:space="preserve">  </w:t>
            </w:r>
          </w:p>
        </w:tc>
        <w:tc>
          <w:tcPr>
            <w:tcW w:w="8855" w:type="dxa"/>
            <w:noWrap w:val="0"/>
            <w:vAlign w:val="top"/>
          </w:tcPr>
          <w:p>
            <w:pPr>
              <w:pStyle w:val="3"/>
              <w:framePr w:wrap="notBeside" w:vAnchor="page" w:hAnchor="page" w:x="1416" w:y="1438"/>
              <w:tabs>
                <w:tab w:val="clear" w:pos="4153"/>
                <w:tab w:val="clear" w:pos="8306"/>
              </w:tabs>
              <w:spacing w:line="240" w:lineRule="auto"/>
              <w:jc w:val="both"/>
              <w:rPr>
                <w:rFonts w:ascii="黑体" w:hAnsi="黑体" w:eastAsia="黑体"/>
                <w:kern w:val="2"/>
                <w:sz w:val="21"/>
                <w:szCs w:val="21"/>
                <w:lang w:val="en-US" w:eastAsia="zh-CN"/>
              </w:rPr>
            </w:pPr>
            <w:r>
              <w:rPr>
                <w:rFonts w:hint="eastAsia" w:ascii="黑体" w:hAnsi="黑体" w:eastAsia="黑体"/>
                <w:kern w:val="2"/>
                <w:sz w:val="21"/>
                <w:szCs w:val="21"/>
                <w:lang w:val="en-US" w:eastAsia="zh-CN"/>
              </w:rPr>
              <w:t>：</w:t>
            </w:r>
            <w:r>
              <w:rPr>
                <w:rFonts w:hint="eastAsia" w:ascii="黑体" w:hAnsi="黑体" w:eastAsia="黑体" w:cs="黑体"/>
                <w:color w:val="000000"/>
                <w:sz w:val="21"/>
                <w:szCs w:val="21"/>
              </w:rPr>
              <w:t>65.020.20</w:t>
            </w:r>
          </w:p>
        </w:tc>
      </w:tr>
      <w:tr>
        <w:tblPrEx>
          <w:tblLayout w:type="fixed"/>
          <w:tblCellMar>
            <w:top w:w="0" w:type="dxa"/>
            <w:left w:w="0" w:type="dxa"/>
            <w:bottom w:w="0" w:type="dxa"/>
            <w:right w:w="0" w:type="dxa"/>
          </w:tblCellMar>
        </w:tblPrEx>
        <w:tc>
          <w:tcPr>
            <w:tcW w:w="509" w:type="dxa"/>
            <w:noWrap w:val="0"/>
            <w:vAlign w:val="top"/>
          </w:tcPr>
          <w:p>
            <w:pPr>
              <w:pStyle w:val="3"/>
              <w:framePr w:wrap="notBeside" w:vAnchor="page" w:hAnchor="page" w:x="1416" w:y="1438"/>
              <w:tabs>
                <w:tab w:val="clear" w:pos="4153"/>
                <w:tab w:val="clear" w:pos="8306"/>
              </w:tabs>
              <w:spacing w:before="40" w:line="240" w:lineRule="auto"/>
              <w:jc w:val="left"/>
              <w:rPr>
                <w:rFonts w:ascii="黑体" w:hAnsi="黑体" w:eastAsia="黑体"/>
                <w:kern w:val="2"/>
                <w:sz w:val="21"/>
                <w:szCs w:val="21"/>
                <w:lang w:val="en-US" w:eastAsia="zh-CN"/>
              </w:rPr>
            </w:pPr>
            <w:r>
              <w:rPr>
                <w:rFonts w:eastAsia="黑体"/>
                <w:kern w:val="2"/>
                <w:sz w:val="21"/>
                <w:szCs w:val="21"/>
                <w:lang w:val="en-US" w:eastAsia="zh-CN"/>
              </w:rPr>
              <w:t xml:space="preserve">CCS </w:t>
            </w:r>
            <w:r>
              <w:rPr>
                <w:rFonts w:ascii="黑体" w:hAnsi="黑体" w:eastAsia="黑体"/>
                <w:kern w:val="2"/>
                <w:sz w:val="21"/>
                <w:szCs w:val="21"/>
                <w:lang w:val="en-US" w:eastAsia="zh-CN"/>
              </w:rPr>
              <w:t xml:space="preserve"> </w:t>
            </w:r>
          </w:p>
        </w:tc>
        <w:tc>
          <w:tcPr>
            <w:tcW w:w="8855" w:type="dxa"/>
            <w:noWrap w:val="0"/>
            <w:vAlign w:val="top"/>
          </w:tcPr>
          <w:p>
            <w:pPr>
              <w:pStyle w:val="3"/>
              <w:framePr w:wrap="notBeside" w:vAnchor="page" w:hAnchor="page" w:x="1416" w:y="1438"/>
              <w:tabs>
                <w:tab w:val="clear" w:pos="4153"/>
                <w:tab w:val="clear" w:pos="8306"/>
              </w:tabs>
              <w:spacing w:before="40" w:line="240" w:lineRule="auto"/>
              <w:jc w:val="left"/>
              <w:rPr>
                <w:rFonts w:ascii="黑体" w:hAnsi="黑体" w:eastAsia="黑体"/>
                <w:kern w:val="2"/>
                <w:sz w:val="21"/>
                <w:szCs w:val="21"/>
                <w:lang w:val="en-US" w:eastAsia="zh-CN"/>
              </w:rPr>
            </w:pPr>
            <w:r>
              <w:rPr>
                <w:rFonts w:hint="eastAsia" w:ascii="黑体" w:hAnsi="黑体" w:eastAsia="黑体"/>
                <w:kern w:val="2"/>
                <w:sz w:val="21"/>
                <w:szCs w:val="21"/>
                <w:lang w:val="en-US" w:eastAsia="zh-CN"/>
              </w:rPr>
              <w:t>：</w:t>
            </w:r>
            <w:r>
              <w:rPr>
                <w:rFonts w:hint="eastAsia" w:ascii="黑体" w:hAnsi="黑体" w:eastAsia="黑体" w:cs="黑体"/>
                <w:color w:val="000000"/>
                <w:sz w:val="21"/>
                <w:szCs w:val="21"/>
              </w:rPr>
              <w:t>B 05</w:t>
            </w:r>
          </w:p>
        </w:tc>
      </w:tr>
    </w:tbl>
    <w:tbl>
      <w:tblPr>
        <w:tblStyle w:val="5"/>
        <w:tblpPr w:leftFromText="180" w:rightFromText="180" w:vertAnchor="text" w:horzAnchor="page" w:tblpX="4105" w:tblpY="1249"/>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noWrap w:val="0"/>
            <w:vAlign w:val="top"/>
          </w:tcPr>
          <w:p>
            <w:pPr>
              <w:pStyle w:val="7"/>
              <w:framePr w:w="0" w:hRule="auto" w:wrap="auto" w:vAnchor="margin" w:hAnchor="text" w:xAlign="left" w:yAlign="inline"/>
              <w:rPr>
                <w:rFonts w:ascii="宋体" w:hAnsi="宋体"/>
                <w:sz w:val="28"/>
                <w:szCs w:val="28"/>
              </w:rPr>
            </w:pPr>
            <w:bookmarkStart w:id="0" w:name="_Hlk26473981"/>
            <w:r>
              <w:drawing>
                <wp:inline distT="0" distB="0" distL="114300" distR="114300">
                  <wp:extent cx="796290" cy="397510"/>
                  <wp:effectExtent l="0" t="0" r="1143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t>6540</w:t>
            </w:r>
          </w:p>
        </w:tc>
      </w:tr>
      <w:bookmarkEnd w:id="0"/>
    </w:tbl>
    <w:p>
      <w:pPr>
        <w:pStyle w:val="10"/>
        <w:framePr w:w="9639" w:h="5851" w:hRule="exact" w:hSpace="0" w:vSpace="0" w:vAnchor="text" w:hAnchor="page" w:y="6408"/>
        <w:jc w:val="center"/>
        <w:rPr>
          <w:rFonts w:ascii="黑体" w:hAnsi="黑体" w:eastAsia="黑体"/>
          <w:b w:val="0"/>
          <w:bCs w:val="0"/>
          <w:w w:val="100"/>
        </w:rPr>
      </w:pPr>
    </w:p>
    <w:p>
      <w:pPr>
        <w:keepNext w:val="0"/>
        <w:keepLines w:val="0"/>
        <w:pageBreakBefore w:val="0"/>
        <w:framePr w:w="9639" w:h="6606" w:hRule="exact" w:wrap="around" w:vAnchor="page" w:hAnchor="page" w:x="1321" w:y="6489"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spacing w:val="-10"/>
          <w:sz w:val="40"/>
          <w:szCs w:val="40"/>
          <w:lang w:val="en-US" w:eastAsia="zh-CN"/>
        </w:rPr>
      </w:pPr>
      <w:r>
        <w:rPr>
          <w:rFonts w:hint="eastAsia" w:ascii="宋体" w:hAnsi="宋体" w:eastAsia="宋体" w:cs="宋体"/>
          <w:b/>
          <w:bCs/>
          <w:spacing w:val="-10"/>
          <w:sz w:val="40"/>
          <w:szCs w:val="40"/>
        </w:rPr>
        <w:t>伊犁</w:t>
      </w:r>
      <w:r>
        <w:rPr>
          <w:rFonts w:hint="eastAsia" w:ascii="宋体" w:hAnsi="宋体" w:eastAsia="宋体" w:cs="宋体"/>
          <w:b/>
          <w:bCs/>
          <w:spacing w:val="-10"/>
          <w:sz w:val="40"/>
          <w:szCs w:val="40"/>
          <w:lang w:val="en-US" w:eastAsia="zh-CN"/>
        </w:rPr>
        <w:t>河谷盐碱地纤维亚麻栽培技术规程</w:t>
      </w:r>
    </w:p>
    <w:p>
      <w:pPr>
        <w:keepNext w:val="0"/>
        <w:keepLines w:val="0"/>
        <w:pageBreakBefore w:val="0"/>
        <w:framePr w:w="9639" w:h="6606" w:hRule="exact" w:wrap="around" w:vAnchor="page" w:hAnchor="page" w:x="1321" w:y="6489"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spacing w:val="-10"/>
          <w:sz w:val="40"/>
          <w:szCs w:val="40"/>
          <w:lang w:val="en-US" w:eastAsia="zh-CN"/>
        </w:rPr>
      </w:pPr>
      <w:r>
        <w:rPr>
          <w:rFonts w:hint="eastAsia" w:ascii="宋体" w:hAnsi="宋体" w:eastAsia="宋体" w:cs="宋体"/>
          <w:b/>
          <w:bCs/>
          <w:spacing w:val="-10"/>
          <w:sz w:val="40"/>
          <w:szCs w:val="40"/>
          <w:lang w:val="en-US" w:eastAsia="zh-CN"/>
        </w:rPr>
        <w:t>Cultivation Technology Regulations for Fiber Flax in Saline-Alkaline Land of the Ili River Valley</w:t>
      </w:r>
    </w:p>
    <w:p>
      <w:pPr>
        <w:framePr w:w="9639" w:h="6606" w:hRule="exact" w:wrap="around" w:vAnchor="page" w:hAnchor="page" w:x="1321" w:y="6489" w:anchorLock="1"/>
        <w:ind w:left="-1418"/>
      </w:pPr>
    </w:p>
    <w:p>
      <w:pPr>
        <w:pStyle w:val="12"/>
        <w:framePr w:w="9639" w:h="6606" w:hRule="exact" w:wrap="around" w:vAnchor="page" w:hAnchor="page" w:x="1321" w:y="6489" w:anchorLock="1"/>
        <w:textAlignment w:val="bottom"/>
        <w:rPr>
          <w:rFonts w:eastAsia="黑体"/>
          <w:szCs w:val="28"/>
        </w:rPr>
      </w:pPr>
      <w:r>
        <w:rPr>
          <w:rFonts w:hint="eastAsia" w:eastAsia="黑体"/>
          <w:szCs w:val="28"/>
        </w:rPr>
        <w:t xml:space="preserve">  </w:t>
      </w:r>
    </w:p>
    <w:p>
      <w:pPr>
        <w:framePr w:w="9639" w:h="6606" w:hRule="exact" w:wrap="around" w:vAnchor="page" w:hAnchor="page" w:x="1321" w:y="6489" w:anchorLock="1"/>
        <w:spacing w:line="760" w:lineRule="exact"/>
        <w:ind w:left="-1418"/>
      </w:pPr>
    </w:p>
    <w:p>
      <w:pPr>
        <w:pStyle w:val="12"/>
        <w:framePr w:w="9639" w:h="6606" w:hRule="exact" w:wrap="around" w:vAnchor="page" w:hAnchor="page" w:x="1321" w:y="6489" w:anchorLock="1"/>
        <w:textAlignment w:val="bottom"/>
        <w:rPr>
          <w:rFonts w:eastAsia="黑体"/>
          <w:szCs w:val="28"/>
        </w:rPr>
      </w:pPr>
    </w:p>
    <w:p>
      <w:pPr>
        <w:pStyle w:val="12"/>
        <w:framePr w:w="9639" w:h="6606" w:hRule="exact" w:wrap="around" w:vAnchor="page" w:hAnchor="page" w:x="1321" w:y="6489" w:anchorLock="1"/>
        <w:spacing w:before="180" w:line="240" w:lineRule="atLeast"/>
        <w:textAlignment w:val="bottom"/>
        <w:rPr>
          <w:sz w:val="21"/>
          <w:szCs w:val="28"/>
        </w:rPr>
      </w:pPr>
    </w:p>
    <w:p>
      <w:pPr>
        <w:pStyle w:val="12"/>
        <w:framePr w:w="9639" w:h="6606" w:hRule="exact" w:wrap="around" w:vAnchor="page" w:hAnchor="page" w:x="1321" w:y="6489" w:anchorLock="1"/>
        <w:spacing w:before="720" w:beforeLines="300" w:after="72" w:afterLines="30" w:line="240" w:lineRule="auto"/>
        <w:textAlignment w:val="bottom"/>
        <w:rPr>
          <w:b/>
          <w:sz w:val="21"/>
          <w:szCs w:val="28"/>
        </w:rPr>
      </w:pPr>
    </w:p>
    <w:p>
      <w:pPr>
        <w:pStyle w:val="13"/>
        <w:framePr w:y="14176"/>
        <w:rPr>
          <w:color w:val="000000"/>
        </w:rPr>
      </w:pPr>
      <w:r>
        <w:rPr>
          <w:color w:val="000000"/>
        </w:rPr>
        <w:t xml:space="preserve"> </w:t>
      </w:r>
      <w:r>
        <w:rPr>
          <w:rFonts w:hint="eastAsia" w:ascii="黑体"/>
          <w:color w:val="000000"/>
        </w:rPr>
        <w:t>202</w:t>
      </w:r>
      <w:r>
        <w:rPr>
          <w:rFonts w:hint="eastAsia" w:ascii="黑体"/>
          <w:color w:val="000000"/>
          <w:lang w:val="en-US" w:eastAsia="zh-CN"/>
        </w:rPr>
        <w:t>4</w:t>
      </w:r>
      <w:r>
        <w:rPr>
          <w:rFonts w:ascii="黑体"/>
          <w:color w:val="000000"/>
        </w:rPr>
        <w:t>-</w:t>
      </w:r>
      <w:r>
        <w:rPr>
          <w:rFonts w:hint="eastAsia" w:ascii="黑体"/>
          <w:color w:val="000000"/>
        </w:rPr>
        <w:t>X</w:t>
      </w:r>
      <w:r>
        <w:rPr>
          <w:rFonts w:ascii="黑体"/>
          <w:color w:val="000000"/>
        </w:rPr>
        <w:t>X-XX</w:t>
      </w:r>
      <w:r>
        <w:rPr>
          <w:color w:val="000000"/>
        </w:rPr>
        <w:t xml:space="preserve"> </w:t>
      </w:r>
      <w:r>
        <w:rPr>
          <w:rFonts w:hint="eastAsia"/>
          <w:color w:val="000000"/>
        </w:rPr>
        <w:t>发布</w:t>
      </w:r>
    </w:p>
    <w:p>
      <w:pPr>
        <w:pStyle w:val="13"/>
        <w:framePr w:y="14176"/>
        <w:ind w:firstLine="1400" w:firstLineChars="500"/>
        <w:rPr>
          <w:color w:val="000000"/>
        </w:rPr>
      </w:pPr>
    </w:p>
    <w:p>
      <w:pPr>
        <w:rPr>
          <w:rFonts w:ascii="宋体" w:hAnsi="宋体"/>
          <w:sz w:val="28"/>
          <w:szCs w:val="28"/>
        </w:rPr>
      </w:pPr>
    </w:p>
    <w:p>
      <w:pPr>
        <w:pStyle w:val="8"/>
        <w:framePr w:x="1566" w:y="4465"/>
        <w:rPr>
          <w:lang w:val="fr-FR"/>
        </w:rPr>
      </w:pPr>
    </w:p>
    <w:p>
      <w:pPr>
        <w:pStyle w:val="8"/>
        <w:framePr w:x="1566" w:y="4465"/>
        <w:tabs>
          <w:tab w:val="left" w:pos="6682"/>
          <w:tab w:val="right" w:pos="9476"/>
        </w:tabs>
        <w:ind w:firstLine="6720" w:firstLineChars="2400"/>
        <w:jc w:val="left"/>
        <w:rPr>
          <w:rFonts w:hint="eastAsia" w:hAnsi="黑体" w:eastAsia="黑体"/>
          <w:color w:val="000000"/>
          <w:lang w:eastAsia="zh-CN"/>
        </w:rPr>
      </w:pPr>
      <w:r>
        <w:rPr>
          <w:color w:val="000000"/>
          <w:lang w:val="fr-FR"/>
        </w:rPr>
        <w:t>DB</w:t>
      </w:r>
      <w:r>
        <w:rPr>
          <w:rFonts w:hint="eastAsia"/>
          <w:color w:val="000000"/>
        </w:rPr>
        <w:t>6540/T</w:t>
      </w:r>
      <w:r>
        <w:rPr>
          <w:rFonts w:hint="eastAsia"/>
          <w:color w:val="000000"/>
          <w:lang w:val="en-US" w:eastAsia="zh-CN"/>
        </w:rPr>
        <w:t xml:space="preserve"> </w:t>
      </w:r>
      <w:r>
        <w:rPr>
          <w:rFonts w:hAnsi="黑体"/>
          <w:color w:val="000000"/>
          <w:lang w:val="fr-FR"/>
        </w:rPr>
        <w:t>—</w:t>
      </w:r>
      <w:r>
        <w:rPr>
          <w:rFonts w:hint="eastAsia" w:hAnsi="黑体"/>
          <w:color w:val="000000"/>
        </w:rPr>
        <w:t>202</w:t>
      </w:r>
      <w:r>
        <w:rPr>
          <w:rFonts w:hint="eastAsia" w:hAnsi="黑体"/>
          <w:color w:val="000000"/>
          <w:lang w:val="en-US" w:eastAsia="zh-CN"/>
        </w:rPr>
        <w:t>4</w:t>
      </w:r>
    </w:p>
    <w:p>
      <w:pPr>
        <w:rPr>
          <w:rFonts w:ascii="宋体" w:hAnsi="宋体"/>
          <w:sz w:val="28"/>
          <w:szCs w:val="28"/>
        </w:rPr>
      </w:pPr>
    </w:p>
    <w:p>
      <w:pPr>
        <w:pStyle w:val="18"/>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-XX-XX</w:t>
      </w:r>
      <w:r>
        <w:rPr>
          <w:color w:val="000000"/>
        </w:rPr>
        <w:t xml:space="preserve"> </w:t>
      </w:r>
      <w:r>
        <w:rPr>
          <w:rFonts w:hint="eastAsia"/>
          <w:color w:val="000000"/>
        </w:rPr>
        <w:t>实施</w:t>
      </w:r>
    </w:p>
    <w:p>
      <w:pPr>
        <w:pStyle w:val="10"/>
        <w:framePr w:w="9639" w:h="624" w:hRule="exact" w:hSpace="181" w:vSpace="181" w:vAnchor="page" w:hAnchor="page" w:x="1305" w:y="3906"/>
        <w:rPr>
          <w:rFonts w:ascii="黑体" w:hAnsi="黑体" w:eastAsia="黑体"/>
          <w:b w:val="0"/>
          <w:bCs w:val="0"/>
          <w:w w:val="100"/>
          <w:sz w:val="48"/>
          <w:szCs w:val="48"/>
        </w:rPr>
      </w:pPr>
      <w:r>
        <w:rPr>
          <w:rFonts w:hint="eastAsia" w:ascii="黑体" w:hAnsi="黑体" w:eastAsia="黑体"/>
          <w:b w:val="0"/>
          <w:bCs w:val="0"/>
          <w:w w:val="100"/>
          <w:sz w:val="48"/>
          <w:szCs w:val="48"/>
          <w:lang w:eastAsia="zh-CN"/>
        </w:rPr>
        <w:t>犁哈萨克自治州</w:t>
      </w:r>
      <w:r>
        <w:rPr>
          <w:rFonts w:hint="eastAsia" w:ascii="黑体" w:hAnsi="黑体" w:eastAsia="黑体"/>
          <w:b w:val="0"/>
          <w:bCs w:val="0"/>
          <w:w w:val="100"/>
          <w:sz w:val="48"/>
          <w:szCs w:val="48"/>
        </w:rPr>
        <w:t>地方标准</w:t>
      </w:r>
    </w:p>
    <w:p>
      <w:pPr>
        <w:spacing w:before="311" w:line="190" w:lineRule="auto"/>
        <w:ind w:left="5013"/>
        <w:outlineLvl w:val="0"/>
        <w:rPr>
          <w:rFonts w:ascii="Times New Roman" w:hAnsi="Times New Roman" w:eastAsia="Times New Roman" w:cs="Times New Roman"/>
          <w:sz w:val="95"/>
          <w:szCs w:val="95"/>
        </w:rPr>
      </w:pPr>
      <w:bookmarkStart w:id="18" w:name="_GoBack"/>
      <w:bookmarkEnd w:id="18"/>
      <w:r>
        <w:rPr>
          <w:rFonts w:ascii="黑体" w:hAnsi="黑体" w:eastAsia="黑体"/>
          <w:kern w:val="0"/>
          <w:sz w:val="10"/>
          <w:szCs w:val="10"/>
        </w:rPr>
        <mc:AlternateContent>
          <mc:Choice Requires="wps">
            <w:drawing>
              <wp:anchor distT="0" distB="0" distL="114300" distR="114300" simplePos="0" relativeHeight="251661312" behindDoc="0" locked="0" layoutInCell="1" allowOverlap="0">
                <wp:simplePos x="0" y="0"/>
                <wp:positionH relativeFrom="page">
                  <wp:posOffset>862330</wp:posOffset>
                </wp:positionH>
                <wp:positionV relativeFrom="page">
                  <wp:posOffset>3272155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7.9pt;margin-top:257.65pt;height:0pt;width:481.9pt;mso-position-horizontal-relative:page;mso-position-vertical-relative:page;z-index:251661312;mso-width-relative:page;mso-height-relative:page;" filled="f" stroked="t" coordsize="21600,21600" o:allowoverlap="f" o:gfxdata="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DYU6J9cAAAAMAQAADwAAAAAAAAABACAAAAAiAAAAZHJzL2Rv&#10;d25yZXYueG1sUEsBAhQAFAAAAAgAh07iQCI9xgPJAQAAXgMAAA4AAAAAAAAAAQAgAAAAJgEAAGRy&#10;cy9lMm9Eb2MueG1sUEsFBgAAAAAGAAYAWQEAAGEFAAAAAA==&#10;">
                <v:fill on="f" focussize="0,0"/>
                <v:stroke color="#000000" joinstyle="round"/>
                <v:imagedata o:title=""/>
                <o:lock v:ext="edit" aspectratio="f"/>
              </v:line>
            </w:pict>
          </mc:Fallback>
        </mc:AlternateContent>
      </w:r>
    </w:p>
    <w:p>
      <w:pPr>
        <w:pStyle w:val="15"/>
        <w:framePr w:h="584" w:hRule="exact" w:hSpace="181" w:vSpace="181" w:vAnchor="page" w:hAnchor="page" w:x="2290" w:y="15011"/>
        <w:rPr>
          <w:rFonts w:hAnsi="黑体"/>
        </w:rPr>
      </w:pPr>
      <w:r>
        <w:rPr>
          <w:rFonts w:hAnsi="黑体"/>
          <w:w w:val="100"/>
          <w:sz w:val="28"/>
        </w:rPr>
        <w:fldChar w:fldCharType="begin">
          <w:ffData>
            <w:name w:val="fm"/>
            <w:enabled/>
            <w:calcOnExit w:val="0"/>
            <w:textInput/>
          </w:ffData>
        </w:fldChar>
      </w:r>
      <w:bookmarkStart w:id="1"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
      <w:r>
        <w:rPr>
          <w:rFonts w:ascii="Times New Roman"/>
          <w:w w:val="100"/>
          <w:sz w:val="28"/>
        </w:rPr>
        <w:t>  </w:t>
      </w:r>
      <w:r>
        <w:rPr>
          <w:rStyle w:val="22"/>
          <w:rFonts w:hint="eastAsia" w:hAnsi="黑体"/>
          <w:position w:val="0"/>
        </w:rPr>
        <w:t>发</w:t>
      </w:r>
      <w:r>
        <w:rPr>
          <w:rStyle w:val="22"/>
          <w:rFonts w:hint="eastAsia" w:hAnsi="黑体"/>
          <w:spacing w:val="0"/>
          <w:position w:val="0"/>
        </w:rPr>
        <w:t>布</w:t>
      </w:r>
    </w:p>
    <w:p>
      <w:pPr>
        <w:spacing w:line="341" w:lineRule="auto"/>
        <w:rPr>
          <w:rFonts w:ascii="Arial"/>
          <w:sz w:val="21"/>
        </w:rPr>
      </w:pPr>
    </w:p>
    <w:p>
      <w:pPr>
        <w:pStyle w:val="2"/>
        <w:spacing w:before="101" w:line="228" w:lineRule="auto"/>
        <w:ind w:left="3897"/>
        <w:outlineLvl w:val="0"/>
        <w:rPr>
          <w:spacing w:val="-2"/>
          <w:sz w:val="31"/>
          <w:szCs w:val="31"/>
        </w:rPr>
      </w:pPr>
      <w:r>
        <w:rPr>
          <w:rFonts w:hint="eastAsia" w:ascii="宋体" w:hAnsi="宋体"/>
          <w:sz w:val="28"/>
          <w:szCs w:val="28"/>
        </w:rPr>
        <mc:AlternateContent>
          <mc:Choice Requires="wps">
            <w:drawing>
              <wp:anchor distT="0" distB="0" distL="114300" distR="114300" simplePos="0" relativeHeight="25166438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438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szHPvXAAAADgEAAA8AAAAAAAAAAQAgAAAAIgAAAGRycy9kb3du&#10;cmV2LnhtbFBLAQIUABQAAAAIAIdO4kDwxhcxxwEAAFwDAAAOAAAAAAAAAAEAIAAAACYBAABkcnMv&#10;ZTJvRG9jLnhtbFBLBQYAAAAABgAGAFkBAABfBQAAAAA=&#10;">
                <v:fill on="f" focussize="0,0"/>
                <v:stroke color="#000000" joinstyle="round"/>
                <v:imagedata o:title=""/>
                <o:lock v:ext="edit" aspectratio="f"/>
                <w10:anchorlock/>
              </v:line>
            </w:pict>
          </mc:Fallback>
        </mc:AlternateContent>
      </w:r>
    </w:p>
    <w:p>
      <w:pPr>
        <w:pStyle w:val="2"/>
        <w:spacing w:before="101" w:line="228" w:lineRule="auto"/>
        <w:ind w:left="3897"/>
        <w:outlineLvl w:val="0"/>
        <w:rPr>
          <w:spacing w:val="-2"/>
          <w:sz w:val="31"/>
          <w:szCs w:val="31"/>
        </w:rPr>
      </w:pPr>
    </w:p>
    <w:p>
      <w:pPr>
        <w:pStyle w:val="2"/>
        <w:spacing w:before="101" w:line="228" w:lineRule="auto"/>
        <w:ind w:left="3897"/>
        <w:outlineLvl w:val="0"/>
        <w:rPr>
          <w:spacing w:val="-2"/>
          <w:sz w:val="31"/>
          <w:szCs w:val="31"/>
        </w:rPr>
      </w:pPr>
    </w:p>
    <w:p>
      <w:pPr>
        <w:pStyle w:val="2"/>
        <w:spacing w:before="101" w:line="228" w:lineRule="auto"/>
        <w:ind w:left="3897"/>
        <w:outlineLvl w:val="0"/>
        <w:rPr>
          <w:sz w:val="31"/>
          <w:szCs w:val="31"/>
        </w:rPr>
      </w:pPr>
      <w:r>
        <w:rPr>
          <w:spacing w:val="-2"/>
          <w:sz w:val="31"/>
          <w:szCs w:val="31"/>
        </w:rPr>
        <w:t>前</w:t>
      </w:r>
      <w:r>
        <w:rPr>
          <w:spacing w:val="11"/>
          <w:sz w:val="31"/>
          <w:szCs w:val="31"/>
        </w:rPr>
        <w:t xml:space="preserve">    </w:t>
      </w:r>
      <w:r>
        <w:rPr>
          <w:spacing w:val="-2"/>
          <w:sz w:val="31"/>
          <w:szCs w:val="31"/>
        </w:rPr>
        <w:t>言</w:t>
      </w:r>
    </w:p>
    <w:p>
      <w:pPr>
        <w:spacing w:line="315" w:lineRule="auto"/>
        <w:rPr>
          <w:rFonts w:ascii="Arial"/>
          <w:sz w:val="21"/>
        </w:rPr>
      </w:pPr>
    </w:p>
    <w:p>
      <w:pPr>
        <w:spacing w:line="315" w:lineRule="auto"/>
        <w:rPr>
          <w:rFonts w:ascii="Arial"/>
          <w:sz w:val="21"/>
        </w:rPr>
      </w:pPr>
    </w:p>
    <w:p>
      <w:pPr>
        <w:spacing w:before="65" w:line="258" w:lineRule="auto"/>
        <w:ind w:left="3" w:right="7" w:firstLine="415"/>
        <w:rPr>
          <w:rFonts w:ascii="宋体" w:hAnsi="宋体" w:eastAsia="宋体" w:cs="宋体"/>
          <w:sz w:val="20"/>
          <w:szCs w:val="20"/>
        </w:rPr>
      </w:pPr>
      <w:r>
        <w:rPr>
          <w:rFonts w:ascii="宋体" w:hAnsi="宋体" w:eastAsia="宋体" w:cs="宋体"/>
          <w:spacing w:val="8"/>
          <w:sz w:val="20"/>
          <w:szCs w:val="20"/>
        </w:rPr>
        <w:t>本标准按照</w:t>
      </w:r>
      <w:r>
        <w:rPr>
          <w:rFonts w:ascii="宋体" w:hAnsi="宋体" w:eastAsia="宋体" w:cs="宋体"/>
          <w:sz w:val="20"/>
          <w:szCs w:val="20"/>
        </w:rPr>
        <w:t>GB</w:t>
      </w:r>
      <w:r>
        <w:rPr>
          <w:rFonts w:ascii="宋体" w:hAnsi="宋体" w:eastAsia="宋体" w:cs="宋体"/>
          <w:spacing w:val="8"/>
          <w:sz w:val="20"/>
          <w:szCs w:val="20"/>
        </w:rPr>
        <w:t>/T</w:t>
      </w:r>
      <w:r>
        <w:rPr>
          <w:rFonts w:ascii="宋体" w:hAnsi="宋体" w:eastAsia="宋体" w:cs="宋体"/>
          <w:spacing w:val="-25"/>
          <w:sz w:val="20"/>
          <w:szCs w:val="20"/>
        </w:rPr>
        <w:t xml:space="preserve"> </w:t>
      </w:r>
      <w:r>
        <w:rPr>
          <w:rFonts w:ascii="宋体" w:hAnsi="宋体" w:eastAsia="宋体" w:cs="宋体"/>
          <w:spacing w:val="8"/>
          <w:sz w:val="20"/>
          <w:szCs w:val="20"/>
        </w:rPr>
        <w:t>1.1—2020《标准化工作导则  第1部分：标准化文件的结构和起草规则》的规</w:t>
      </w:r>
      <w:r>
        <w:rPr>
          <w:rFonts w:ascii="宋体" w:hAnsi="宋体" w:eastAsia="宋体" w:cs="宋体"/>
          <w:sz w:val="20"/>
          <w:szCs w:val="20"/>
        </w:rPr>
        <w:t xml:space="preserve"> </w:t>
      </w:r>
      <w:r>
        <w:rPr>
          <w:rFonts w:ascii="宋体" w:hAnsi="宋体" w:eastAsia="宋体" w:cs="宋体"/>
          <w:spacing w:val="3"/>
          <w:sz w:val="20"/>
          <w:szCs w:val="20"/>
        </w:rPr>
        <w:t>定起草。</w:t>
      </w:r>
    </w:p>
    <w:p>
      <w:pPr>
        <w:spacing w:before="64" w:line="228" w:lineRule="auto"/>
        <w:ind w:left="419"/>
        <w:rPr>
          <w:rFonts w:ascii="宋体" w:hAnsi="宋体" w:eastAsia="宋体" w:cs="宋体"/>
          <w:sz w:val="20"/>
          <w:szCs w:val="20"/>
        </w:rPr>
      </w:pPr>
      <w:r>
        <w:rPr>
          <w:rFonts w:ascii="宋体" w:hAnsi="宋体" w:eastAsia="宋体" w:cs="宋体"/>
          <w:spacing w:val="8"/>
          <w:sz w:val="20"/>
          <w:szCs w:val="20"/>
        </w:rPr>
        <w:t>本标准由伊犁哈萨克自治州农业农村局提出。</w:t>
      </w:r>
    </w:p>
    <w:p>
      <w:pPr>
        <w:spacing w:before="64" w:line="228" w:lineRule="auto"/>
        <w:ind w:left="419"/>
        <w:rPr>
          <w:rFonts w:ascii="宋体" w:hAnsi="宋体" w:eastAsia="宋体" w:cs="宋体"/>
          <w:sz w:val="20"/>
          <w:szCs w:val="20"/>
        </w:rPr>
      </w:pPr>
      <w:r>
        <w:rPr>
          <w:rFonts w:ascii="宋体" w:hAnsi="宋体" w:eastAsia="宋体" w:cs="宋体"/>
          <w:spacing w:val="8"/>
          <w:sz w:val="20"/>
          <w:szCs w:val="20"/>
        </w:rPr>
        <w:t>本标准由伊犁哈萨克自治州农业农村局归口。</w:t>
      </w:r>
    </w:p>
    <w:p>
      <w:pPr>
        <w:spacing w:before="65" w:line="228" w:lineRule="auto"/>
        <w:ind w:left="419"/>
        <w:rPr>
          <w:rFonts w:ascii="宋体" w:hAnsi="宋体" w:eastAsia="宋体" w:cs="宋体"/>
          <w:sz w:val="20"/>
          <w:szCs w:val="20"/>
        </w:rPr>
      </w:pPr>
      <w:r>
        <w:rPr>
          <w:rFonts w:ascii="宋体" w:hAnsi="宋体" w:eastAsia="宋体" w:cs="宋体"/>
          <w:spacing w:val="9"/>
          <w:sz w:val="20"/>
          <w:szCs w:val="20"/>
        </w:rPr>
        <w:t>本标准起草单位：伊犁哈萨克自治州农业科学研究所。</w:t>
      </w:r>
    </w:p>
    <w:p>
      <w:pPr>
        <w:spacing w:before="65" w:line="258" w:lineRule="auto"/>
        <w:ind w:firstLine="419"/>
        <w:rPr>
          <w:rFonts w:ascii="宋体" w:hAnsi="宋体" w:eastAsia="宋体" w:cs="宋体"/>
          <w:sz w:val="20"/>
          <w:szCs w:val="20"/>
        </w:rPr>
        <w:sectPr>
          <w:footerReference r:id="rId3" w:type="default"/>
          <w:pgSz w:w="11906" w:h="16839"/>
          <w:pgMar w:top="1431" w:right="1410" w:bottom="1309" w:left="1425" w:header="0" w:footer="1131" w:gutter="0"/>
          <w:cols w:space="720" w:num="1"/>
        </w:sectPr>
      </w:pPr>
      <w:r>
        <w:rPr>
          <w:rFonts w:ascii="宋体" w:hAnsi="宋体" w:eastAsia="宋体" w:cs="宋体"/>
          <w:spacing w:val="1"/>
          <w:sz w:val="20"/>
          <w:szCs w:val="20"/>
        </w:rPr>
        <w:t>本标准主要起草人：</w:t>
      </w:r>
      <w:r>
        <w:rPr>
          <w:rFonts w:hint="eastAsia" w:ascii="宋体" w:hAnsi="宋体" w:eastAsia="宋体" w:cs="宋体"/>
          <w:spacing w:val="1"/>
          <w:sz w:val="20"/>
          <w:szCs w:val="20"/>
          <w:lang w:val="en-US" w:eastAsia="zh-CN"/>
        </w:rPr>
        <w:t>祖勒胡玛尔·乌斯满江</w:t>
      </w:r>
      <w:r>
        <w:rPr>
          <w:rFonts w:ascii="宋体" w:hAnsi="宋体" w:eastAsia="宋体" w:cs="宋体"/>
          <w:spacing w:val="1"/>
          <w:sz w:val="20"/>
          <w:szCs w:val="20"/>
        </w:rPr>
        <w:t>、</w:t>
      </w:r>
      <w:r>
        <w:rPr>
          <w:rFonts w:hint="eastAsia" w:ascii="宋体" w:hAnsi="宋体" w:eastAsia="宋体" w:cs="宋体"/>
          <w:spacing w:val="1"/>
          <w:sz w:val="20"/>
          <w:szCs w:val="20"/>
        </w:rPr>
        <w:t>阿里别里根·哈孜太</w:t>
      </w:r>
      <w:r>
        <w:rPr>
          <w:rFonts w:ascii="宋体" w:hAnsi="宋体" w:eastAsia="宋体" w:cs="宋体"/>
          <w:spacing w:val="1"/>
          <w:sz w:val="20"/>
          <w:szCs w:val="20"/>
        </w:rPr>
        <w:t>、</w:t>
      </w:r>
      <w:r>
        <w:rPr>
          <w:rFonts w:hint="eastAsia" w:ascii="宋体" w:hAnsi="宋体" w:eastAsia="宋体" w:cs="宋体"/>
          <w:sz w:val="20"/>
          <w:szCs w:val="20"/>
        </w:rPr>
        <w:t>哈尼帕·哈再斯</w:t>
      </w:r>
      <w:r>
        <w:rPr>
          <w:rFonts w:ascii="宋体" w:hAnsi="宋体" w:eastAsia="宋体" w:cs="宋体"/>
          <w:sz w:val="20"/>
          <w:szCs w:val="20"/>
        </w:rPr>
        <w:t>、</w:t>
      </w:r>
      <w:r>
        <w:rPr>
          <w:rFonts w:hint="eastAsia" w:ascii="宋体" w:hAnsi="宋体" w:eastAsia="宋体" w:cs="宋体"/>
          <w:spacing w:val="1"/>
          <w:sz w:val="20"/>
          <w:szCs w:val="20"/>
        </w:rPr>
        <w:t>守合热提·牙地卡尔</w:t>
      </w:r>
      <w:r>
        <w:rPr>
          <w:rFonts w:hint="eastAsia" w:ascii="宋体" w:hAnsi="宋体" w:eastAsia="宋体" w:cs="宋体"/>
          <w:sz w:val="20"/>
          <w:szCs w:val="20"/>
        </w:rPr>
        <w:t>邹乔生</w:t>
      </w:r>
      <w:r>
        <w:rPr>
          <w:rFonts w:hint="eastAsia" w:ascii="宋体" w:hAnsi="宋体" w:eastAsia="宋体" w:cs="宋体"/>
          <w:spacing w:val="7"/>
          <w:sz w:val="20"/>
          <w:szCs w:val="20"/>
          <w:lang w:eastAsia="zh-CN"/>
        </w:rPr>
        <w:t>、</w:t>
      </w:r>
      <w:r>
        <w:rPr>
          <w:rFonts w:hint="eastAsia" w:ascii="宋体" w:hAnsi="宋体" w:eastAsia="宋体" w:cs="宋体"/>
          <w:spacing w:val="7"/>
          <w:sz w:val="20"/>
          <w:szCs w:val="20"/>
          <w:lang w:val="en-US" w:eastAsia="zh-CN"/>
        </w:rPr>
        <w:t>朱增芳</w:t>
      </w:r>
      <w:r>
        <w:rPr>
          <w:rFonts w:ascii="宋体" w:hAnsi="宋体" w:eastAsia="宋体" w:cs="宋体"/>
          <w:spacing w:val="7"/>
          <w:sz w:val="20"/>
          <w:szCs w:val="20"/>
        </w:rPr>
        <w:t>、</w:t>
      </w:r>
      <w:r>
        <w:rPr>
          <w:rFonts w:hint="eastAsia" w:ascii="宋体" w:hAnsi="宋体" w:eastAsia="宋体" w:cs="宋体"/>
          <w:spacing w:val="7"/>
          <w:sz w:val="20"/>
          <w:szCs w:val="20"/>
        </w:rPr>
        <w:t>张正</w:t>
      </w:r>
      <w:r>
        <w:rPr>
          <w:rFonts w:hint="eastAsia" w:ascii="宋体" w:hAnsi="宋体" w:eastAsia="宋体" w:cs="宋体"/>
          <w:spacing w:val="7"/>
          <w:sz w:val="20"/>
          <w:szCs w:val="20"/>
          <w:lang w:eastAsia="zh-CN"/>
        </w:rPr>
        <w:t>、崔新菊。</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1、范围</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本文件规定了盐碱地纤维亚麻栽培技术规程的术语和定义、产地环境条件、主要病虫害防治和收获等要求。本文件适用于中高度盐碱地亚麻的栽培。</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2、</w:t>
      </w:r>
      <w:bookmarkStart w:id="2" w:name="_Toc94321320"/>
      <w:bookmarkStart w:id="3" w:name="_Toc154485215"/>
      <w:bookmarkStart w:id="4" w:name="_Toc26718931"/>
      <w:bookmarkStart w:id="5" w:name="_Toc26986531"/>
      <w:bookmarkStart w:id="6" w:name="_Toc94319313"/>
      <w:bookmarkStart w:id="7" w:name="_Toc94319145"/>
      <w:bookmarkStart w:id="8" w:name="_Toc94309645"/>
      <w:bookmarkStart w:id="9" w:name="_Toc26986772"/>
      <w:bookmarkStart w:id="10" w:name="_Toc94319105"/>
      <w:r>
        <w:rPr>
          <w:rFonts w:hint="eastAsia" w:ascii="宋体" w:hAnsi="宋体" w:eastAsia="宋体" w:cs="宋体"/>
          <w:b/>
          <w:bCs w:val="0"/>
          <w:szCs w:val="22"/>
          <w:lang w:val="en-US" w:eastAsia="zh-CN"/>
        </w:rPr>
        <w:t>规范性引用文件</w:t>
      </w:r>
      <w:bookmarkEnd w:id="2"/>
      <w:bookmarkEnd w:id="3"/>
      <w:bookmarkEnd w:id="4"/>
      <w:bookmarkEnd w:id="5"/>
      <w:bookmarkEnd w:id="6"/>
      <w:bookmarkEnd w:id="7"/>
      <w:bookmarkEnd w:id="8"/>
      <w:bookmarkEnd w:id="9"/>
      <w:bookmarkEnd w:id="10"/>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下列文件中的内容通过文中的规范性引用而构成本标准必不可少的条款。其中，注日期的引用文件，仅该日期对应的版本适用适用于本标准：不注日期的引用文件，其最新版本（包括所有的修改单）适用于本标准。</w:t>
      </w:r>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GB 3095   环境空气质量标准</w:t>
      </w:r>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GB 4285   农药安全使用标准</w:t>
      </w:r>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GB 4407.1 经作作物种子 第一部分：纤维</w:t>
      </w:r>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GB 5084   农田灌溉水质标准</w:t>
      </w:r>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GB/T 5707 纺织名词（麻部分）</w:t>
      </w:r>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GB/T 8321 农药安全使用准则（所以部分）</w:t>
      </w:r>
    </w:p>
    <w:p>
      <w:pPr>
        <w:adjustRightInd/>
        <w:spacing w:line="240" w:lineRule="auto"/>
        <w:ind w:firstLine="420" w:firstLineChars="200"/>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GB  15168 土壤环境质量标准</w:t>
      </w:r>
    </w:p>
    <w:p>
      <w:pPr>
        <w:adjustRightInd/>
        <w:spacing w:line="240" w:lineRule="auto"/>
        <w:ind w:firstLine="420" w:firstLineChars="200"/>
        <w:rPr>
          <w:rFonts w:hint="default"/>
          <w:lang w:val="en-US" w:eastAsia="zh-CN"/>
        </w:rPr>
      </w:pPr>
      <w:r>
        <w:rPr>
          <w:rFonts w:hint="eastAsia" w:ascii="宋体" w:hAnsi="宋体" w:eastAsia="宋体" w:cs="宋体"/>
          <w:b w:val="0"/>
          <w:bCs/>
          <w:kern w:val="0"/>
          <w:sz w:val="21"/>
          <w:szCs w:val="22"/>
          <w:lang w:val="en-US" w:eastAsia="zh-CN" w:bidi="ar-SA"/>
        </w:rPr>
        <w:t>NY/T 496  肥料合理使用准则 通则</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3、</w:t>
      </w:r>
      <w:bookmarkStart w:id="11" w:name="_Toc94309646"/>
      <w:bookmarkStart w:id="12" w:name="_Toc94321321"/>
      <w:bookmarkStart w:id="13" w:name="_Toc154485216"/>
      <w:bookmarkStart w:id="14" w:name="_Toc94319314"/>
      <w:bookmarkStart w:id="15" w:name="_Toc94319146"/>
      <w:bookmarkStart w:id="16" w:name="_Toc94319106"/>
      <w:r>
        <w:rPr>
          <w:rFonts w:hint="eastAsia" w:ascii="宋体" w:hAnsi="宋体" w:eastAsia="宋体" w:cs="宋体"/>
          <w:b/>
          <w:bCs w:val="0"/>
          <w:szCs w:val="22"/>
          <w:lang w:val="en-US" w:eastAsia="zh-CN"/>
        </w:rPr>
        <w:t>术语和定义</w:t>
      </w:r>
      <w:bookmarkEnd w:id="11"/>
      <w:bookmarkEnd w:id="12"/>
      <w:bookmarkEnd w:id="13"/>
      <w:bookmarkEnd w:id="14"/>
      <w:bookmarkEnd w:id="15"/>
      <w:bookmarkEnd w:id="16"/>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bookmarkStart w:id="17" w:name="_Toc26986532"/>
      <w:bookmarkEnd w:id="17"/>
      <w:r>
        <w:rPr>
          <w:rFonts w:hint="eastAsia" w:ascii="宋体" w:hAnsi="宋体" w:eastAsia="宋体" w:cs="宋体"/>
          <w:b w:val="0"/>
          <w:bCs/>
          <w:szCs w:val="22"/>
          <w:lang w:val="en-US" w:eastAsia="zh-CN"/>
        </w:rPr>
        <w:t>下列术语和定义适用于本文件。</w:t>
      </w:r>
    </w:p>
    <w:p>
      <w:pPr>
        <w:pStyle w:val="17"/>
        <w:ind w:left="0" w:leftChars="0" w:firstLine="0" w:firstLineChars="0"/>
        <w:rPr>
          <w:rFonts w:hint="eastAsia" w:ascii="宋体" w:hAnsi="宋体" w:eastAsia="宋体" w:cs="宋体"/>
          <w:b/>
          <w:bCs w:val="0"/>
          <w:sz w:val="21"/>
          <w:szCs w:val="22"/>
          <w:lang w:val="en-US" w:eastAsia="zh-CN" w:bidi="ar-SA"/>
        </w:rPr>
      </w:pPr>
      <w:r>
        <w:rPr>
          <w:rFonts w:hint="eastAsia" w:ascii="宋体" w:hAnsi="宋体" w:eastAsia="宋体" w:cs="宋体"/>
          <w:b/>
          <w:bCs w:val="0"/>
          <w:sz w:val="21"/>
          <w:szCs w:val="22"/>
          <w:lang w:val="en-US" w:eastAsia="zh-CN" w:bidi="ar-SA"/>
        </w:rPr>
        <w:t>3.1 亚麻</w:t>
      </w:r>
    </w:p>
    <w:p>
      <w:pPr>
        <w:pStyle w:val="17"/>
        <w:ind w:left="0" w:leftChars="0" w:firstLine="0" w:firstLineChars="0"/>
        <w:rPr>
          <w:rFonts w:hint="default" w:hAnsi="宋体" w:cs="宋体"/>
          <w:b w:val="0"/>
          <w:bCs/>
          <w:szCs w:val="22"/>
          <w:lang w:val="en-US" w:eastAsia="zh-CN"/>
        </w:rPr>
      </w:pPr>
      <w:r>
        <w:rPr>
          <w:rFonts w:hint="eastAsia" w:hAnsi="宋体" w:cs="宋体"/>
          <w:b w:val="0"/>
          <w:bCs/>
          <w:szCs w:val="22"/>
          <w:lang w:val="en-US" w:eastAsia="zh-CN"/>
        </w:rPr>
        <w:t xml:space="preserve">    亚麻为亚麻科（Linaceae）亚麻属（Linum）植物。亚麻分为纤维用型亚麻、油用型亚麻、油纤兼用型亚麻，本规程所涉及的是纤维用型亚麻。</w:t>
      </w:r>
    </w:p>
    <w:p>
      <w:pPr>
        <w:pStyle w:val="17"/>
        <w:ind w:left="0" w:leftChars="0" w:firstLine="0" w:firstLineChars="0"/>
        <w:rPr>
          <w:rFonts w:hint="default" w:ascii="宋体" w:hAnsi="宋体" w:eastAsia="宋体" w:cs="宋体"/>
          <w:b/>
          <w:bCs w:val="0"/>
          <w:sz w:val="21"/>
          <w:szCs w:val="22"/>
          <w:lang w:val="en-US" w:eastAsia="zh-CN" w:bidi="ar-SA"/>
        </w:rPr>
      </w:pPr>
      <w:r>
        <w:rPr>
          <w:rFonts w:hint="eastAsia" w:hAnsi="宋体" w:cs="宋体"/>
          <w:b/>
          <w:bCs w:val="0"/>
          <w:sz w:val="21"/>
          <w:szCs w:val="22"/>
          <w:lang w:val="en-US" w:eastAsia="zh-CN" w:bidi="ar-SA"/>
        </w:rPr>
        <w:t>4、 土地盐碱度水平划分</w:t>
      </w:r>
    </w:p>
    <w:p>
      <w:pPr>
        <w:pStyle w:val="17"/>
        <w:rPr>
          <w:rFonts w:hint="default"/>
          <w:lang w:val="en-US" w:eastAsia="zh-CN"/>
        </w:rPr>
      </w:pPr>
      <w:r>
        <w:rPr>
          <w:rFonts w:hint="eastAsia" w:hAnsi="宋体" w:cs="宋体"/>
          <w:b w:val="0"/>
          <w:bCs/>
          <w:szCs w:val="22"/>
          <w:lang w:val="en-US" w:eastAsia="zh-CN"/>
        </w:rPr>
        <w:t>土壤环境质量符合GB15618的规定。中度盐碱地：30cm土层全盐量0.2%-0.4%;高度盐碱地：30cm土层全盐量0.4%-0.6%。</w:t>
      </w:r>
    </w:p>
    <w:p>
      <w:pPr>
        <w:pStyle w:val="17"/>
        <w:ind w:left="0" w:leftChars="0" w:firstLine="0" w:firstLineChars="0"/>
        <w:rPr>
          <w:rFonts w:hint="default" w:ascii="宋体" w:hAnsi="宋体" w:eastAsia="宋体" w:cs="宋体"/>
          <w:b/>
          <w:bCs w:val="0"/>
          <w:sz w:val="21"/>
          <w:szCs w:val="22"/>
          <w:lang w:val="en-US" w:eastAsia="zh-CN" w:bidi="ar-SA"/>
        </w:rPr>
      </w:pPr>
      <w:r>
        <w:rPr>
          <w:rFonts w:hint="eastAsia" w:hAnsi="宋体" w:cs="宋体"/>
          <w:b/>
          <w:bCs w:val="0"/>
          <w:sz w:val="21"/>
          <w:szCs w:val="22"/>
          <w:lang w:val="en-US" w:eastAsia="zh-CN" w:bidi="ar-SA"/>
        </w:rPr>
        <w:t>5</w:t>
      </w:r>
      <w:r>
        <w:rPr>
          <w:rFonts w:hint="eastAsia" w:ascii="宋体" w:hAnsi="宋体" w:eastAsia="宋体" w:cs="宋体"/>
          <w:b/>
          <w:bCs w:val="0"/>
          <w:sz w:val="21"/>
          <w:szCs w:val="22"/>
          <w:lang w:val="en-US" w:eastAsia="zh-CN" w:bidi="ar-SA"/>
        </w:rPr>
        <w:t>、栽培</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5.1品种选择及种子处理</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选用耐盐性强，丰产综合性状优良的品种，筛选中高度盐碱地耐盐品种。如中亚麻3号，伊亚3号。种子要求纯度为95%，净度为97%，发芽率不低于90%,水份低于10%。种子质量符合GB4407.1的规定。</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5.2播前准备</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5.2.1整地</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前茬作物收割后将秸秆粉碎还田，深耕深松30cm左右，播前精细把地整地。</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5.2.2 施肥</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结合整地每667m</w:t>
      </w:r>
      <w:r>
        <w:rPr>
          <w:rFonts w:hint="eastAsia" w:ascii="宋体" w:hAnsi="宋体" w:eastAsia="宋体" w:cs="宋体"/>
          <w:b w:val="0"/>
          <w:bCs/>
          <w:szCs w:val="22"/>
          <w:vertAlign w:val="superscript"/>
          <w:lang w:val="en-US" w:eastAsia="zh-CN"/>
        </w:rPr>
        <w:t>2</w:t>
      </w:r>
      <w:r>
        <w:rPr>
          <w:rFonts w:hint="eastAsia" w:ascii="宋体" w:hAnsi="宋体" w:eastAsia="宋体" w:cs="宋体"/>
          <w:b w:val="0"/>
          <w:bCs/>
          <w:szCs w:val="22"/>
          <w:lang w:val="en-US" w:eastAsia="zh-CN"/>
        </w:rPr>
        <w:t>施脱硫石膏200kg，每667m</w:t>
      </w:r>
      <w:r>
        <w:rPr>
          <w:rFonts w:hint="eastAsia" w:ascii="宋体" w:hAnsi="宋体" w:eastAsia="宋体" w:cs="宋体"/>
          <w:b w:val="0"/>
          <w:bCs/>
          <w:szCs w:val="22"/>
          <w:vertAlign w:val="superscript"/>
          <w:lang w:val="en-US" w:eastAsia="zh-CN"/>
        </w:rPr>
        <w:t>2</w:t>
      </w:r>
      <w:r>
        <w:rPr>
          <w:rFonts w:hint="eastAsia" w:ascii="宋体" w:hAnsi="宋体" w:eastAsia="宋体" w:cs="宋体"/>
          <w:b w:val="0"/>
          <w:bCs/>
          <w:szCs w:val="22"/>
          <w:lang w:val="en-US" w:eastAsia="zh-CN"/>
        </w:rPr>
        <w:t>施尿素3kg-5kg，磷酸二胺3kg～5kg，磷酸钾肥5-7kg，有机肥200kg-250kg，播种机播施。</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6、播种</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6.1 播种时间</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当5cm土壤日平均气温稳定达到≥7℃开始播种，播种期以3月下旬至4月上旬为宜。</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6.2 播种方法</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采用机械条播，等行距播种，播种行距20cm，深度3-4cm，不要漏播、重播，力求播种均匀，严禁撒播。播完后及时的镇压保墒。</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6.3播种量</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按千粒重和发芽率计算667m</w:t>
      </w:r>
      <w:r>
        <w:rPr>
          <w:rFonts w:hint="eastAsia" w:ascii="宋体" w:hAnsi="宋体" w:eastAsia="宋体" w:cs="宋体"/>
          <w:b w:val="0"/>
          <w:bCs/>
          <w:szCs w:val="22"/>
          <w:vertAlign w:val="superscript"/>
          <w:lang w:val="en-US" w:eastAsia="zh-CN"/>
        </w:rPr>
        <w:t>2</w:t>
      </w:r>
      <w:r>
        <w:rPr>
          <w:rFonts w:hint="eastAsia" w:ascii="宋体" w:hAnsi="宋体" w:eastAsia="宋体" w:cs="宋体"/>
          <w:b w:val="0"/>
          <w:bCs/>
          <w:szCs w:val="22"/>
          <w:lang w:val="en-US" w:eastAsia="zh-CN"/>
        </w:rPr>
        <w:t>播量160万粒，每667m</w:t>
      </w:r>
      <w:r>
        <w:rPr>
          <w:rFonts w:hint="eastAsia" w:ascii="宋体" w:hAnsi="宋体" w:eastAsia="宋体" w:cs="宋体"/>
          <w:b w:val="0"/>
          <w:bCs/>
          <w:szCs w:val="22"/>
          <w:vertAlign w:val="superscript"/>
          <w:lang w:val="en-US" w:eastAsia="zh-CN"/>
        </w:rPr>
        <w:t>2</w:t>
      </w:r>
      <w:r>
        <w:rPr>
          <w:rFonts w:hint="eastAsia" w:ascii="宋体" w:hAnsi="宋体" w:eastAsia="宋体" w:cs="宋体"/>
          <w:b w:val="0"/>
          <w:bCs/>
          <w:szCs w:val="22"/>
          <w:lang w:val="en-US" w:eastAsia="zh-CN"/>
        </w:rPr>
        <w:t>播种量7-8kg，每667m</w:t>
      </w:r>
      <w:r>
        <w:rPr>
          <w:rFonts w:hint="eastAsia" w:ascii="宋体" w:hAnsi="宋体" w:eastAsia="宋体" w:cs="宋体"/>
          <w:b w:val="0"/>
          <w:bCs/>
          <w:szCs w:val="22"/>
          <w:vertAlign w:val="superscript"/>
          <w:lang w:val="en-US" w:eastAsia="zh-CN"/>
        </w:rPr>
        <w:t>2</w:t>
      </w:r>
      <w:r>
        <w:rPr>
          <w:rFonts w:hint="eastAsia" w:ascii="宋体" w:hAnsi="宋体" w:eastAsia="宋体" w:cs="宋体"/>
          <w:b w:val="0"/>
          <w:bCs/>
          <w:szCs w:val="22"/>
          <w:lang w:val="en-US" w:eastAsia="zh-CN"/>
        </w:rPr>
        <w:t>保苗30-40万株。</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7、田间管理</w:t>
      </w:r>
    </w:p>
    <w:p>
      <w:pPr>
        <w:pStyle w:val="20"/>
        <w:numPr>
          <w:ilvl w:val="0"/>
          <w:numId w:val="0"/>
        </w:numPr>
        <w:snapToGrid w:val="0"/>
        <w:spacing w:before="0" w:beforeLines="0" w:after="0" w:afterLines="0" w:line="360" w:lineRule="auto"/>
        <w:rPr>
          <w:rFonts w:hint="eastAsia" w:ascii="宋体" w:hAnsi="宋体" w:eastAsia="宋体" w:cs="宋体"/>
          <w:b w:val="0"/>
          <w:bCs/>
          <w:szCs w:val="22"/>
          <w:lang w:val="en-US" w:eastAsia="zh-CN"/>
        </w:rPr>
      </w:pPr>
      <w:r>
        <w:rPr>
          <w:rFonts w:hint="eastAsia" w:ascii="宋体" w:hAnsi="宋体" w:eastAsia="宋体" w:cs="宋体"/>
          <w:b/>
          <w:bCs w:val="0"/>
          <w:szCs w:val="22"/>
          <w:lang w:val="en-US" w:eastAsia="zh-CN"/>
        </w:rPr>
        <w:t>7.1 浇水</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出苗15-20天每667m</w:t>
      </w:r>
      <w:r>
        <w:rPr>
          <w:rFonts w:hint="eastAsia" w:ascii="宋体" w:hAnsi="宋体" w:eastAsia="宋体" w:cs="宋体"/>
          <w:b w:val="0"/>
          <w:bCs/>
          <w:szCs w:val="22"/>
          <w:vertAlign w:val="superscript"/>
          <w:lang w:val="en-US" w:eastAsia="zh-CN"/>
        </w:rPr>
        <w:t>2</w:t>
      </w:r>
      <w:r>
        <w:rPr>
          <w:rFonts w:hint="eastAsia" w:ascii="宋体" w:hAnsi="宋体" w:eastAsia="宋体" w:cs="宋体"/>
          <w:b w:val="0"/>
          <w:bCs/>
          <w:szCs w:val="22"/>
          <w:lang w:val="en-US" w:eastAsia="zh-CN"/>
        </w:rPr>
        <w:t>灌水6-8m</w:t>
      </w:r>
      <w:r>
        <w:rPr>
          <w:rFonts w:hint="eastAsia" w:ascii="宋体" w:hAnsi="宋体" w:eastAsia="宋体" w:cs="宋体"/>
          <w:b w:val="0"/>
          <w:bCs/>
          <w:szCs w:val="22"/>
          <w:vertAlign w:val="superscript"/>
          <w:lang w:val="en-US" w:eastAsia="zh-CN"/>
        </w:rPr>
        <w:t>3</w:t>
      </w:r>
      <w:r>
        <w:rPr>
          <w:rFonts w:hint="eastAsia" w:ascii="宋体" w:hAnsi="宋体" w:eastAsia="宋体" w:cs="宋体"/>
          <w:b w:val="0"/>
          <w:bCs/>
          <w:szCs w:val="22"/>
          <w:lang w:val="en-US" w:eastAsia="zh-CN"/>
        </w:rPr>
        <w:t>，苗高10-15cm时每667m</w:t>
      </w:r>
      <w:r>
        <w:rPr>
          <w:rFonts w:hint="eastAsia" w:ascii="宋体" w:hAnsi="宋体" w:eastAsia="宋体" w:cs="宋体"/>
          <w:b w:val="0"/>
          <w:bCs/>
          <w:szCs w:val="22"/>
          <w:vertAlign w:val="superscript"/>
          <w:lang w:val="en-US" w:eastAsia="zh-CN"/>
        </w:rPr>
        <w:t>2</w:t>
      </w:r>
      <w:r>
        <w:rPr>
          <w:rFonts w:hint="eastAsia" w:ascii="宋体" w:hAnsi="宋体" w:eastAsia="宋体" w:cs="宋体"/>
          <w:b w:val="0"/>
          <w:bCs/>
          <w:szCs w:val="22"/>
          <w:lang w:val="en-US" w:eastAsia="zh-CN"/>
        </w:rPr>
        <w:t>灌水8-10m</w:t>
      </w:r>
      <w:r>
        <w:rPr>
          <w:rFonts w:hint="eastAsia" w:ascii="宋体" w:hAnsi="宋体" w:eastAsia="宋体" w:cs="宋体"/>
          <w:b w:val="0"/>
          <w:bCs/>
          <w:szCs w:val="22"/>
          <w:vertAlign w:val="superscript"/>
          <w:lang w:val="en-US" w:eastAsia="zh-CN"/>
        </w:rPr>
        <w:t>3</w:t>
      </w:r>
      <w:r>
        <w:rPr>
          <w:rFonts w:hint="eastAsia" w:ascii="宋体" w:hAnsi="宋体" w:eastAsia="宋体" w:cs="宋体"/>
          <w:b w:val="0"/>
          <w:bCs/>
          <w:szCs w:val="22"/>
          <w:lang w:val="en-US" w:eastAsia="zh-CN"/>
        </w:rPr>
        <w:t>。中后期按照土壤墒情灌水1-2次，每次灌水8-10m</w:t>
      </w:r>
      <w:r>
        <w:rPr>
          <w:rFonts w:hint="eastAsia" w:ascii="宋体" w:hAnsi="宋体" w:eastAsia="宋体" w:cs="宋体"/>
          <w:b w:val="0"/>
          <w:bCs/>
          <w:szCs w:val="22"/>
          <w:vertAlign w:val="superscript"/>
          <w:lang w:val="en-US" w:eastAsia="zh-CN"/>
        </w:rPr>
        <w:t>3</w:t>
      </w:r>
      <w:r>
        <w:rPr>
          <w:rFonts w:hint="eastAsia" w:ascii="宋体" w:hAnsi="宋体" w:eastAsia="宋体" w:cs="宋体"/>
          <w:b w:val="0"/>
          <w:bCs/>
          <w:szCs w:val="22"/>
          <w:lang w:val="en-US" w:eastAsia="zh-CN"/>
        </w:rPr>
        <w:t>。</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7.2 苗期管理</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管理目标:达到五苗，即早苗、全苗、匀苗、壮苗、齐苗，促壮苗早发。苗高5-7cm中耕第一次，苗高17-20cm中耕第二次。</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7.3查苗补种</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播种后及时对田边地角及漏播处补种。</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7.4主要病虫草害防治</w:t>
      </w:r>
    </w:p>
    <w:p>
      <w:pPr>
        <w:pStyle w:val="20"/>
        <w:numPr>
          <w:ilvl w:val="0"/>
          <w:numId w:val="0"/>
        </w:numPr>
        <w:snapToGrid w:val="0"/>
        <w:spacing w:before="0" w:beforeLines="0" w:after="0" w:afterLines="0" w:line="360" w:lineRule="auto"/>
        <w:ind w:firstLine="420" w:firstLineChars="200"/>
        <w:rPr>
          <w:rFonts w:hint="eastAsia" w:ascii="宋体" w:hAnsi="宋体" w:eastAsia="宋体" w:cs="宋体"/>
          <w:b w:val="0"/>
          <w:bCs/>
          <w:szCs w:val="22"/>
          <w:lang w:val="en-US" w:eastAsia="zh-CN"/>
        </w:rPr>
      </w:pPr>
      <w:r>
        <w:rPr>
          <w:rFonts w:hint="eastAsia" w:ascii="宋体" w:hAnsi="宋体" w:eastAsia="宋体" w:cs="宋体"/>
          <w:b w:val="0"/>
          <w:bCs/>
          <w:szCs w:val="22"/>
          <w:lang w:val="en-US" w:eastAsia="zh-CN"/>
        </w:rPr>
        <w:t>主要病虫害有:枯萎病、白粉病，蚜虫、漏油虫等。主要阔叶杂草廖、卷茎蓼、野油菜、反枝苑、田旋花、芭买菜、小蓟、红根范菜；禾本科杂草有野燕麦、草、狗尾草以及菟丝子等。病、虫草害防治详见伊犁州农业科学研究所起草的《油用亚麻病虫草害防止技术规范》（DB6540/T 006—2022）。</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8 、收获</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8.1最佳时期</w:t>
      </w:r>
    </w:p>
    <w:p>
      <w:pPr>
        <w:jc w:val="left"/>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当亚麻原茎达到工艺成熟期，是收获的最佳时期8.2标准特征。</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8.2标准</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val="0"/>
          <w:bCs/>
          <w:kern w:val="0"/>
          <w:sz w:val="21"/>
          <w:szCs w:val="22"/>
          <w:lang w:val="en-US" w:eastAsia="zh-CN" w:bidi="ar-SA"/>
        </w:rPr>
      </w:pPr>
      <w:r>
        <w:rPr>
          <w:rFonts w:hint="eastAsia" w:ascii="宋体" w:hAnsi="宋体" w:eastAsia="宋体" w:cs="宋体"/>
          <w:b/>
          <w:bCs w:val="0"/>
          <w:kern w:val="0"/>
          <w:sz w:val="21"/>
          <w:szCs w:val="22"/>
          <w:lang w:val="en-US" w:eastAsia="zh-CN" w:bidi="ar-SA"/>
        </w:rPr>
        <w:t xml:space="preserve">8.2.1 </w:t>
      </w:r>
      <w:r>
        <w:rPr>
          <w:rFonts w:hint="eastAsia" w:ascii="宋体" w:hAnsi="宋体" w:eastAsia="宋体" w:cs="宋体"/>
          <w:b w:val="0"/>
          <w:bCs/>
          <w:kern w:val="0"/>
          <w:sz w:val="21"/>
          <w:szCs w:val="22"/>
          <w:lang w:val="en-US" w:eastAsia="zh-CN" w:bidi="ar-SA"/>
        </w:rPr>
        <w:t>麻田有1/3的麻桃变成黄褐色；</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val="0"/>
          <w:bCs/>
          <w:kern w:val="0"/>
          <w:sz w:val="21"/>
          <w:szCs w:val="22"/>
          <w:lang w:val="en-US" w:eastAsia="zh-CN" w:bidi="ar-SA"/>
        </w:rPr>
      </w:pPr>
      <w:r>
        <w:rPr>
          <w:rFonts w:hint="eastAsia" w:ascii="宋体" w:hAnsi="宋体" w:eastAsia="宋体" w:cs="宋体"/>
          <w:b/>
          <w:bCs w:val="0"/>
          <w:kern w:val="0"/>
          <w:sz w:val="21"/>
          <w:szCs w:val="22"/>
          <w:lang w:val="en-US" w:eastAsia="zh-CN" w:bidi="ar-SA"/>
        </w:rPr>
        <w:t xml:space="preserve">8.2.2 </w:t>
      </w:r>
      <w:r>
        <w:rPr>
          <w:rFonts w:hint="eastAsia" w:ascii="宋体" w:hAnsi="宋体" w:eastAsia="宋体" w:cs="宋体"/>
          <w:b w:val="0"/>
          <w:bCs/>
          <w:kern w:val="0"/>
          <w:sz w:val="21"/>
          <w:szCs w:val="22"/>
          <w:lang w:val="en-US" w:eastAsia="zh-CN" w:bidi="ar-SA"/>
        </w:rPr>
        <w:t>麻茎有1/3变为黄色；</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val="0"/>
          <w:bCs/>
          <w:kern w:val="0"/>
          <w:sz w:val="21"/>
          <w:szCs w:val="22"/>
          <w:lang w:val="en-US" w:eastAsia="zh-CN" w:bidi="ar-SA"/>
        </w:rPr>
      </w:pPr>
      <w:r>
        <w:rPr>
          <w:rFonts w:hint="eastAsia" w:ascii="宋体" w:hAnsi="宋体" w:eastAsia="宋体" w:cs="宋体"/>
          <w:b/>
          <w:bCs w:val="0"/>
          <w:kern w:val="0"/>
          <w:sz w:val="21"/>
          <w:szCs w:val="22"/>
          <w:lang w:val="en-US" w:eastAsia="zh-CN" w:bidi="ar-SA"/>
        </w:rPr>
        <w:t xml:space="preserve">8.2.3 </w:t>
      </w:r>
      <w:r>
        <w:rPr>
          <w:rFonts w:hint="eastAsia" w:ascii="宋体" w:hAnsi="宋体" w:eastAsia="宋体" w:cs="宋体"/>
          <w:b w:val="0"/>
          <w:bCs/>
          <w:kern w:val="0"/>
          <w:sz w:val="21"/>
          <w:szCs w:val="22"/>
          <w:lang w:val="en-US" w:eastAsia="zh-CN" w:bidi="ar-SA"/>
        </w:rPr>
        <w:t>麻下部叶子有1/3脱落。</w:t>
      </w:r>
    </w:p>
    <w:p>
      <w:pPr>
        <w:pStyle w:val="20"/>
        <w:numPr>
          <w:ilvl w:val="0"/>
          <w:numId w:val="0"/>
        </w:numPr>
        <w:snapToGrid w:val="0"/>
        <w:spacing w:before="0" w:beforeLines="0" w:after="0" w:afterLines="0" w:line="360" w:lineRule="auto"/>
        <w:rPr>
          <w:rFonts w:hint="eastAsia" w:ascii="宋体" w:hAnsi="宋体" w:eastAsia="宋体" w:cs="宋体"/>
          <w:b/>
          <w:bCs w:val="0"/>
          <w:szCs w:val="22"/>
          <w:lang w:val="en-US" w:eastAsia="zh-CN"/>
        </w:rPr>
      </w:pPr>
      <w:r>
        <w:rPr>
          <w:rFonts w:hint="eastAsia" w:ascii="宋体" w:hAnsi="宋体" w:eastAsia="宋体" w:cs="宋体"/>
          <w:b/>
          <w:bCs w:val="0"/>
          <w:szCs w:val="22"/>
          <w:lang w:val="en-US" w:eastAsia="zh-CN"/>
        </w:rPr>
        <w:t>8.3要求</w:t>
      </w:r>
    </w:p>
    <w:p>
      <w:pPr>
        <w:numPr>
          <w:ilvl w:val="0"/>
          <w:numId w:val="0"/>
        </w:numPr>
        <w:spacing w:line="360" w:lineRule="auto"/>
        <w:ind w:firstLine="420" w:firstLineChars="200"/>
        <w:jc w:val="both"/>
        <w:rPr>
          <w:rFonts w:hint="eastAsia" w:ascii="宋体" w:hAnsi="宋体" w:eastAsia="宋体" w:cs="宋体"/>
          <w:b w:val="0"/>
          <w:bCs/>
          <w:kern w:val="0"/>
          <w:sz w:val="21"/>
          <w:szCs w:val="22"/>
          <w:lang w:val="en-US" w:eastAsia="zh-CN" w:bidi="ar-SA"/>
        </w:rPr>
      </w:pPr>
      <w:r>
        <w:rPr>
          <w:rFonts w:hint="eastAsia" w:ascii="宋体" w:hAnsi="宋体" w:eastAsia="宋体" w:cs="宋体"/>
          <w:b w:val="0"/>
          <w:bCs/>
          <w:kern w:val="0"/>
          <w:sz w:val="21"/>
          <w:szCs w:val="22"/>
          <w:lang w:val="en-US" w:eastAsia="zh-CN" w:bidi="ar-SA"/>
        </w:rPr>
        <w:t>在这个时期内最好抓紧时间，要求在2-3天内拔完。拔麻后晾晒1-2天，脱下的种子要做到随脱粒、随筛、随入库，避免雨浇、伤热、霉烂，丧失发芽能力。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jc w:val="right"/>
      <w:rPr>
        <w:rFonts w:ascii="宋体" w:hAnsi="宋体" w:eastAsia="宋体" w:cs="宋体"/>
        <w:sz w:val="18"/>
        <w:szCs w:val="18"/>
      </w:rPr>
    </w:pPr>
    <w:r>
      <w:rPr>
        <w:rFonts w:ascii="宋体" w:hAnsi="宋体" w:eastAsia="宋体" w:cs="宋体"/>
        <w:spacing w:val="-17"/>
        <w:sz w:val="18"/>
        <w:szCs w:val="18"/>
      </w:rPr>
      <w:t>I</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lvlText w:val="[%1]"/>
      <w:lvlJc w:val="left"/>
      <w:pPr>
        <w:tabs>
          <w:tab w:val="left" w:pos="1646"/>
        </w:tabs>
        <w:ind w:left="1646" w:hanging="648"/>
      </w:pPr>
    </w:lvl>
    <w:lvl w:ilvl="1" w:tentative="0">
      <w:start w:val="1"/>
      <w:numFmt w:val="lowerLetter"/>
      <w:pStyle w:val="20"/>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1"/>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70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288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kNDlhOTI1YWY0MDE3ZTI3MzE2YTUyMGM3ZDQxZTgifQ=="/>
  </w:docVars>
  <w:rsids>
    <w:rsidRoot w:val="722E6122"/>
    <w:rsid w:val="013D44A0"/>
    <w:rsid w:val="02355837"/>
    <w:rsid w:val="0B865C4F"/>
    <w:rsid w:val="173E582B"/>
    <w:rsid w:val="19634FB3"/>
    <w:rsid w:val="1BC93D85"/>
    <w:rsid w:val="1DF33BAB"/>
    <w:rsid w:val="1EC877CE"/>
    <w:rsid w:val="26D347EC"/>
    <w:rsid w:val="2A7E571E"/>
    <w:rsid w:val="307A6FC1"/>
    <w:rsid w:val="3A887A37"/>
    <w:rsid w:val="3BDF1600"/>
    <w:rsid w:val="3F43088C"/>
    <w:rsid w:val="409C6BCE"/>
    <w:rsid w:val="40B81F6B"/>
    <w:rsid w:val="41E256AA"/>
    <w:rsid w:val="4344621B"/>
    <w:rsid w:val="44155938"/>
    <w:rsid w:val="55911F8E"/>
    <w:rsid w:val="5A6D7B09"/>
    <w:rsid w:val="5C507600"/>
    <w:rsid w:val="5F3B002C"/>
    <w:rsid w:val="61CF2BAA"/>
    <w:rsid w:val="62025EAE"/>
    <w:rsid w:val="67334BBF"/>
    <w:rsid w:val="68D66878"/>
    <w:rsid w:val="6D2707B4"/>
    <w:rsid w:val="720479FC"/>
    <w:rsid w:val="722E6122"/>
    <w:rsid w:val="7B9026E5"/>
    <w:rsid w:val="7C276C45"/>
    <w:rsid w:val="7E335A47"/>
    <w:rsid w:val="7E3C2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8"/>
      <w:szCs w:val="28"/>
      <w:lang w:val="en-US" w:eastAsia="en-US" w:bidi="ar-SA"/>
    </w:rPr>
  </w:style>
  <w:style w:type="paragraph" w:styleId="3">
    <w:name w:val="header"/>
    <w:basedOn w:val="1"/>
    <w:qFormat/>
    <w:uiPriority w:val="99"/>
    <w:pPr>
      <w:tabs>
        <w:tab w:val="center" w:pos="4153"/>
        <w:tab w:val="right" w:pos="8306"/>
      </w:tabs>
      <w:adjustRightInd/>
      <w:snapToGrid w:val="0"/>
      <w:jc w:val="center"/>
    </w:pPr>
    <w:rPr>
      <w:rFonts w:ascii="Times New Roman" w:hAnsi="Times New Roman"/>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
    <w:name w:val="标准文件_文件编号"/>
    <w:basedOn w:val="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1">
    <w:name w:val="标准文件_文件名称"/>
    <w:basedOn w:val="9"/>
    <w:next w:val="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
    <w:name w:val="其他发布日期"/>
    <w:basedOn w:val="14"/>
    <w:qFormat/>
    <w:uiPriority w:val="0"/>
    <w:pPr>
      <w:framePr w:w="3997" w:h="471" w:hRule="exact" w:hSpace="0" w:vSpace="181" w:vAnchor="page" w:hAnchor="page" w:x="1419" w:y="14097"/>
    </w:pPr>
  </w:style>
  <w:style w:type="paragraph" w:customStyle="1" w:styleId="1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5">
    <w:name w:val="其他发布部门"/>
    <w:basedOn w:val="16"/>
    <w:qFormat/>
    <w:uiPriority w:val="0"/>
    <w:pPr>
      <w:spacing w:line="0" w:lineRule="atLeast"/>
    </w:pPr>
    <w:rPr>
      <w:rFonts w:ascii="黑体" w:eastAsia="黑体"/>
      <w:b w:val="0"/>
    </w:rPr>
  </w:style>
  <w:style w:type="paragraph" w:customStyle="1" w:styleId="16">
    <w:name w:val="发布部门"/>
    <w:next w:val="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其他实施日期"/>
    <w:basedOn w:val="19"/>
    <w:qFormat/>
    <w:uiPriority w:val="0"/>
    <w:pPr>
      <w:framePr w:w="3997" w:h="471" w:hRule="exact" w:vSpace="181" w:vAnchor="page" w:hAnchor="page" w:x="7089" w:y="14097"/>
    </w:pPr>
  </w:style>
  <w:style w:type="paragraph" w:customStyle="1" w:styleId="19">
    <w:name w:val="实施日期"/>
    <w:basedOn w:val="14"/>
    <w:qFormat/>
    <w:uiPriority w:val="0"/>
    <w:pPr>
      <w:framePr w:hSpace="0" w:xAlign="right"/>
      <w:jc w:val="right"/>
    </w:pPr>
  </w:style>
  <w:style w:type="paragraph" w:customStyle="1" w:styleId="20">
    <w:name w:val="章标题"/>
    <w:next w:val="17"/>
    <w:qFormat/>
    <w:uiPriority w:val="0"/>
    <w:pPr>
      <w:numPr>
        <w:ilvl w:val="1"/>
        <w:numId w:val="1"/>
      </w:numPr>
      <w:spacing w:before="50" w:beforeLines="50" w:after="50" w:afterLines="50"/>
      <w:jc w:val="both"/>
      <w:outlineLvl w:val="1"/>
    </w:pPr>
    <w:rPr>
      <w:rFonts w:ascii="黑体" w:eastAsia="黑体" w:hAnsiTheme="minorHAnsi" w:cstheme="minorBidi"/>
      <w:sz w:val="21"/>
      <w:lang w:val="en-US" w:eastAsia="zh-CN" w:bidi="ar-SA"/>
    </w:rPr>
  </w:style>
  <w:style w:type="paragraph" w:customStyle="1" w:styleId="21">
    <w:name w:val="标准文件_章标题"/>
    <w:next w:val="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character" w:customStyle="1" w:styleId="22">
    <w:name w:val="发布"/>
    <w:basedOn w:val="4"/>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1351</Words>
  <Characters>1754</Characters>
  <Lines>0</Lines>
  <Paragraphs>0</Paragraphs>
  <TotalTime>1</TotalTime>
  <ScaleCrop>false</ScaleCrop>
  <LinksUpToDate>false</LinksUpToDate>
  <CharactersWithSpaces>1831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2023-12-25T15:20:00Z</dcterms:created>
  <dc:creator>哈尼帕</dc:creator>
  <cp:lastModifiedBy>Administrator</cp:lastModifiedBy>
  <cp:lastPrinted>2024-03-25T04:30:00Z</cp:lastPrinted>
  <dcterms:modified xsi:type="dcterms:W3CDTF">2024-11-12T11:29:38Z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ICV">
    <vt:lpwstr>5A562ABD03D44E4EA5F042BE797F6C88_11</vt:lpwstr>
  </property>
</Properties>
</file>