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DF20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BD199B0">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794BE31">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14:paraId="1953F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02B80F1">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6D34D83">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05</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2C9FB3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18DEE939">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6540</w:t>
            </w:r>
            <w:r>
              <w:fldChar w:fldCharType="end"/>
            </w:r>
            <w:bookmarkEnd w:id="3"/>
          </w:p>
        </w:tc>
      </w:tr>
    </w:tbl>
    <w:p w14:paraId="33793801">
      <w:pPr>
        <w:pStyle w:val="52"/>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伊犁哈萨克自治州</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916A7BC">
      <w:pPr>
        <w:pStyle w:val="197"/>
        <w:rPr>
          <w:rFonts w:hint="eastAsia" w:eastAsia="黑体"/>
          <w:lang w:val="en-US" w:eastAsia="zh-CN"/>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6540</w:t>
      </w:r>
      <w:r>
        <w:rPr>
          <w:lang w:val="fr-FR"/>
        </w:rPr>
        <w:t>/T</w:t>
      </w:r>
      <w:r>
        <w:fldChar w:fldCharType="end"/>
      </w:r>
      <w:bookmarkEnd w:id="5"/>
      <w:r>
        <w:rPr>
          <w:lang w:val="fr-FR"/>
        </w:rPr>
        <w:t xml:space="preserve"> </w:t>
      </w:r>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t>202</w:t>
      </w:r>
      <w:r>
        <w:fldChar w:fldCharType="end"/>
      </w:r>
      <w:bookmarkEnd w:id="6"/>
      <w:r>
        <w:rPr>
          <w:rFonts w:hint="eastAsia"/>
          <w:lang w:val="en-US" w:eastAsia="zh-CN"/>
        </w:rPr>
        <w:t>4</w:t>
      </w:r>
    </w:p>
    <w:p w14:paraId="67C39F9C">
      <w:pPr>
        <w:pStyle w:val="198"/>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78443CFC">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7DEA8A3">
      <w:pPr>
        <w:pStyle w:val="52"/>
        <w:framePr w:w="9639" w:h="6976" w:hRule="exact" w:hSpace="0" w:vSpace="0" w:wrap="around" w:hAnchor="page" w:y="6408"/>
        <w:jc w:val="center"/>
        <w:rPr>
          <w:rFonts w:ascii="黑体" w:hAnsi="黑体" w:eastAsia="黑体"/>
          <w:b w:val="0"/>
          <w:bCs w:val="0"/>
          <w:w w:val="100"/>
        </w:rPr>
      </w:pPr>
    </w:p>
    <w:p w14:paraId="586202B6">
      <w:pPr>
        <w:pStyle w:val="199"/>
        <w:framePr w:h="6974" w:hRule="exact" w:wrap="around" w:x="1419" w:anchorLock="1"/>
        <w:rPr>
          <w:rFonts w:hint="default" w:eastAsia="黑体"/>
          <w:lang w:val="en-US" w:eastAsia="zh-CN"/>
        </w:rPr>
      </w:pPr>
      <w:r>
        <w:rPr>
          <w:rFonts w:hint="eastAsia"/>
          <w:lang w:val="en-US" w:eastAsia="zh-CN"/>
        </w:rPr>
        <w:t>设施蔬菜茄子栽培技术规程</w:t>
      </w:r>
    </w:p>
    <w:p w14:paraId="238A10C7">
      <w:pPr>
        <w:framePr w:w="9639" w:h="6974" w:hRule="exact" w:wrap="around" w:vAnchor="page" w:hAnchor="page" w:x="1419" w:y="6408" w:anchorLock="1"/>
        <w:ind w:left="-1418"/>
      </w:pPr>
    </w:p>
    <w:p w14:paraId="6ED4DC59">
      <w:pPr>
        <w:pStyle w:val="127"/>
        <w:framePr w:w="9639" w:h="6974" w:hRule="exact" w:wrap="around" w:vAnchor="page" w:hAnchor="page" w:x="1419" w:y="6408" w:anchorLock="1"/>
        <w:textAlignment w:val="bottom"/>
        <w:rPr>
          <w:rFonts w:eastAsia="黑体"/>
          <w:b/>
          <w:bCs/>
          <w:szCs w:val="28"/>
        </w:rPr>
      </w:pPr>
      <w:r>
        <w:rPr>
          <w:rFonts w:eastAsia="黑体"/>
          <w:b/>
          <w:bCs/>
          <w:szCs w:val="28"/>
        </w:rPr>
        <w:fldChar w:fldCharType="begin">
          <w:ffData>
            <w:name w:val="ESTD_NAME"/>
            <w:enabled/>
            <w:calcOnExit w:val="0"/>
            <w:textInput>
              <w:default w:val="点击此处添加标准名称的英文译名"/>
            </w:textInput>
          </w:ffData>
        </w:fldChar>
      </w:r>
      <w:bookmarkStart w:id="8" w:name="ESTD_NAME"/>
      <w:r>
        <w:rPr>
          <w:rFonts w:eastAsia="黑体"/>
          <w:b/>
          <w:bCs/>
          <w:szCs w:val="28"/>
        </w:rPr>
        <w:instrText xml:space="preserve"> FORMTEXT </w:instrText>
      </w:r>
      <w:r>
        <w:rPr>
          <w:rFonts w:eastAsia="黑体"/>
          <w:b/>
          <w:bCs/>
          <w:szCs w:val="28"/>
        </w:rPr>
        <w:fldChar w:fldCharType="separate"/>
      </w:r>
      <w:r>
        <w:rPr>
          <w:rFonts w:eastAsia="黑体"/>
          <w:b/>
          <w:bCs/>
          <w:szCs w:val="28"/>
        </w:rPr>
        <w:t xml:space="preserve">Technical </w:t>
      </w:r>
      <w:r>
        <w:rPr>
          <w:rFonts w:hint="eastAsia" w:eastAsia="黑体"/>
          <w:b/>
          <w:bCs/>
          <w:szCs w:val="28"/>
          <w:lang w:val="en-US" w:eastAsia="zh-CN"/>
        </w:rPr>
        <w:t>regulations</w:t>
      </w:r>
      <w:r>
        <w:rPr>
          <w:rFonts w:eastAsia="黑体"/>
          <w:b/>
          <w:bCs/>
          <w:szCs w:val="28"/>
        </w:rPr>
        <w:t xml:space="preserve"> of </w:t>
      </w:r>
      <w:r>
        <w:rPr>
          <w:rFonts w:hint="eastAsia" w:eastAsia="黑体"/>
          <w:b/>
          <w:bCs/>
          <w:szCs w:val="28"/>
          <w:lang w:val="en-US" w:eastAsia="zh-CN"/>
        </w:rPr>
        <w:t>eggplant cultivation</w:t>
      </w:r>
      <w:r>
        <w:rPr>
          <w:rFonts w:eastAsia="黑体"/>
          <w:b/>
          <w:bCs/>
          <w:szCs w:val="28"/>
        </w:rPr>
        <w:t xml:space="preserve"> </w:t>
      </w:r>
      <w:r>
        <w:rPr>
          <w:rFonts w:hint="eastAsia" w:eastAsia="黑体"/>
          <w:b/>
          <w:bCs/>
          <w:szCs w:val="28"/>
          <w:lang w:val="en-US" w:eastAsia="zh-CN"/>
        </w:rPr>
        <w:t>of fccilities</w:t>
      </w:r>
      <w:r>
        <w:rPr>
          <w:rFonts w:eastAsia="黑体"/>
          <w:b/>
          <w:bCs/>
          <w:szCs w:val="28"/>
        </w:rPr>
        <w:t xml:space="preserve"> </w:t>
      </w:r>
      <w:r>
        <w:rPr>
          <w:rFonts w:hint="eastAsia" w:eastAsia="黑体"/>
          <w:b/>
          <w:bCs/>
          <w:szCs w:val="28"/>
          <w:lang w:val="en-US" w:eastAsia="zh-CN"/>
        </w:rPr>
        <w:t>vegetables</w:t>
      </w:r>
      <w:r>
        <w:rPr>
          <w:rFonts w:eastAsia="黑体"/>
          <w:b/>
          <w:bCs/>
          <w:szCs w:val="28"/>
        </w:rPr>
        <w:fldChar w:fldCharType="end"/>
      </w:r>
      <w:bookmarkEnd w:id="8"/>
    </w:p>
    <w:p w14:paraId="480EC561">
      <w:pPr>
        <w:framePr w:w="9639" w:h="6974" w:hRule="exact" w:wrap="around" w:vAnchor="page" w:hAnchor="page" w:x="1419" w:y="6408" w:anchorLock="1"/>
        <w:spacing w:line="760" w:lineRule="exact"/>
        <w:ind w:left="-1418"/>
      </w:pPr>
    </w:p>
    <w:p w14:paraId="1441669F">
      <w:pPr>
        <w:pStyle w:val="127"/>
        <w:framePr w:w="9639" w:h="6974" w:hRule="exact" w:wrap="around" w:vAnchor="page" w:hAnchor="page" w:x="1419" w:y="6408" w:anchorLock="1"/>
        <w:textAlignment w:val="bottom"/>
        <w:rPr>
          <w:rFonts w:eastAsia="黑体"/>
          <w:szCs w:val="28"/>
        </w:rPr>
      </w:pPr>
    </w:p>
    <w:p w14:paraId="0CB0928A">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4B913405">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14:paraId="40440A4A">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0A7D09AF">
      <w:pPr>
        <w:pStyle w:val="195"/>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202</w:t>
      </w:r>
      <w:r>
        <w:rPr>
          <w:rFonts w:ascii="黑体"/>
        </w:rPr>
        <w:fldChar w:fldCharType="end"/>
      </w:r>
      <w:bookmarkEnd w:id="12"/>
      <w:r>
        <w:rPr>
          <w:rFonts w:hint="eastAsia" w:ascii="黑体"/>
          <w:lang w:val="en-US" w:eastAsia="zh-CN"/>
        </w:rPr>
        <w:t>4</w:t>
      </w:r>
      <w:r>
        <w:t xml:space="preserve"> </w:t>
      </w:r>
      <w:r>
        <w:rPr>
          <w:rFonts w:ascii="黑体"/>
        </w:rPr>
        <w:t>-</w:t>
      </w:r>
      <w:r>
        <w:t xml:space="preserve">  </w:t>
      </w:r>
      <w:r>
        <w:rPr>
          <w:rFonts w:ascii="黑体"/>
        </w:rPr>
        <w:t>-</w:t>
      </w:r>
      <w:r>
        <w:t xml:space="preserve"> </w:t>
      </w:r>
      <w:r>
        <w:rPr>
          <w:rFonts w:hint="eastAsia"/>
          <w:lang w:val="en-US" w:eastAsia="zh-CN"/>
        </w:rPr>
        <w:t xml:space="preserve"> </w:t>
      </w:r>
      <w:r>
        <w:rPr>
          <w:rFonts w:hint="eastAsia"/>
        </w:rPr>
        <w:t>发布</w:t>
      </w:r>
    </w:p>
    <w:p w14:paraId="2740E207">
      <w:pPr>
        <w:pStyle w:val="196"/>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202</w:t>
      </w:r>
      <w:r>
        <w:rPr>
          <w:rFonts w:ascii="黑体"/>
        </w:rPr>
        <w:fldChar w:fldCharType="end"/>
      </w:r>
      <w:bookmarkEnd w:id="13"/>
      <w:r>
        <w:rPr>
          <w:rFonts w:hint="eastAsia" w:ascii="黑体"/>
          <w:lang w:val="en-US" w:eastAsia="zh-CN"/>
        </w:rPr>
        <w:t>4</w:t>
      </w:r>
      <w:r>
        <w:t xml:space="preserve"> </w:t>
      </w:r>
      <w:r>
        <w:rPr>
          <w:rFonts w:ascii="黑体"/>
        </w:rPr>
        <w:t>-</w:t>
      </w:r>
      <w:r>
        <w:t xml:space="preserve">  </w:t>
      </w:r>
      <w:r>
        <w:rPr>
          <w:rFonts w:ascii="黑体"/>
        </w:rPr>
        <w:t>-</w:t>
      </w:r>
      <w:r>
        <w:t xml:space="preserve"> </w:t>
      </w:r>
      <w:r>
        <w:rPr>
          <w:rFonts w:hint="eastAsia"/>
          <w:lang w:val="en-US" w:eastAsia="zh-CN"/>
        </w:rPr>
        <w:t xml:space="preserve"> </w:t>
      </w:r>
      <w:r>
        <w:rPr>
          <w:rFonts w:hint="eastAsia"/>
        </w:rPr>
        <w:t>实施</w:t>
      </w:r>
    </w:p>
    <w:p w14:paraId="341246EF">
      <w:pPr>
        <w:pStyle w:val="15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4" w:name="fm"/>
      <w:r>
        <w:rPr>
          <w:rFonts w:hAnsi="黑体"/>
          <w:w w:val="100"/>
          <w:sz w:val="28"/>
        </w:rPr>
        <w:instrText xml:space="preserve"> FORMTEXT </w:instrText>
      </w:r>
      <w:r>
        <w:rPr>
          <w:rFonts w:hAnsi="黑体"/>
          <w:w w:val="100"/>
          <w:sz w:val="28"/>
        </w:rPr>
        <w:fldChar w:fldCharType="separate"/>
      </w:r>
      <w:r>
        <w:rPr>
          <w:rFonts w:hint="eastAsia" w:hAnsi="黑体"/>
          <w:w w:val="100"/>
          <w:sz w:val="28"/>
        </w:rPr>
        <w:t>伊犁哈萨克自治州市场监督管理局</w:t>
      </w:r>
      <w:r>
        <w:rPr>
          <w:rFonts w:hAnsi="黑体"/>
          <w:w w:val="100"/>
          <w:sz w:val="28"/>
        </w:rPr>
        <w:fldChar w:fldCharType="end"/>
      </w:r>
      <w:bookmarkEnd w:id="14"/>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03BF31D9">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B2588B6">
      <w:pPr>
        <w:pStyle w:val="91"/>
        <w:spacing w:before="900" w:after="468"/>
      </w:pPr>
      <w:bookmarkStart w:id="15" w:name="BookMark2"/>
      <w:r>
        <w:rPr>
          <w:spacing w:val="320"/>
        </w:rPr>
        <w:t>前</w:t>
      </w:r>
      <w:r>
        <w:t>言</w:t>
      </w:r>
    </w:p>
    <w:p w14:paraId="57179C69">
      <w:pPr>
        <w:pStyle w:val="58"/>
        <w:ind w:firstLine="420"/>
      </w:pPr>
      <w:r>
        <w:rPr>
          <w:rFonts w:hint="eastAsia"/>
        </w:rPr>
        <w:t>本</w:t>
      </w:r>
      <w:r>
        <w:rPr>
          <w:rFonts w:hint="eastAsia"/>
          <w:lang w:val="en-US" w:eastAsia="zh-CN"/>
        </w:rPr>
        <w:t>标准</w:t>
      </w:r>
      <w:r>
        <w:rPr>
          <w:rFonts w:hint="eastAsia"/>
        </w:rPr>
        <w:t>按照GB/T 1.1—2020《标准化工作导则  第1部分：标准化文件的结构和起草规则》的规定起草。</w:t>
      </w:r>
    </w:p>
    <w:p w14:paraId="709B22B0">
      <w:pPr>
        <w:pStyle w:val="58"/>
        <w:ind w:firstLine="420"/>
        <w:rPr>
          <w:rFonts w:hint="eastAsia"/>
          <w:color w:val="000000" w:themeColor="text1"/>
          <w14:textFill>
            <w14:solidFill>
              <w14:schemeClr w14:val="tx1"/>
            </w14:solidFill>
          </w14:textFill>
        </w:rPr>
      </w:pPr>
      <w:r>
        <w:rPr>
          <w:rFonts w:hint="eastAsia"/>
        </w:rPr>
        <w:t>本</w:t>
      </w:r>
      <w:r>
        <w:rPr>
          <w:rFonts w:hint="eastAsia"/>
          <w:lang w:val="en-US" w:eastAsia="zh-CN"/>
        </w:rPr>
        <w:t>标准</w:t>
      </w:r>
      <w:r>
        <w:rPr>
          <w:rFonts w:hint="eastAsia"/>
        </w:rPr>
        <w:t>代替</w:t>
      </w:r>
      <w:r>
        <w:rPr>
          <w:rFonts w:ascii="Times New Roman" w:hAnsi="Times New Roman" w:eastAsia="宋体" w:cs="Times New Roman"/>
          <w:sz w:val="22"/>
          <w:szCs w:val="22"/>
        </w:rPr>
        <w:t>DB</w:t>
      </w:r>
      <w:r>
        <w:rPr>
          <w:rFonts w:hint="eastAsia" w:ascii="Times New Roman" w:hAnsi="Times New Roman" w:eastAsia="宋体" w:cs="Times New Roman"/>
          <w:sz w:val="22"/>
          <w:szCs w:val="22"/>
        </w:rPr>
        <w:t>N654000/T</w:t>
      </w:r>
      <w:r>
        <w:rPr>
          <w:rFonts w:hint="eastAsia" w:ascii="Times New Roman" w:cs="Times New Roman"/>
          <w:sz w:val="22"/>
          <w:szCs w:val="22"/>
          <w:lang w:val="en-US" w:eastAsia="zh-CN"/>
        </w:rPr>
        <w:t xml:space="preserve"> </w:t>
      </w:r>
      <w:r>
        <w:rPr>
          <w:rFonts w:hint="eastAsia" w:ascii="Times New Roman" w:hAnsi="Times New Roman" w:eastAsia="宋体" w:cs="Times New Roman"/>
          <w:sz w:val="22"/>
          <w:szCs w:val="22"/>
        </w:rPr>
        <w:t>2</w:t>
      </w:r>
      <w:r>
        <w:rPr>
          <w:rFonts w:hint="eastAsia" w:ascii="Times New Roman" w:cs="Times New Roman"/>
          <w:sz w:val="22"/>
          <w:szCs w:val="22"/>
          <w:lang w:val="en-US" w:eastAsia="zh-CN"/>
        </w:rPr>
        <w:t>63</w:t>
      </w:r>
      <w:r>
        <w:rPr>
          <w:rFonts w:hint="eastAsia" w:ascii="Times New Roman" w:hAnsi="Times New Roman" w:eastAsia="宋体" w:cs="Times New Roman"/>
          <w:sz w:val="22"/>
          <w:szCs w:val="22"/>
        </w:rPr>
        <w:t>-2018</w:t>
      </w:r>
      <w:r>
        <w:rPr>
          <w:rFonts w:hint="eastAsia"/>
        </w:rPr>
        <w:t>《绿色食品温室</w:t>
      </w:r>
      <w:r>
        <w:rPr>
          <w:rFonts w:hint="eastAsia"/>
          <w:lang w:val="en-US" w:eastAsia="zh-CN"/>
        </w:rPr>
        <w:t>茄子</w:t>
      </w:r>
      <w:r>
        <w:rPr>
          <w:rFonts w:hint="eastAsia"/>
        </w:rPr>
        <w:t>栽培技术规程》，与DNB654000/T</w:t>
      </w:r>
      <w:r>
        <w:t xml:space="preserve"> </w:t>
      </w:r>
      <w:r>
        <w:rPr>
          <w:rFonts w:hint="eastAsia"/>
          <w:lang w:val="en-US" w:eastAsia="zh-CN"/>
        </w:rPr>
        <w:t>263</w:t>
      </w:r>
      <w:r>
        <w:rPr>
          <w:rFonts w:hint="eastAsia"/>
        </w:rPr>
        <w:t>-201</w:t>
      </w:r>
      <w:r>
        <w:rPr>
          <w:rFonts w:hint="eastAsia"/>
          <w:lang w:val="en-US" w:eastAsia="zh-CN"/>
        </w:rPr>
        <w:t>8</w:t>
      </w:r>
      <w:r>
        <w:rPr>
          <w:rFonts w:hint="eastAsia"/>
        </w:rPr>
        <w:t>相比，除结构调整和编辑性改动外</w:t>
      </w:r>
      <w:r>
        <w:rPr>
          <w:rFonts w:hint="eastAsia"/>
          <w:color w:val="000000" w:themeColor="text1"/>
          <w14:textFill>
            <w14:solidFill>
              <w14:schemeClr w14:val="tx1"/>
            </w14:solidFill>
          </w14:textFill>
        </w:rPr>
        <w:t>，主要技术变化如下：</w:t>
      </w:r>
    </w:p>
    <w:p w14:paraId="7E8A97BF">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本标准由伊犁师范大学生物科学与技术学院、伊犁州农业技术推广总站提出修订。</w:t>
      </w:r>
    </w:p>
    <w:p w14:paraId="0ABA5D9A">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本标准由伊犁州市场监督管理局批准。</w:t>
      </w:r>
    </w:p>
    <w:p w14:paraId="3E1DBF3C">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本标准由伊犁州农业农村局归口并解释。</w:t>
      </w:r>
    </w:p>
    <w:p w14:paraId="08620627">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本标准修订单位：伊犁师范大学生物科学与技术学院、伊犁州农业技术推广总站。</w:t>
      </w:r>
    </w:p>
    <w:p w14:paraId="2888B48D">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本标准主要修订人：焦子伟、张冬梅、</w:t>
      </w:r>
      <w:r>
        <w:rPr>
          <w:rFonts w:hint="eastAsia" w:cs="Times New Roman"/>
          <w:sz w:val="21"/>
          <w:lang w:val="en-US" w:eastAsia="zh-CN" w:bidi="ar-SA"/>
        </w:rPr>
        <w:t>李美宁、</w:t>
      </w:r>
      <w:r>
        <w:rPr>
          <w:rFonts w:hint="eastAsia" w:ascii="宋体" w:hAnsi="Times New Roman" w:eastAsia="宋体" w:cs="Times New Roman"/>
          <w:sz w:val="21"/>
          <w:lang w:val="en-US" w:eastAsia="zh-CN" w:bidi="ar-SA"/>
        </w:rPr>
        <w:t>陈晓露、张定国、包建红、郭子轩</w:t>
      </w:r>
      <w:r>
        <w:rPr>
          <w:rFonts w:hint="eastAsia" w:cs="Times New Roman"/>
          <w:sz w:val="21"/>
          <w:lang w:val="en-US" w:eastAsia="zh-CN" w:bidi="ar-SA"/>
        </w:rPr>
        <w:t>、杨如箴、权力、卡地力亚、李丹丹</w:t>
      </w:r>
      <w:r>
        <w:rPr>
          <w:rFonts w:hint="eastAsia" w:ascii="宋体" w:hAnsi="Times New Roman" w:eastAsia="宋体" w:cs="Times New Roman"/>
          <w:sz w:val="21"/>
          <w:lang w:val="en-US" w:eastAsia="zh-CN" w:bidi="ar-SA"/>
        </w:rPr>
        <w:t>。</w:t>
      </w:r>
    </w:p>
    <w:p w14:paraId="4411C8B4">
      <w:pPr>
        <w:pStyle w:val="58"/>
        <w:ind w:firstLine="420"/>
      </w:pPr>
      <w:r>
        <w:rPr>
          <w:rFonts w:hint="eastAsia"/>
        </w:rPr>
        <w:t>本</w:t>
      </w:r>
      <w:r>
        <w:rPr>
          <w:rFonts w:hint="eastAsia"/>
          <w:lang w:val="en-US" w:eastAsia="zh-CN"/>
        </w:rPr>
        <w:t>标准</w:t>
      </w:r>
      <w:r>
        <w:rPr>
          <w:rFonts w:hint="eastAsia"/>
        </w:rPr>
        <w:t>将及其所代替</w:t>
      </w:r>
      <w:r>
        <w:rPr>
          <w:rFonts w:hint="eastAsia"/>
          <w:lang w:val="en-US" w:eastAsia="zh-CN"/>
        </w:rPr>
        <w:t>标准</w:t>
      </w:r>
      <w:r>
        <w:rPr>
          <w:rFonts w:hint="eastAsia"/>
        </w:rPr>
        <w:t>的历次版本发布情况为:</w:t>
      </w:r>
    </w:p>
    <w:p w14:paraId="0804431E">
      <w:pPr>
        <w:pStyle w:val="58"/>
        <w:ind w:firstLine="420"/>
        <w:rPr>
          <w:rFonts w:hint="eastAsia" w:ascii="宋体" w:eastAsia="宋体"/>
        </w:rPr>
      </w:pPr>
      <w:r>
        <w:rPr>
          <w:rFonts w:hint="eastAsia" w:ascii="宋体" w:eastAsia="宋体"/>
        </w:rPr>
        <w:t>——</w:t>
      </w:r>
      <w:r>
        <w:rPr>
          <w:rFonts w:ascii="Times New Roman" w:hAnsi="Times New Roman" w:eastAsia="宋体" w:cs="Times New Roman"/>
          <w:sz w:val="22"/>
          <w:szCs w:val="22"/>
        </w:rPr>
        <w:t>DB</w:t>
      </w:r>
      <w:r>
        <w:rPr>
          <w:rFonts w:hint="eastAsia" w:ascii="Times New Roman" w:hAnsi="Times New Roman" w:eastAsia="宋体" w:cs="Times New Roman"/>
          <w:sz w:val="22"/>
          <w:szCs w:val="22"/>
        </w:rPr>
        <w:t>N654000/T</w:t>
      </w:r>
      <w:r>
        <w:rPr>
          <w:rFonts w:hint="eastAsia" w:ascii="Times New Roman" w:cs="Times New Roman"/>
          <w:sz w:val="22"/>
          <w:szCs w:val="22"/>
          <w:lang w:val="en-US" w:eastAsia="zh-CN"/>
        </w:rPr>
        <w:t xml:space="preserve"> </w:t>
      </w:r>
      <w:r>
        <w:rPr>
          <w:rFonts w:hint="eastAsia" w:ascii="Times New Roman" w:hAnsi="Times New Roman" w:eastAsia="宋体" w:cs="Times New Roman"/>
          <w:sz w:val="22"/>
          <w:szCs w:val="22"/>
        </w:rPr>
        <w:t>2</w:t>
      </w:r>
      <w:r>
        <w:rPr>
          <w:rFonts w:hint="eastAsia" w:ascii="Times New Roman" w:cs="Times New Roman"/>
          <w:sz w:val="22"/>
          <w:szCs w:val="22"/>
          <w:lang w:val="en-US" w:eastAsia="zh-CN"/>
        </w:rPr>
        <w:t>63</w:t>
      </w:r>
      <w:r>
        <w:rPr>
          <w:rFonts w:hint="eastAsia" w:ascii="Times New Roman" w:hAnsi="Times New Roman" w:eastAsia="宋体" w:cs="Times New Roman"/>
          <w:sz w:val="22"/>
          <w:szCs w:val="22"/>
        </w:rPr>
        <w:t>-2018</w:t>
      </w:r>
      <w:r>
        <w:rPr>
          <w:rFonts w:hint="eastAsia"/>
        </w:rPr>
        <w:t>《绿色食品温室</w:t>
      </w:r>
      <w:r>
        <w:rPr>
          <w:rFonts w:hint="eastAsia"/>
          <w:lang w:val="en-US" w:eastAsia="zh-CN"/>
        </w:rPr>
        <w:t>茄子栽</w:t>
      </w:r>
      <w:r>
        <w:rPr>
          <w:rFonts w:hint="eastAsia"/>
        </w:rPr>
        <w:t>培技术规程》</w:t>
      </w:r>
    </w:p>
    <w:p w14:paraId="7E061626">
      <w:pPr>
        <w:pStyle w:val="58"/>
        <w:ind w:left="0" w:leftChars="0" w:firstLine="420" w:firstLineChars="200"/>
        <w:rPr>
          <w:rFonts w:hint="eastAsia" w:ascii="宋体" w:eastAsia="宋体"/>
          <w:lang w:val="en-US" w:eastAsia="zh-CN"/>
        </w:rPr>
      </w:pPr>
      <w:r>
        <w:rPr>
          <w:rFonts w:hint="eastAsia" w:ascii="宋体" w:eastAsia="宋体"/>
          <w:lang w:val="en-US" w:eastAsia="zh-CN"/>
        </w:rPr>
        <w:t>修订主要技术内容：</w:t>
      </w:r>
    </w:p>
    <w:p w14:paraId="398DD52C">
      <w:pPr>
        <w:pStyle w:val="58"/>
        <w:numPr>
          <w:ilvl w:val="0"/>
          <w:numId w:val="32"/>
        </w:numPr>
        <w:ind w:firstLine="420"/>
        <w:rPr>
          <w:rFonts w:hint="eastAsia" w:hAnsi="宋体" w:cs="宋体"/>
        </w:rPr>
      </w:pPr>
      <w:r>
        <w:rPr>
          <w:rFonts w:hint="eastAsia" w:hAnsi="宋体" w:cs="宋体"/>
          <w:lang w:val="en-US" w:eastAsia="zh-CN"/>
        </w:rPr>
        <w:t>标准名称修改为</w:t>
      </w:r>
      <w:r>
        <w:rPr>
          <w:rFonts w:hint="eastAsia" w:hAnsi="宋体" w:cs="宋体"/>
        </w:rPr>
        <w:t>《</w:t>
      </w:r>
      <w:r>
        <w:rPr>
          <w:rFonts w:hint="eastAsia" w:hAnsi="宋体" w:cs="宋体"/>
          <w:lang w:val="en-US" w:eastAsia="zh-CN"/>
        </w:rPr>
        <w:t>设施蔬菜茄子</w:t>
      </w:r>
      <w:r>
        <w:rPr>
          <w:rFonts w:hint="eastAsia" w:hAnsi="宋体" w:cs="宋体"/>
        </w:rPr>
        <w:t>栽培技术规程》</w:t>
      </w:r>
      <w:r>
        <w:rPr>
          <w:rFonts w:hint="eastAsia" w:hAnsi="宋体" w:cs="宋体"/>
          <w:lang w:eastAsia="zh-CN"/>
        </w:rPr>
        <w:t>。</w:t>
      </w:r>
    </w:p>
    <w:p w14:paraId="32F1C2C6">
      <w:pPr>
        <w:pStyle w:val="58"/>
        <w:numPr>
          <w:ilvl w:val="0"/>
          <w:numId w:val="32"/>
        </w:numPr>
        <w:ind w:firstLine="420"/>
        <w:rPr>
          <w:rFonts w:hint="eastAsia" w:ascii="宋体" w:hAnsi="宋体" w:eastAsia="宋体" w:cs="宋体"/>
          <w:lang w:val="en-US" w:eastAsia="zh-CN"/>
        </w:rPr>
      </w:pPr>
      <w:r>
        <w:rPr>
          <w:rFonts w:hint="eastAsia" w:hAnsi="宋体" w:cs="宋体"/>
          <w:lang w:val="en-US" w:eastAsia="zh-CN"/>
        </w:rPr>
        <w:t>1 范围</w:t>
      </w:r>
      <w:r>
        <w:rPr>
          <w:rFonts w:hint="eastAsia" w:ascii="宋体" w:hAnsi="宋体" w:eastAsia="宋体" w:cs="宋体"/>
          <w:lang w:val="en-US" w:eastAsia="zh-CN"/>
        </w:rPr>
        <w:t>。</w:t>
      </w:r>
    </w:p>
    <w:p w14:paraId="24CCA672">
      <w:pPr>
        <w:pStyle w:val="58"/>
        <w:ind w:firstLine="420"/>
        <w:rPr>
          <w:rFonts w:hint="eastAsia" w:hAnsi="宋体" w:cs="宋体"/>
          <w:lang w:val="en-US" w:eastAsia="zh-CN"/>
        </w:rPr>
      </w:pPr>
      <w:r>
        <w:rPr>
          <w:rFonts w:hint="eastAsia" w:ascii="宋体" w:hAnsi="宋体" w:eastAsia="宋体" w:cs="宋体"/>
          <w:lang w:eastAsia="zh-CN"/>
        </w:rPr>
        <w:t>（</w:t>
      </w:r>
      <w:r>
        <w:rPr>
          <w:rFonts w:hint="eastAsia" w:hAnsi="宋体" w:cs="宋体"/>
          <w:lang w:val="en-US" w:eastAsia="zh-CN"/>
        </w:rPr>
        <w:t>3</w:t>
      </w:r>
      <w:r>
        <w:rPr>
          <w:rFonts w:hint="eastAsia" w:ascii="宋体" w:hAnsi="宋体" w:eastAsia="宋体" w:cs="宋体"/>
          <w:lang w:eastAsia="zh-CN"/>
        </w:rPr>
        <w:t>）</w:t>
      </w:r>
      <w:r>
        <w:rPr>
          <w:rFonts w:hint="eastAsia" w:hAnsi="宋体" w:cs="宋体"/>
          <w:lang w:val="en-US" w:eastAsia="zh-CN"/>
        </w:rPr>
        <w:t>4.4.1 浸种的内容。</w:t>
      </w:r>
    </w:p>
    <w:p w14:paraId="6B283D11">
      <w:pPr>
        <w:pStyle w:val="58"/>
        <w:ind w:left="0" w:leftChars="0" w:firstLine="420" w:firstLineChars="200"/>
        <w:rPr>
          <w:rFonts w:hint="eastAsia" w:ascii="宋体" w:hAnsi="宋体" w:eastAsia="宋体" w:cs="宋体"/>
          <w:lang w:val="en-US" w:eastAsia="zh-CN"/>
        </w:rPr>
      </w:pPr>
      <w:r>
        <w:rPr>
          <w:rFonts w:hint="eastAsia" w:ascii="宋体" w:hAnsi="宋体" w:eastAsia="宋体" w:cs="宋体"/>
          <w:lang w:eastAsia="zh-CN"/>
        </w:rPr>
        <w:t>（</w:t>
      </w:r>
      <w:r>
        <w:rPr>
          <w:rFonts w:hint="eastAsia" w:ascii="宋体" w:hAnsi="宋体" w:eastAsia="宋体" w:cs="宋体"/>
          <w:lang w:val="en-US" w:eastAsia="zh-CN"/>
        </w:rPr>
        <w:t>4</w:t>
      </w:r>
      <w:r>
        <w:rPr>
          <w:rFonts w:hint="eastAsia" w:ascii="宋体" w:hAnsi="宋体" w:eastAsia="宋体" w:cs="宋体"/>
          <w:lang w:eastAsia="zh-CN"/>
        </w:rPr>
        <w:t>）</w:t>
      </w:r>
      <w:r>
        <w:rPr>
          <w:rFonts w:hint="eastAsia" w:ascii="宋体" w:hAnsi="宋体" w:cs="宋体"/>
          <w:lang w:val="en-US" w:eastAsia="zh-CN"/>
        </w:rPr>
        <w:t>4</w:t>
      </w:r>
      <w:r>
        <w:rPr>
          <w:rFonts w:hint="eastAsia" w:ascii="宋体" w:hAnsi="宋体" w:eastAsia="宋体" w:cs="宋体"/>
        </w:rPr>
        <w:t>.</w:t>
      </w:r>
      <w:r>
        <w:rPr>
          <w:rFonts w:hint="eastAsia" w:ascii="宋体" w:hAnsi="宋体" w:cs="宋体"/>
          <w:lang w:val="en-US" w:eastAsia="zh-CN"/>
        </w:rPr>
        <w:t>6</w:t>
      </w:r>
      <w:r>
        <w:rPr>
          <w:rFonts w:hint="eastAsia" w:ascii="宋体" w:hAnsi="宋体" w:eastAsia="宋体" w:cs="宋体"/>
        </w:rPr>
        <w:t>.</w:t>
      </w:r>
      <w:r>
        <w:rPr>
          <w:rFonts w:hint="eastAsia" w:ascii="宋体" w:hAnsi="宋体" w:cs="宋体"/>
          <w:lang w:val="en-US" w:eastAsia="zh-CN"/>
        </w:rPr>
        <w:t>1 施基肥的内容。</w:t>
      </w:r>
    </w:p>
    <w:p w14:paraId="1105299C">
      <w:pPr>
        <w:pStyle w:val="58"/>
        <w:ind w:firstLine="420"/>
        <w:rPr>
          <w:rFonts w:hint="eastAsia" w:ascii="宋体" w:hAnsi="宋体" w:eastAsia="宋体" w:cs="宋体"/>
          <w:sz w:val="21"/>
          <w:lang w:val="en-US" w:eastAsia="zh-CN" w:bidi="ar-SA"/>
        </w:rPr>
      </w:pPr>
      <w:r>
        <w:rPr>
          <w:rFonts w:hint="eastAsia" w:ascii="宋体" w:hAnsi="宋体" w:eastAsia="宋体" w:cs="宋体"/>
          <w:lang w:eastAsia="zh-CN"/>
        </w:rPr>
        <w:t>（</w:t>
      </w:r>
      <w:r>
        <w:rPr>
          <w:rFonts w:hint="eastAsia" w:ascii="宋体" w:hAnsi="宋体" w:cs="宋体"/>
          <w:lang w:val="en-US" w:eastAsia="zh-CN"/>
        </w:rPr>
        <w:t>5</w:t>
      </w:r>
      <w:r>
        <w:rPr>
          <w:rFonts w:hint="eastAsia" w:ascii="宋体" w:hAnsi="宋体" w:eastAsia="宋体" w:cs="宋体"/>
          <w:lang w:eastAsia="zh-CN"/>
        </w:rPr>
        <w:t>）</w:t>
      </w:r>
      <w:r>
        <w:rPr>
          <w:rFonts w:hint="eastAsia" w:ascii="宋体" w:hAnsi="宋体" w:eastAsia="宋体" w:cs="宋体"/>
          <w:sz w:val="21"/>
          <w:lang w:val="en-US" w:eastAsia="zh-CN" w:bidi="ar-SA"/>
        </w:rPr>
        <w:t>4.</w:t>
      </w:r>
      <w:r>
        <w:rPr>
          <w:rFonts w:hint="eastAsia" w:ascii="宋体" w:hAnsi="宋体" w:cs="宋体"/>
          <w:sz w:val="21"/>
          <w:lang w:val="en-US" w:eastAsia="zh-CN" w:bidi="ar-SA"/>
        </w:rPr>
        <w:t>10</w:t>
      </w:r>
      <w:r>
        <w:rPr>
          <w:rFonts w:hint="eastAsia" w:ascii="宋体" w:hAnsi="宋体" w:eastAsia="宋体" w:cs="宋体"/>
          <w:sz w:val="21"/>
          <w:lang w:val="en-US" w:eastAsia="zh-CN" w:bidi="ar-SA"/>
        </w:rPr>
        <w:t>.3 物理防治措施和4.</w:t>
      </w:r>
      <w:r>
        <w:rPr>
          <w:rFonts w:hint="eastAsia" w:ascii="宋体" w:hAnsi="宋体" w:cs="宋体"/>
          <w:sz w:val="21"/>
          <w:lang w:val="en-US" w:eastAsia="zh-CN" w:bidi="ar-SA"/>
        </w:rPr>
        <w:t>10</w:t>
      </w:r>
      <w:r>
        <w:rPr>
          <w:rFonts w:hint="eastAsia" w:ascii="宋体" w:hAnsi="宋体" w:eastAsia="宋体" w:cs="宋体"/>
          <w:sz w:val="21"/>
          <w:lang w:val="en-US" w:eastAsia="zh-CN" w:bidi="ar-SA"/>
        </w:rPr>
        <w:t>.4 生物化学防治措施。</w:t>
      </w:r>
    </w:p>
    <w:p w14:paraId="7D72AD02">
      <w:pPr>
        <w:pStyle w:val="58"/>
        <w:ind w:firstLine="420"/>
        <w:rPr>
          <w:rFonts w:hint="default" w:ascii="Times New Roman" w:hAnsi="Times New Roman" w:eastAsia="宋体" w:cs="Times New Roman"/>
          <w:sz w:val="21"/>
          <w:lang w:val="en-US" w:eastAsia="zh-CN" w:bidi="ar-SA"/>
        </w:rPr>
      </w:pPr>
      <w:r>
        <w:rPr>
          <w:rFonts w:hint="eastAsia" w:ascii="Times New Roman" w:cs="Times New Roman"/>
          <w:sz w:val="21"/>
          <w:lang w:val="en-US" w:eastAsia="zh-CN" w:bidi="ar-SA"/>
        </w:rPr>
        <w:t>（6）删除7 包装和8 贮运的内容。</w:t>
      </w:r>
    </w:p>
    <w:p w14:paraId="78CD51C2">
      <w:pPr>
        <w:pStyle w:val="58"/>
        <w:ind w:firstLine="420"/>
        <w:rPr>
          <w:rFonts w:hint="eastAsia" w:ascii="宋体" w:eastAsia="宋体"/>
          <w:lang w:val="en-US" w:eastAsia="zh-CN"/>
        </w:rPr>
      </w:pPr>
    </w:p>
    <w:p w14:paraId="74756875">
      <w:pPr>
        <w:pStyle w:val="58"/>
        <w:ind w:firstLine="420"/>
        <w:rPr>
          <w:rFonts w:hint="eastAsia" w:ascii="宋体" w:eastAsia="宋体"/>
          <w:lang w:val="en-US" w:eastAsia="zh-CN"/>
        </w:rPr>
      </w:pPr>
    </w:p>
    <w:p w14:paraId="5AC6D5E9">
      <w:pPr>
        <w:pStyle w:val="58"/>
        <w:ind w:firstLine="420"/>
        <w:rPr>
          <w:rFonts w:hint="eastAsia" w:ascii="宋体" w:eastAsia="宋体"/>
          <w:lang w:val="en-US" w:eastAsia="zh-CN"/>
        </w:rPr>
      </w:pPr>
    </w:p>
    <w:p w14:paraId="7AC145B5">
      <w:pPr>
        <w:pStyle w:val="58"/>
        <w:ind w:firstLine="420"/>
        <w:rPr>
          <w:rFonts w:hint="eastAsia" w:ascii="宋体" w:eastAsia="宋体"/>
          <w:lang w:val="en-US" w:eastAsia="zh-CN"/>
        </w:rPr>
      </w:pPr>
    </w:p>
    <w:p w14:paraId="165229AD">
      <w:pPr>
        <w:pStyle w:val="58"/>
        <w:ind w:firstLine="420"/>
        <w:rPr>
          <w:rFonts w:hint="eastAsia" w:ascii="宋体" w:eastAsia="宋体"/>
          <w:lang w:val="en-US" w:eastAsia="zh-CN"/>
        </w:rPr>
      </w:pPr>
    </w:p>
    <w:p w14:paraId="1814E252">
      <w:pPr>
        <w:pStyle w:val="58"/>
        <w:ind w:firstLine="420"/>
        <w:rPr>
          <w:rFonts w:hint="eastAsia" w:ascii="宋体" w:eastAsia="宋体"/>
          <w:lang w:val="en-US" w:eastAsia="zh-CN"/>
        </w:rPr>
      </w:pPr>
    </w:p>
    <w:p w14:paraId="35110601">
      <w:pPr>
        <w:pStyle w:val="58"/>
        <w:ind w:firstLine="420"/>
        <w:rPr>
          <w:rFonts w:hint="eastAsia" w:ascii="宋体" w:eastAsia="宋体"/>
          <w:lang w:val="en-US" w:eastAsia="zh-CN"/>
        </w:rPr>
      </w:pPr>
    </w:p>
    <w:p w14:paraId="4434596E">
      <w:pPr>
        <w:pStyle w:val="58"/>
        <w:ind w:firstLine="420"/>
        <w:rPr>
          <w:rFonts w:hint="eastAsia" w:ascii="宋体" w:eastAsia="宋体"/>
          <w:lang w:val="en-US" w:eastAsia="zh-CN"/>
        </w:rPr>
      </w:pPr>
    </w:p>
    <w:p w14:paraId="4C40830B">
      <w:pPr>
        <w:pStyle w:val="58"/>
        <w:ind w:firstLine="420"/>
        <w:rPr>
          <w:rFonts w:hint="eastAsia" w:ascii="宋体" w:eastAsia="宋体"/>
          <w:lang w:val="en-US" w:eastAsia="zh-CN"/>
        </w:rPr>
      </w:pPr>
    </w:p>
    <w:p w14:paraId="59B56B36">
      <w:pPr>
        <w:pStyle w:val="58"/>
        <w:ind w:firstLine="420"/>
        <w:rPr>
          <w:rFonts w:hint="eastAsia" w:ascii="宋体" w:eastAsia="宋体"/>
          <w:lang w:val="en-US" w:eastAsia="zh-CN"/>
        </w:rPr>
      </w:pPr>
    </w:p>
    <w:p w14:paraId="4C0D2F16">
      <w:pPr>
        <w:pStyle w:val="58"/>
        <w:ind w:firstLine="420"/>
        <w:rPr>
          <w:rFonts w:hint="eastAsia" w:ascii="宋体" w:eastAsia="宋体"/>
          <w:lang w:val="en-US" w:eastAsia="zh-CN"/>
        </w:rPr>
      </w:pPr>
    </w:p>
    <w:p w14:paraId="38B90655">
      <w:pPr>
        <w:pStyle w:val="58"/>
        <w:ind w:firstLine="420"/>
        <w:rPr>
          <w:rFonts w:hint="eastAsia" w:ascii="宋体" w:eastAsia="宋体"/>
          <w:lang w:val="en-US" w:eastAsia="zh-CN"/>
        </w:rPr>
      </w:pPr>
    </w:p>
    <w:p w14:paraId="01B4857C">
      <w:pPr>
        <w:pStyle w:val="58"/>
        <w:ind w:firstLine="420"/>
        <w:rPr>
          <w:rFonts w:hint="eastAsia" w:ascii="宋体" w:eastAsia="宋体"/>
          <w:lang w:val="en-US" w:eastAsia="zh-CN"/>
        </w:rPr>
      </w:pPr>
    </w:p>
    <w:p w14:paraId="69C0B526">
      <w:pPr>
        <w:pStyle w:val="58"/>
        <w:ind w:firstLine="420"/>
        <w:rPr>
          <w:rFonts w:hint="eastAsia" w:ascii="宋体" w:eastAsia="宋体"/>
          <w:lang w:val="en-US" w:eastAsia="zh-CN"/>
        </w:rPr>
      </w:pPr>
    </w:p>
    <w:p w14:paraId="6808C9C7">
      <w:pPr>
        <w:pStyle w:val="58"/>
        <w:ind w:firstLine="420"/>
        <w:rPr>
          <w:rFonts w:hint="default" w:ascii="宋体" w:eastAsia="宋体"/>
          <w:lang w:val="en-US" w:eastAsia="zh-CN"/>
        </w:rPr>
      </w:pPr>
    </w:p>
    <w:bookmarkEnd w:id="15"/>
    <w:p w14:paraId="24BDE5A4">
      <w:pPr>
        <w:spacing w:line="20" w:lineRule="exact"/>
        <w:jc w:val="center"/>
        <w:rPr>
          <w:rFonts w:ascii="黑体" w:hAnsi="黑体" w:eastAsia="黑体"/>
          <w:sz w:val="32"/>
          <w:szCs w:val="32"/>
        </w:rPr>
      </w:pPr>
      <w:bookmarkStart w:id="16" w:name="BookMark4"/>
    </w:p>
    <w:p w14:paraId="05FCD0AA">
      <w:pPr>
        <w:spacing w:line="20" w:lineRule="exact"/>
        <w:jc w:val="center"/>
        <w:rPr>
          <w:rFonts w:ascii="黑体" w:hAnsi="黑体" w:eastAsia="黑体"/>
          <w:sz w:val="32"/>
          <w:szCs w:val="32"/>
        </w:rPr>
      </w:pPr>
    </w:p>
    <w:sdt>
      <w:sdtPr>
        <w:tag w:val="NEW_STAND_NAME"/>
        <w:id w:val="595910757"/>
        <w:lock w:val="sdtLocked"/>
        <w:placeholder>
          <w:docPart w:val="5DEFB1EF1D1848D48F73EC109ACDDAD9"/>
        </w:placeholder>
      </w:sdtPr>
      <w:sdtContent>
        <w:p w14:paraId="3B282C54">
          <w:pPr>
            <w:pStyle w:val="4"/>
            <w:adjustRightInd/>
            <w:jc w:val="center"/>
            <w:rPr>
              <w:rFonts w:hint="eastAsia" w:ascii="黑体" w:hAnsi="黑体" w:eastAsia="黑体"/>
              <w:b w:val="0"/>
              <w:bCs w:val="0"/>
            </w:rPr>
          </w:pPr>
          <w:bookmarkEnd w:id="16"/>
          <w:bookmarkStart w:id="17" w:name="_Toc407692406"/>
          <w:r>
            <w:rPr>
              <w:rFonts w:hint="eastAsia" w:ascii="黑体" w:hAnsi="黑体" w:eastAsia="黑体" w:cs="黑体"/>
              <w:lang w:val="en-US" w:eastAsia="zh-CN"/>
            </w:rPr>
            <w:t>设施蔬菜</w:t>
          </w:r>
          <w:bookmarkEnd w:id="17"/>
          <w:bookmarkStart w:id="18" w:name="_Toc407692408"/>
          <w:r>
            <w:rPr>
              <w:rFonts w:ascii="黑体" w:hAnsi="黑体" w:eastAsia="黑体"/>
              <w:b w:val="0"/>
              <w:bCs w:val="0"/>
            </w:rPr>
            <w:t>茄子</w:t>
          </w:r>
          <w:r>
            <w:rPr>
              <w:rFonts w:hint="eastAsia" w:ascii="黑体" w:hAnsi="黑体" w:eastAsia="黑体"/>
              <w:b w:val="0"/>
              <w:bCs w:val="0"/>
            </w:rPr>
            <w:t>栽培</w:t>
          </w:r>
          <w:r>
            <w:rPr>
              <w:rFonts w:ascii="黑体" w:hAnsi="黑体" w:eastAsia="黑体"/>
              <w:b w:val="0"/>
              <w:bCs w:val="0"/>
            </w:rPr>
            <w:t>技术规程</w:t>
          </w:r>
          <w:bookmarkEnd w:id="18"/>
        </w:p>
        <w:p w14:paraId="367B7FAA">
          <w:pPr>
            <w:spacing w:before="312" w:beforeLines="100" w:after="312" w:afterLines="100"/>
            <w:jc w:val="both"/>
            <w:outlineLvl w:val="0"/>
            <w:rPr>
              <w:rFonts w:ascii="黑体" w:hAnsi="Times New Roman" w:eastAsia="黑体" w:cs="Times New Roman"/>
              <w:sz w:val="21"/>
              <w:lang w:val="en-US" w:eastAsia="zh-CN" w:bidi="ar-SA"/>
            </w:rPr>
          </w:pPr>
          <w:r>
            <w:rPr>
              <w:rFonts w:ascii="黑体" w:hAnsi="Times New Roman" w:eastAsia="黑体" w:cs="Times New Roman"/>
              <w:sz w:val="21"/>
              <w:lang w:val="en-US" w:eastAsia="zh-CN" w:bidi="ar-SA"/>
            </w:rPr>
            <w:t>1 范围</w:t>
          </w:r>
        </w:p>
        <w:p w14:paraId="6D5CCE60">
          <w:pPr>
            <w:autoSpaceDE w:val="0"/>
            <w:autoSpaceDN w:val="0"/>
            <w:ind w:firstLine="420" w:firstLineChars="200"/>
            <w:jc w:val="both"/>
            <w:rPr>
              <w:rFonts w:hint="eastAsia" w:ascii="宋体" w:hAnsi="Times New Roman" w:eastAsia="宋体" w:cs="Times New Roman"/>
              <w:sz w:val="21"/>
              <w:lang w:val="en-US" w:eastAsia="zh-CN" w:bidi="ar-SA"/>
            </w:rPr>
          </w:pPr>
          <w:r>
            <w:rPr>
              <w:rFonts w:ascii="宋体" w:hAnsi="Times New Roman" w:eastAsia="宋体" w:cs="Times New Roman"/>
              <w:sz w:val="21"/>
              <w:lang w:val="en-US" w:eastAsia="zh-CN" w:bidi="ar-SA"/>
            </w:rPr>
            <w:t>本技术规程规定了</w:t>
          </w:r>
          <w:r>
            <w:rPr>
              <w:rFonts w:hint="eastAsia" w:ascii="宋体" w:hAnsi="Times New Roman" w:eastAsia="宋体" w:cs="Times New Roman"/>
              <w:sz w:val="21"/>
              <w:lang w:val="en-US" w:eastAsia="zh-CN" w:bidi="ar-SA"/>
            </w:rPr>
            <w:t>设施蔬菜茄子</w:t>
          </w:r>
          <w:r>
            <w:rPr>
              <w:rFonts w:ascii="宋体" w:hAnsi="Times New Roman" w:eastAsia="宋体" w:cs="Times New Roman"/>
              <w:sz w:val="21"/>
              <w:lang w:val="en-US" w:eastAsia="zh-CN" w:bidi="ar-SA"/>
            </w:rPr>
            <w:t>的</w:t>
          </w:r>
          <w:r>
            <w:rPr>
              <w:rFonts w:hint="eastAsia" w:ascii="宋体" w:hAnsi="Times New Roman" w:eastAsia="宋体" w:cs="Times New Roman"/>
              <w:sz w:val="21"/>
              <w:lang w:val="en-US" w:eastAsia="zh-CN" w:bidi="ar-SA"/>
            </w:rPr>
            <w:t>术语与定义、田间管理、</w:t>
          </w:r>
          <w:r>
            <w:rPr>
              <w:rFonts w:ascii="宋体" w:hAnsi="Times New Roman" w:eastAsia="宋体" w:cs="Times New Roman"/>
              <w:sz w:val="21"/>
              <w:lang w:val="en-US" w:eastAsia="zh-CN" w:bidi="ar-SA"/>
            </w:rPr>
            <w:t>采收、</w:t>
          </w:r>
          <w:r>
            <w:rPr>
              <w:rFonts w:hint="eastAsia" w:ascii="宋体" w:hAnsi="Times New Roman" w:eastAsia="宋体" w:cs="Times New Roman"/>
              <w:sz w:val="21"/>
              <w:lang w:val="en-US" w:eastAsia="zh-CN" w:bidi="ar-SA"/>
            </w:rPr>
            <w:t>废弃物处理的技术要求</w:t>
          </w:r>
          <w:r>
            <w:rPr>
              <w:rFonts w:ascii="宋体" w:hAnsi="Times New Roman" w:eastAsia="宋体" w:cs="Times New Roman"/>
              <w:sz w:val="21"/>
              <w:lang w:val="en-US" w:eastAsia="zh-CN" w:bidi="ar-SA"/>
            </w:rPr>
            <w:t>。</w:t>
          </w:r>
        </w:p>
        <w:p w14:paraId="3AF54EBA">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本技术规程适用于伊犁河谷设施蔬菜茄子的生产。</w:t>
          </w:r>
        </w:p>
        <w:p w14:paraId="78614816">
          <w:pPr>
            <w:spacing w:before="312" w:beforeLines="100" w:after="312" w:afterLines="100"/>
            <w:jc w:val="both"/>
            <w:outlineLvl w:val="0"/>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2 规范性引用文件</w:t>
          </w:r>
        </w:p>
        <w:p w14:paraId="1CDD8945">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下列文件对于本文件的应用是必不可少的。凡是注日期的引用文件</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仅注日期的版本适用于本文件。凡是不注日期的引用文件</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其最新版本（包括所有的修改单）适用于本文件。</w:t>
          </w:r>
        </w:p>
        <w:p w14:paraId="3010B608">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GB</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16715.3 瓜菜作物种子 茄果类</w:t>
          </w:r>
        </w:p>
        <w:p w14:paraId="6E2E3941">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NY/T</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391 绿色食品  产地环境质量</w:t>
          </w:r>
        </w:p>
        <w:p w14:paraId="206B805D">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NY/T</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393 绿色食品  农药使用准则</w:t>
          </w:r>
        </w:p>
        <w:p w14:paraId="26292C51">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NY/T</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394 绿色食品  肥料使用准则</w:t>
          </w:r>
        </w:p>
        <w:p w14:paraId="0B0F8E21">
          <w:pPr>
            <w:spacing w:before="312" w:beforeLines="100" w:after="312" w:afterLines="100"/>
            <w:jc w:val="both"/>
            <w:outlineLvl w:val="0"/>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3 术语和定义</w:t>
          </w:r>
        </w:p>
        <w:p w14:paraId="311F550D">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下列术语和定义</w:t>
          </w:r>
          <w:r>
            <w:rPr>
              <w:rFonts w:hint="eastAsia" w:ascii="Times New Roman" w:hAnsi="Times New Roman" w:cs="Times New Roman"/>
              <w:sz w:val="21"/>
              <w:lang w:val="en-US" w:eastAsia="zh-CN" w:bidi="ar-SA"/>
            </w:rPr>
            <w:t>适</w:t>
          </w:r>
          <w:r>
            <w:rPr>
              <w:rFonts w:hint="default" w:ascii="Times New Roman" w:hAnsi="Times New Roman" w:eastAsia="宋体" w:cs="Times New Roman"/>
              <w:sz w:val="21"/>
              <w:lang w:val="en-US" w:eastAsia="zh-CN" w:bidi="ar-SA"/>
            </w:rPr>
            <w:t>用于本规程。</w:t>
          </w:r>
        </w:p>
        <w:p w14:paraId="602B0D9D">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3.1 日光温室</w:t>
          </w:r>
        </w:p>
        <w:p w14:paraId="394C1379">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由采光和保温维护结构组成，以塑料薄膜为透明覆盖材料，在寒冷季节主要依靠获取和蓄积太阳辐射能或人工增温进行蔬菜生产的单栋温室。</w:t>
          </w:r>
        </w:p>
        <w:p w14:paraId="7D77E847">
          <w:pPr>
            <w:spacing w:before="312" w:beforeLines="100" w:after="312" w:afterLines="100"/>
            <w:jc w:val="both"/>
            <w:outlineLvl w:val="0"/>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 田间管理</w:t>
          </w:r>
        </w:p>
        <w:p w14:paraId="5B7D3A40">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4.1 产地环境</w:t>
          </w:r>
        </w:p>
        <w:p w14:paraId="489A61C5">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环境质量符合NY/T</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391的要求。</w:t>
          </w:r>
        </w:p>
        <w:p w14:paraId="0FCDE6BE">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4.2 茬口安排</w:t>
          </w:r>
        </w:p>
        <w:p w14:paraId="59A089B5">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以越冬茬茄子为主，7月中下旬至8月初播种，8月底9月初定植。</w:t>
          </w:r>
        </w:p>
        <w:p w14:paraId="4788D26A">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4.3 品种选择</w:t>
          </w:r>
        </w:p>
        <w:p w14:paraId="36F8875F">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选择抗病虫、品质好、产量较高</w:t>
          </w:r>
          <w:r>
            <w:rPr>
              <w:rFonts w:hint="eastAsia" w:ascii="Times New Roman" w:hAnsi="Times New Roman" w:cs="Times New Roman"/>
              <w:sz w:val="21"/>
              <w:lang w:val="en-US" w:eastAsia="zh-CN" w:bidi="ar-SA"/>
            </w:rPr>
            <w:t>、当地主栽</w:t>
          </w:r>
          <w:r>
            <w:rPr>
              <w:rFonts w:hint="default" w:ascii="Times New Roman" w:hAnsi="Times New Roman" w:eastAsia="宋体" w:cs="Times New Roman"/>
              <w:sz w:val="21"/>
              <w:lang w:val="en-US" w:eastAsia="zh-CN" w:bidi="ar-SA"/>
            </w:rPr>
            <w:t>的品种。</w:t>
          </w:r>
        </w:p>
        <w:p w14:paraId="0D640DC7">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4.4 育苗</w:t>
          </w:r>
        </w:p>
        <w:p w14:paraId="67846C5B">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4.4.1 浸种</w:t>
          </w:r>
        </w:p>
        <w:p w14:paraId="053A1EEE">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采用55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℃温水浸种0.5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h，</w:t>
          </w:r>
          <w:r>
            <w:rPr>
              <w:rFonts w:hint="eastAsia" w:ascii="Times New Roman" w:hAnsi="Times New Roman" w:cs="Times New Roman"/>
              <w:sz w:val="21"/>
              <w:lang w:val="en-US" w:eastAsia="zh-CN" w:bidi="ar-SA"/>
            </w:rPr>
            <w:t>再</w:t>
          </w:r>
          <w:r>
            <w:rPr>
              <w:rFonts w:hint="default" w:ascii="Times New Roman" w:hAnsi="Times New Roman" w:eastAsia="宋体" w:cs="Times New Roman"/>
              <w:sz w:val="21"/>
              <w:lang w:val="en-US" w:eastAsia="zh-CN" w:bidi="ar-SA"/>
            </w:rPr>
            <w:t>用清水浸种12</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h。</w:t>
          </w:r>
        </w:p>
        <w:p w14:paraId="3080CCE7">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4.4.2 催芽</w:t>
          </w:r>
        </w:p>
        <w:p w14:paraId="2912C07F">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用变温处理催芽，温度30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℃~34</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℃处理16</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h，温度20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℃~24</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℃处理8</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h。每天同上重复，5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d~6</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d即可出芽。</w:t>
          </w:r>
        </w:p>
        <w:p w14:paraId="77991705">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4.4.3 播种</w:t>
          </w:r>
        </w:p>
        <w:p w14:paraId="15A3945E">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将催出芽的种子用细土拌匀撒入整理好的畦面，覆土厚度为0.5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cm，覆土后采用恶霉灵可湿性粉剂1500倍液喷雾。接穗播种比砧木晚8</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d~12</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d，分开播种，便于区分。</w:t>
          </w:r>
        </w:p>
        <w:p w14:paraId="58419D72">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4.4.4 苗期管理</w:t>
          </w:r>
        </w:p>
        <w:p w14:paraId="5EDA513C">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出苗前2</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d加盖遮阳网，真叶长出后适时冲入适量肥料，保持湿度，四叶一心时移苗。</w:t>
          </w:r>
        </w:p>
        <w:p w14:paraId="63D21693">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4.5 嫁接</w:t>
          </w:r>
        </w:p>
        <w:p w14:paraId="34E52410">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4.5.1 处理砧木</w:t>
          </w:r>
        </w:p>
        <w:p w14:paraId="2AA4160E">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在砧木的第二与第三片真叶间将茎部水平切断，将腋芽打掉，夹上嫁接夹备用。</w:t>
          </w:r>
        </w:p>
        <w:p w14:paraId="3F6B916A">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4.5.2 削接穗</w:t>
          </w:r>
        </w:p>
        <w:p w14:paraId="54C3841F">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选与砧木茎粗相近的接穗苗，从顶部起保留2片~3片真叶，去掉下部半木质化部，削成双面楔形，楔长1</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cm~1.5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w:t>
          </w:r>
        </w:p>
        <w:p w14:paraId="3597FAA8">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4.5.3 劈砧木</w:t>
          </w:r>
        </w:p>
        <w:p w14:paraId="1E3AB5FF">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在砧木水平切断处中心垂直向下切深1</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cm~1.5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cm的切口。</w:t>
          </w:r>
        </w:p>
        <w:p w14:paraId="7C1F680C">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4.5.4 嫁接</w:t>
          </w:r>
        </w:p>
        <w:p w14:paraId="574AC667">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将削好的接穗插入砧木的切口中，使二者切口紧密吻合在一起，然后用嫁接夹夹住接口即可。</w:t>
          </w:r>
        </w:p>
        <w:p w14:paraId="43FFC1F8">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4.5.5 嫁接苗管理</w:t>
          </w:r>
        </w:p>
        <w:p w14:paraId="3A7ED543">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嫁接好的茄子苗送入愈合室，温度白天控制25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28</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℃，夜间22</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℃；湿度≥90%；光照微弱或黑暗；时间50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d。之后白天温度30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℃，夜间22</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℃；前期用遮阳网遮光，随着伤口的愈合逐渐扯掉遮阳网；前4</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d根据情况适当密闭适时通风换气；嫁接4</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d后可喷阿米西达保护剂1500倍；7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d内不可从苗上浇水，一周后可浇肥水；及时挑拣病苗、弱苗，转入正常管理。及时将砧木腋芽打掉。</w:t>
          </w:r>
        </w:p>
        <w:p w14:paraId="04CD194C">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4.6 定植前准备</w:t>
          </w:r>
        </w:p>
        <w:p w14:paraId="017AC240">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4.6.1</w:t>
          </w:r>
          <w:r>
            <w:rPr>
              <w:rFonts w:hint="eastAsia" w:ascii="Times New Roman" w:hAnsi="Times New Roman" w:eastAsia="黑体" w:cs="Times New Roman"/>
              <w:sz w:val="21"/>
              <w:lang w:val="en-US" w:eastAsia="zh-CN" w:bidi="ar-SA"/>
            </w:rPr>
            <w:t xml:space="preserve"> </w:t>
          </w:r>
          <w:r>
            <w:rPr>
              <w:rFonts w:hint="default" w:ascii="Times New Roman" w:hAnsi="Times New Roman" w:eastAsia="黑体" w:cs="Times New Roman"/>
              <w:sz w:val="21"/>
              <w:lang w:val="en-US" w:eastAsia="zh-CN" w:bidi="ar-SA"/>
            </w:rPr>
            <w:t>施基肥</w:t>
          </w:r>
        </w:p>
        <w:p w14:paraId="166F8ABA">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肥料的选择和使用以有机肥为主，氮、磷、钾配合施用，应符合NY/T</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394的要求。定植前45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每667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施放腐熟有机肥5500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kg~6000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磷酸二铵40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kg~50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硫酸钾15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kg~20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w:t>
          </w:r>
          <w:r>
            <w:rPr>
              <w:rFonts w:hint="eastAsia" w:ascii="Times New Roman" w:hAnsi="Times New Roman" w:cs="Times New Roman"/>
              <w:sz w:val="21"/>
              <w:lang w:val="en-US" w:eastAsia="zh-CN" w:bidi="ar-SA"/>
            </w:rPr>
            <w:t>等相同量的肥料</w:t>
          </w:r>
          <w:r>
            <w:rPr>
              <w:rFonts w:hint="default" w:ascii="Times New Roman" w:hAnsi="Times New Roman" w:eastAsia="宋体" w:cs="Times New Roman"/>
              <w:sz w:val="21"/>
              <w:lang w:val="en-US" w:eastAsia="zh-CN" w:bidi="ar-SA"/>
            </w:rPr>
            <w:t>，然后把棚内土壤深翻25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cm~30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 xml:space="preserve">cm，接着喷水，铺膜，高温闷棚。 </w:t>
          </w:r>
        </w:p>
        <w:p w14:paraId="21EBA4A6">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4.6.2 作垄</w:t>
          </w:r>
        </w:p>
        <w:p w14:paraId="06AE69DF">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定植前5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d起垄，大行90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cm，小行50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w:t>
          </w:r>
        </w:p>
        <w:p w14:paraId="2DC70B2B">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4.6.3 浇水遮阳</w:t>
          </w:r>
        </w:p>
        <w:p w14:paraId="56C9925C">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起垄后顺小沟浇透水一次，防止定植后水量不足。定植前1</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d上遮阳网，防止定植时地温过高。</w:t>
          </w:r>
        </w:p>
        <w:p w14:paraId="702CA1E7">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4.7 定植</w:t>
          </w:r>
        </w:p>
        <w:p w14:paraId="7C15E840">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4.7.1 定植时间</w:t>
          </w:r>
        </w:p>
        <w:p w14:paraId="17F509F9">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8月底9月初定植。</w:t>
          </w:r>
        </w:p>
        <w:p w14:paraId="1C7BE7D0">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4.7.2 定植</w:t>
          </w:r>
        </w:p>
        <w:p w14:paraId="3E63E737">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定植株距50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cm，应选择在晴天下午光照略弱时进行，选择无病虫的壮苗，定植穴要大，定植不宜过深，但也不宜过浅，以苗坨完全被埋住为宜，并浇足定植水。</w:t>
          </w:r>
        </w:p>
        <w:p w14:paraId="41A10B09">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4.8 定植初期管理</w:t>
          </w:r>
        </w:p>
        <w:p w14:paraId="4A246717">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4.8.1 温度管理</w:t>
          </w:r>
        </w:p>
        <w:p w14:paraId="62A18FA0">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定植后3</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d中午温度较高时要用遮阳网降温，保持棚内较高湿度，白天棚温30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℃~33</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℃，夜间≥16</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w:t>
          </w:r>
        </w:p>
        <w:p w14:paraId="3FD876BE">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4.8.2 肥水管理</w:t>
          </w:r>
        </w:p>
        <w:p w14:paraId="0D929069">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4.8.2.1 定植后第2</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d，再分株浇水一次，同时加入72.2%普力克水剂1000倍液、55%敌克松水剂500倍液等防止根部病害。及时封垄，封垄时先用小铲将定植穴铲松，然后再用潮湿的土覆在根基部。</w:t>
          </w:r>
        </w:p>
        <w:p w14:paraId="6E3B7FCC">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4.8.2.2 封垄后及时安装滴灌，滴灌</w:t>
          </w:r>
          <w:r>
            <w:rPr>
              <w:rFonts w:hint="eastAsia" w:ascii="Times New Roman" w:hAnsi="Times New Roman" w:cs="Times New Roman"/>
              <w:sz w:val="21"/>
              <w:lang w:val="en-US" w:eastAsia="zh-CN" w:bidi="ar-SA"/>
            </w:rPr>
            <w:t>管</w:t>
          </w:r>
          <w:r>
            <w:rPr>
              <w:rFonts w:hint="default" w:ascii="Times New Roman" w:hAnsi="Times New Roman" w:eastAsia="宋体" w:cs="Times New Roman"/>
              <w:sz w:val="21"/>
              <w:lang w:val="en-US" w:eastAsia="zh-CN" w:bidi="ar-SA"/>
            </w:rPr>
            <w:t>要铺在植株的内侧。</w:t>
          </w:r>
        </w:p>
        <w:p w14:paraId="13F14EAF">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4.8.2.3 装好滴灌后选晴天早上浇透水一次，待土表略干时划锄2次~3次。</w:t>
          </w:r>
        </w:p>
        <w:p w14:paraId="0EA54307">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4.9 缓苗后的管理</w:t>
          </w:r>
        </w:p>
        <w:p w14:paraId="4AB58244">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4.9.1 温度管理</w:t>
          </w:r>
        </w:p>
        <w:p w14:paraId="5E8F3E09">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4.9.1.1 定植后5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d，温度白天25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28</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℃，夜间14</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16</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w:t>
          </w:r>
        </w:p>
        <w:p w14:paraId="49713861">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4.9.1.2 结果初期，应采取常温管理法，在管理上应偏向于促秧，适当控水和降低夜温。</w:t>
          </w:r>
        </w:p>
        <w:p w14:paraId="00FE572D">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4.9.1.3 10月份要及时铺地膜，进入11月后白天温度≤32</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℃，及早关风口，夜间温度≥15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℃。进入12月温度继续降低，应适当降低棚内温度，草帘应早拉早放。</w:t>
          </w:r>
        </w:p>
        <w:p w14:paraId="2F16500C">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4.9.1.4 12月中下旬至来年2月份，采取高温管理法，白天控制25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℃~30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℃，夜间14</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℃~16</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w:t>
          </w:r>
        </w:p>
        <w:p w14:paraId="1EA89213">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4.9.1.5 2月至3月，在管理上应采取常温管理法，白天控制28</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℃~30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℃，夜间适当晚放草帘，夜温保持≥15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w:t>
          </w:r>
        </w:p>
        <w:p w14:paraId="13DFFD77">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4.9.1.6 四月份以后，勤开风口，白天温度≤32</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℃，夜间保持≥15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℃；当外界气温稳定在13</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℃以上时便可不放草帘，且下午要晚关风口以免夜温过高，夜间保持15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18</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w:t>
          </w:r>
        </w:p>
        <w:p w14:paraId="4D7C8207">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4.9.1.7 进入5月份随着温度继续升高，外界温度稳定在14</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℃以上时晚上便可以彻夜通风。</w:t>
          </w:r>
        </w:p>
        <w:p w14:paraId="48910C0A">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4.9.1.8 进入6月份，中午温度过高时可以适当放遮阳网降温。</w:t>
          </w:r>
        </w:p>
        <w:p w14:paraId="683170EA">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4.9.2 肥水管理</w:t>
          </w:r>
        </w:p>
        <w:p w14:paraId="3062F9AC">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生长正常的植株应在大部分对茄5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cm时随水追肥。追施尿素5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~8</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、钾肥4</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等相同量的肥料。当叶柄与主蔓夹角过大，上部叶片发黑，应及时带肥浇水。冬季浇水最好选择在连续上午进行，要少浇，且每次都要带肥。春季天气转暖后，浇水一定要足，并且肥水和清水交替进行。</w:t>
          </w:r>
        </w:p>
        <w:p w14:paraId="5FB63B2F">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4.9.3 植株调整</w:t>
          </w:r>
        </w:p>
        <w:p w14:paraId="48A055D2">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4.9.3.1 采用双杆整枝吊绳法，第三个花以下的侧枝全部去掉，以上侧枝留一个叶腋打头，待叶腋内侧枝再长出后，再次留下一个叶腋打头；当主干长到1.6</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m~1.7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m时打头，打头后每杆从植株顶部留2</w:t>
          </w:r>
          <w:r>
            <w:rPr>
              <w:rFonts w:hint="eastAsia" w:ascii="Times New Roman" w:hAnsi="Times New Roman" w:cs="Times New Roman"/>
              <w:sz w:val="21"/>
              <w:lang w:val="en-US" w:eastAsia="zh-CN" w:bidi="ar-SA"/>
            </w:rPr>
            <w:t>个~</w:t>
          </w:r>
          <w:r>
            <w:rPr>
              <w:rFonts w:hint="default" w:ascii="Times New Roman" w:hAnsi="Times New Roman" w:eastAsia="宋体" w:cs="Times New Roman"/>
              <w:sz w:val="21"/>
              <w:lang w:val="en-US" w:eastAsia="zh-CN" w:bidi="ar-SA"/>
            </w:rPr>
            <w:t>3个侧枝开始留果。</w:t>
          </w:r>
        </w:p>
        <w:p w14:paraId="7F903E61">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4.9.3.2 及时打去下部老叶病叶或结果后的侧枝老叶，保持植株通透性，打叶应选择晴天上午进行，每次打叶不应过多，以每株每次2片~3片叶为易。</w:t>
          </w:r>
        </w:p>
        <w:p w14:paraId="4BC54F44">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4.9.3.3 结过果的侧枝要及时整枝，但整枝抹杈的位置要适当，应从侧枝基部1</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cm~2</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cm处将侧枝打掉，留下部分短茬保护主干。</w:t>
          </w:r>
        </w:p>
        <w:p w14:paraId="51528A4A">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4.9.3.4 冬季在茄子开花后，每棚放置一箱熊蜂，及时进行熊蜂授粉；或采用20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ppm~30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ppm的2.4-D进行点花处理。</w:t>
          </w:r>
        </w:p>
        <w:p w14:paraId="11E66FAF">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4.10 病虫害防治</w:t>
          </w:r>
        </w:p>
        <w:p w14:paraId="6890566F">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4.10.1 防治原则</w:t>
          </w:r>
        </w:p>
        <w:p w14:paraId="0A10CBFA">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按照</w:t>
          </w:r>
          <w:r>
            <w:rPr>
              <w:rFonts w:hint="eastAsia" w:ascii="宋体" w:hAnsi="宋体" w:eastAsia="宋体" w:cs="宋体"/>
              <w:sz w:val="21"/>
              <w:lang w:val="en-US" w:eastAsia="zh-CN" w:bidi="ar-SA"/>
            </w:rPr>
            <w:t>“预防为主，综合防治”的植保方针，坚持以“农业防治、物理防治、生物化学防治”</w:t>
          </w:r>
          <w:r>
            <w:rPr>
              <w:rFonts w:hint="default" w:ascii="Times New Roman" w:hAnsi="Times New Roman" w:eastAsia="宋体" w:cs="Times New Roman"/>
              <w:sz w:val="21"/>
              <w:lang w:val="en-US" w:eastAsia="zh-CN" w:bidi="ar-SA"/>
            </w:rPr>
            <w:t>相结合的病虫害调控原则。农药施用符合NY/T</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393规定的要求。</w:t>
          </w:r>
        </w:p>
        <w:p w14:paraId="24192BEE">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4.10.2 农业防治</w:t>
          </w:r>
        </w:p>
        <w:p w14:paraId="6717F683">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针对当地主要病虫害，选用高抗品种。培育适龄壮苗，提高抗逆性；控制好温度和空气湿度，适宜的肥水，充足的光照和二氧化碳，通过放风和辅助加温，调节不同生育时期的适宜温度，避免低温和高温</w:t>
          </w:r>
          <w:r>
            <w:rPr>
              <w:rFonts w:hint="eastAsia" w:ascii="Times New Roman" w:hAnsi="Times New Roman" w:cs="Times New Roman"/>
              <w:sz w:val="21"/>
              <w:lang w:val="en-US" w:eastAsia="zh-CN" w:bidi="ar-SA"/>
            </w:rPr>
            <w:t>障碍</w:t>
          </w:r>
          <w:r>
            <w:rPr>
              <w:rFonts w:hint="default" w:ascii="Times New Roman" w:hAnsi="Times New Roman" w:eastAsia="宋体" w:cs="Times New Roman"/>
              <w:sz w:val="21"/>
              <w:lang w:val="en-US" w:eastAsia="zh-CN" w:bidi="ar-SA"/>
            </w:rPr>
            <w:t>；深沟高畦，严防积水，绿色田园。增施充分腐熟的有机肥料，氮、磷、钾肥合理配比，配以叶面追肥，均衡施肥。</w:t>
          </w:r>
        </w:p>
        <w:p w14:paraId="70A54F06">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4.10.3 物理防治</w:t>
          </w:r>
        </w:p>
        <w:p w14:paraId="71A174F1">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大型设施的防风口用防虫网封闭，夏季覆盖防虫网和银灰色遮阳网进行避雨、遮阳、防虫栽培，减轻病虫害的发生。采用黑光灯、频振式杀虫灯等进行诱杀鳞翅目害虫成虫。采用黄板诱蚜等，防控其危害。</w:t>
          </w:r>
        </w:p>
        <w:p w14:paraId="71E61B0B">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4.10.4 生物化学防治</w:t>
          </w:r>
        </w:p>
        <w:p w14:paraId="4DF5E211">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4.10.4.1 积极保护利用天敌，放养天敌防治病虫害。</w:t>
          </w:r>
        </w:p>
        <w:p w14:paraId="6FA6FFF0">
          <w:pPr>
            <w:autoSpaceDE w:val="0"/>
            <w:autoSpaceDN w:val="0"/>
            <w:spacing w:before="0" w:beforeLines="-2147483648" w:after="0" w:afterLines="-2147483648"/>
            <w:ind w:firstLine="420" w:firstLineChars="200"/>
            <w:jc w:val="both"/>
            <w:outlineLvl w:val="9"/>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4.10.4.2 药剂防治害虫</w:t>
          </w:r>
        </w:p>
        <w:p w14:paraId="61CAD13F">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蚜虫</w:t>
          </w:r>
          <w:r>
            <w:rPr>
              <w:rFonts w:hint="eastAsia" w:ascii="Times New Roman" w:hAnsi="Times New Roman" w:cs="Times New Roman"/>
              <w:sz w:val="21"/>
              <w:lang w:val="en-US" w:eastAsia="zh-CN" w:bidi="ar-SA"/>
            </w:rPr>
            <w:t>、白粉虱</w:t>
          </w:r>
          <w:r>
            <w:rPr>
              <w:rFonts w:hint="default" w:ascii="Times New Roman" w:hAnsi="Times New Roman" w:eastAsia="宋体" w:cs="Times New Roman"/>
              <w:sz w:val="21"/>
              <w:lang w:val="en-US" w:eastAsia="zh-CN" w:bidi="ar-SA"/>
            </w:rPr>
            <w:t>：采用10%吡虫啉可湿性粉剂2000倍液~3000倍液，或5%天然除虫菊素乳油500倍液，或0.3% 印楝素乳油500倍液等喷雾。</w:t>
          </w:r>
        </w:p>
        <w:p w14:paraId="3BA77408">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红蜘蛛和茶黄螨：</w:t>
          </w:r>
          <w:r>
            <w:rPr>
              <w:rFonts w:hint="eastAsia" w:ascii="Times New Roman" w:hAnsi="Times New Roman" w:eastAsia="宋体" w:cs="Times New Roman"/>
              <w:color w:val="000000"/>
              <w:kern w:val="2"/>
              <w:sz w:val="21"/>
              <w:szCs w:val="21"/>
              <w:lang w:val="en-US" w:eastAsia="zh-CN"/>
            </w:rPr>
            <w:t>采</w:t>
          </w:r>
          <w:r>
            <w:rPr>
              <w:rFonts w:ascii="Times New Roman" w:hAnsi="Times New Roman" w:eastAsia="宋体" w:cs="Times New Roman"/>
              <w:color w:val="000000"/>
              <w:kern w:val="2"/>
              <w:sz w:val="21"/>
              <w:szCs w:val="21"/>
            </w:rPr>
            <w:t>用</w:t>
          </w:r>
          <w:r>
            <w:rPr>
              <w:rFonts w:hint="eastAsia" w:ascii="Times New Roman" w:hAnsi="Times New Roman" w:eastAsia="宋体" w:cs="Times New Roman"/>
              <w:color w:val="000000"/>
              <w:kern w:val="2"/>
              <w:sz w:val="21"/>
              <w:szCs w:val="21"/>
              <w:lang w:val="en-US" w:eastAsia="zh-CN"/>
            </w:rPr>
            <w:t>110</w:t>
          </w:r>
          <w:r>
            <w:rPr>
              <w:rFonts w:hint="eastAsia" w:ascii="Times New Roman" w:hAnsi="Times New Roman" w:cs="Times New Roman"/>
              <w:color w:val="000000"/>
              <w:kern w:val="2"/>
              <w:sz w:val="21"/>
              <w:szCs w:val="21"/>
              <w:lang w:val="en-US" w:eastAsia="zh-CN"/>
            </w:rPr>
            <w:t xml:space="preserve"> g</w:t>
          </w:r>
          <w:r>
            <w:rPr>
              <w:rFonts w:hint="eastAsia" w:ascii="Times New Roman" w:hAnsi="Times New Roman" w:eastAsia="宋体" w:cs="Times New Roman"/>
              <w:color w:val="000000"/>
              <w:kern w:val="2"/>
              <w:sz w:val="21"/>
              <w:szCs w:val="21"/>
              <w:lang w:val="en-US" w:eastAsia="zh-CN"/>
            </w:rPr>
            <w:t>/</w:t>
          </w:r>
          <w:r>
            <w:rPr>
              <w:rFonts w:hint="eastAsia" w:ascii="Times New Roman" w:hAnsi="Times New Roman" w:cs="Times New Roman"/>
              <w:color w:val="000000"/>
              <w:kern w:val="2"/>
              <w:sz w:val="21"/>
              <w:szCs w:val="21"/>
              <w:lang w:val="en-US" w:eastAsia="zh-CN"/>
            </w:rPr>
            <w:t>L</w:t>
          </w:r>
          <w:r>
            <w:rPr>
              <w:rFonts w:hint="eastAsia" w:ascii="Times New Roman" w:hAnsi="Times New Roman" w:eastAsia="宋体" w:cs="Times New Roman"/>
              <w:color w:val="000000"/>
              <w:kern w:val="2"/>
              <w:sz w:val="21"/>
              <w:szCs w:val="21"/>
            </w:rPr>
            <w:t>乙螨唑悬浮</w:t>
          </w:r>
          <w:r>
            <w:rPr>
              <w:rFonts w:ascii="Times New Roman" w:hAnsi="Times New Roman" w:eastAsia="宋体" w:cs="Times New Roman"/>
              <w:color w:val="000000"/>
              <w:kern w:val="2"/>
              <w:sz w:val="21"/>
              <w:szCs w:val="21"/>
            </w:rPr>
            <w:t>剂</w:t>
          </w:r>
          <w:r>
            <w:rPr>
              <w:rFonts w:hint="eastAsia" w:ascii="Times New Roman" w:hAnsi="Times New Roman" w:eastAsia="宋体" w:cs="Times New Roman"/>
              <w:color w:val="000000"/>
              <w:kern w:val="2"/>
              <w:sz w:val="21"/>
              <w:szCs w:val="21"/>
              <w:lang w:val="en-US" w:eastAsia="zh-CN"/>
            </w:rPr>
            <w:t>3500倍液</w:t>
          </w:r>
          <w:r>
            <w:rPr>
              <w:rFonts w:hint="default" w:ascii="Times New Roman" w:hAnsi="Times New Roman" w:eastAsia="宋体" w:cs="Times New Roman"/>
              <w:sz w:val="21"/>
              <w:szCs w:val="21"/>
            </w:rPr>
            <w:t>～</w:t>
          </w:r>
          <w:r>
            <w:rPr>
              <w:rFonts w:hint="eastAsia" w:ascii="Times New Roman" w:hAnsi="Times New Roman" w:eastAsia="宋体" w:cs="Times New Roman"/>
              <w:color w:val="000000"/>
              <w:kern w:val="2"/>
              <w:sz w:val="21"/>
              <w:szCs w:val="21"/>
              <w:lang w:val="en-US" w:eastAsia="zh-CN"/>
            </w:rPr>
            <w:t>5</w:t>
          </w:r>
          <w:r>
            <w:rPr>
              <w:rFonts w:hint="eastAsia" w:ascii="Times New Roman" w:hAnsi="Times New Roman" w:eastAsia="宋体" w:cs="Times New Roman"/>
              <w:color w:val="000000"/>
              <w:kern w:val="2"/>
              <w:sz w:val="21"/>
              <w:szCs w:val="21"/>
            </w:rPr>
            <w:t>000</w:t>
          </w:r>
          <w:r>
            <w:rPr>
              <w:rFonts w:ascii="Times New Roman" w:hAnsi="Times New Roman" w:eastAsia="宋体" w:cs="Times New Roman"/>
              <w:color w:val="000000"/>
              <w:kern w:val="2"/>
              <w:sz w:val="21"/>
              <w:szCs w:val="21"/>
            </w:rPr>
            <w:t>倍液等</w:t>
          </w:r>
          <w:r>
            <w:rPr>
              <w:rFonts w:hint="eastAsia" w:ascii="Times New Roman" w:hAnsi="Times New Roman" w:eastAsia="宋体" w:cs="Times New Roman"/>
              <w:color w:val="000000"/>
              <w:kern w:val="2"/>
              <w:sz w:val="21"/>
              <w:szCs w:val="21"/>
              <w:lang w:val="en-US" w:eastAsia="zh-CN"/>
            </w:rPr>
            <w:t>进行</w:t>
          </w:r>
          <w:r>
            <w:rPr>
              <w:rFonts w:ascii="Times New Roman" w:hAnsi="Times New Roman" w:eastAsia="宋体" w:cs="Times New Roman"/>
              <w:color w:val="000000"/>
              <w:kern w:val="2"/>
              <w:sz w:val="21"/>
              <w:szCs w:val="21"/>
            </w:rPr>
            <w:t>喷雾。</w:t>
          </w:r>
        </w:p>
        <w:p w14:paraId="0FD063FA">
          <w:pPr>
            <w:autoSpaceDE w:val="0"/>
            <w:autoSpaceDN w:val="0"/>
            <w:spacing w:before="0" w:beforeLines="-2147483648" w:after="0" w:afterLines="-2147483648"/>
            <w:ind w:firstLine="420" w:firstLineChars="200"/>
            <w:jc w:val="both"/>
            <w:outlineLvl w:val="9"/>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 xml:space="preserve">4.10.4.3 </w:t>
          </w:r>
          <w:r>
            <w:rPr>
              <w:rFonts w:hint="eastAsia" w:ascii="Times New Roman" w:hAnsi="Times New Roman" w:cs="Times New Roman"/>
              <w:sz w:val="21"/>
              <w:lang w:val="en-US" w:eastAsia="zh-CN" w:bidi="ar-SA"/>
            </w:rPr>
            <w:t>黄</w:t>
          </w:r>
          <w:r>
            <w:rPr>
              <w:rFonts w:hint="default" w:ascii="Times New Roman" w:hAnsi="Times New Roman" w:eastAsia="宋体" w:cs="Times New Roman"/>
              <w:sz w:val="21"/>
              <w:lang w:val="en-US" w:eastAsia="zh-CN" w:bidi="ar-SA"/>
            </w:rPr>
            <w:t>萎病</w:t>
          </w:r>
        </w:p>
        <w:p w14:paraId="60C01647">
          <w:pPr>
            <w:autoSpaceDE w:val="0"/>
            <w:autoSpaceDN w:val="0"/>
            <w:ind w:firstLine="420" w:firstLineChars="200"/>
            <w:jc w:val="both"/>
            <w:outlineLvl w:val="9"/>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播种前用</w:t>
          </w:r>
          <w:r>
            <w:rPr>
              <w:rFonts w:hint="eastAsia" w:ascii="Times New Roman" w:hAnsi="Times New Roman" w:cs="Times New Roman"/>
              <w:sz w:val="21"/>
              <w:lang w:val="en-US" w:eastAsia="zh-CN" w:bidi="ar-SA"/>
            </w:rPr>
            <w:t>7</w:t>
          </w:r>
          <w:r>
            <w:rPr>
              <w:rFonts w:hint="default" w:ascii="Times New Roman" w:hAnsi="Times New Roman" w:eastAsia="宋体" w:cs="Times New Roman"/>
              <w:sz w:val="21"/>
              <w:lang w:val="en-US" w:eastAsia="zh-CN" w:bidi="ar-SA"/>
            </w:rPr>
            <w:t>0%</w:t>
          </w:r>
          <w:r>
            <w:rPr>
              <w:rFonts w:hint="eastAsia" w:ascii="Times New Roman" w:hAnsi="Times New Roman" w:cs="Times New Roman"/>
              <w:sz w:val="21"/>
              <w:lang w:val="en-US" w:eastAsia="zh-CN" w:bidi="ar-SA"/>
            </w:rPr>
            <w:t>甲基硫菌灵</w:t>
          </w:r>
          <w:r>
            <w:rPr>
              <w:rFonts w:hint="default" w:ascii="Times New Roman" w:hAnsi="Times New Roman" w:eastAsia="宋体" w:cs="Times New Roman"/>
              <w:sz w:val="21"/>
              <w:lang w:val="en-US" w:eastAsia="zh-CN" w:bidi="ar-SA"/>
            </w:rPr>
            <w:t>可湿性粉剂</w:t>
          </w:r>
          <w:r>
            <w:rPr>
              <w:rFonts w:hint="eastAsia" w:ascii="Times New Roman" w:hAnsi="Times New Roman" w:cs="Times New Roman"/>
              <w:sz w:val="21"/>
              <w:lang w:val="en-US" w:eastAsia="zh-CN" w:bidi="ar-SA"/>
            </w:rPr>
            <w:t>等</w:t>
          </w:r>
          <w:r>
            <w:rPr>
              <w:rFonts w:hint="default" w:ascii="Times New Roman" w:hAnsi="Times New Roman" w:eastAsia="宋体" w:cs="Times New Roman"/>
              <w:sz w:val="21"/>
              <w:lang w:val="en-US" w:eastAsia="zh-CN" w:bidi="ar-SA"/>
            </w:rPr>
            <w:t>600倍液浸种1</w:t>
          </w:r>
          <w:r>
            <w:rPr>
              <w:rFonts w:hint="default"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h，然后移入常温水继续浸种。发病初期用70%甲基硫菌灵</w:t>
          </w:r>
          <w:r>
            <w:rPr>
              <w:rFonts w:hint="default" w:ascii="Times New Roman" w:hAnsi="Times New Roman" w:cs="Times New Roman"/>
              <w:sz w:val="21"/>
              <w:lang w:val="en-US" w:eastAsia="zh-CN" w:bidi="ar-SA"/>
            </w:rPr>
            <w:t>可湿性粉剂</w:t>
          </w:r>
          <w:r>
            <w:rPr>
              <w:rFonts w:hint="default" w:ascii="Times New Roman" w:hAnsi="Times New Roman" w:eastAsia="宋体" w:cs="Times New Roman"/>
              <w:sz w:val="21"/>
              <w:lang w:val="en-US" w:eastAsia="zh-CN" w:bidi="ar-SA"/>
            </w:rPr>
            <w:t>1000倍液，或2%农抗120水剂500倍液等灌根。</w:t>
          </w:r>
        </w:p>
        <w:p w14:paraId="0EAE31B7">
          <w:pPr>
            <w:autoSpaceDE w:val="0"/>
            <w:autoSpaceDN w:val="0"/>
            <w:spacing w:before="0" w:beforeLines="-2147483648" w:after="0" w:afterLines="-2147483648"/>
            <w:ind w:firstLine="420" w:firstLineChars="200"/>
            <w:jc w:val="both"/>
            <w:outlineLvl w:val="9"/>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4.10.4.4 灰霉病</w:t>
          </w:r>
        </w:p>
        <w:p w14:paraId="189FB50A">
          <w:pPr>
            <w:keepNext w:val="0"/>
            <w:keepLines w:val="0"/>
            <w:pageBreakBefore w:val="0"/>
            <w:widowControl/>
            <w:kinsoku/>
            <w:wordWrap/>
            <w:overflowPunct/>
            <w:topLinePunct w:val="0"/>
            <w:autoSpaceDE w:val="0"/>
            <w:autoSpaceDN w:val="0"/>
            <w:bidi w:val="0"/>
            <w:snapToGrid/>
            <w:spacing w:beforeAutospacing="0" w:afterAutospacing="0" w:line="240" w:lineRule="auto"/>
            <w:ind w:firstLine="420" w:firstLineChars="200"/>
            <w:jc w:val="both"/>
            <w:outlineLvl w:val="9"/>
            <w:rPr>
              <w:rFonts w:hint="default" w:ascii="Times New Roman" w:hAnsi="Times New Roman" w:eastAsia="宋体" w:cs="Times New Roman"/>
              <w:sz w:val="21"/>
              <w:lang w:val="en-US" w:eastAsia="zh-CN" w:bidi="ar-SA"/>
            </w:rPr>
          </w:pPr>
          <w:r>
            <w:rPr>
              <w:rFonts w:hint="default" w:ascii="Times New Roman" w:hAnsi="Times New Roman" w:eastAsia="宋体" w:cs="Times New Roman"/>
              <w:bCs w:val="0"/>
              <w:sz w:val="21"/>
              <w:szCs w:val="21"/>
              <w:lang w:val="en-US" w:eastAsia="zh-CN" w:bidi="ar-SA"/>
            </w:rPr>
            <w:t>发病初期采用</w:t>
          </w:r>
          <w:r>
            <w:rPr>
              <w:rFonts w:hint="default" w:ascii="Times New Roman" w:hAnsi="Times New Roman" w:eastAsia="宋体" w:cs="Times New Roman"/>
              <w:sz w:val="21"/>
              <w:szCs w:val="21"/>
              <w:lang w:val="en-US" w:eastAsia="zh-CN" w:bidi="ar-SA"/>
            </w:rPr>
            <w:t>40%嘧霉胺悬浮剂</w:t>
          </w:r>
          <w:r>
            <w:rPr>
              <w:rFonts w:hint="default" w:ascii="Times New Roman" w:hAnsi="Times New Roman" w:eastAsia="宋体" w:cs="Times New Roman"/>
              <w:bCs w:val="0"/>
              <w:sz w:val="21"/>
              <w:szCs w:val="21"/>
              <w:lang w:val="en-US" w:eastAsia="zh-CN" w:bidi="ar-SA"/>
            </w:rPr>
            <w:t>62</w:t>
          </w:r>
          <w:r>
            <w:rPr>
              <w:rFonts w:hint="default" w:ascii="Times New Roman" w:hAnsi="Times New Roman" w:cs="Times New Roman"/>
              <w:bCs w:val="0"/>
              <w:sz w:val="21"/>
              <w:szCs w:val="21"/>
              <w:lang w:val="en-US" w:eastAsia="zh-CN" w:bidi="ar-SA"/>
            </w:rPr>
            <w:t xml:space="preserve"> ml</w:t>
          </w:r>
          <w:r>
            <w:rPr>
              <w:rFonts w:hint="default" w:ascii="Times New Roman" w:hAnsi="Times New Roman" w:eastAsia="宋体" w:cs="Times New Roman"/>
              <w:color w:val="auto"/>
              <w:kern w:val="2"/>
              <w:sz w:val="21"/>
              <w:szCs w:val="21"/>
              <w:lang w:val="en-US" w:eastAsia="zh-CN" w:bidi="ar-SA"/>
            </w:rPr>
            <w:t>/</w:t>
          </w:r>
          <w:r>
            <w:rPr>
              <w:rFonts w:hint="default" w:ascii="Times New Roman" w:hAnsi="Times New Roman" w:cs="Times New Roman"/>
              <w:color w:val="auto"/>
              <w:kern w:val="2"/>
              <w:sz w:val="21"/>
              <w:szCs w:val="21"/>
              <w:lang w:val="en-US" w:eastAsia="zh-CN" w:bidi="ar-SA"/>
            </w:rPr>
            <w:t>667 m</w:t>
          </w:r>
          <w:r>
            <w:rPr>
              <w:rFonts w:hint="default" w:ascii="Times New Roman" w:hAnsi="Times New Roman" w:cs="Times New Roman"/>
              <w:color w:val="auto"/>
              <w:kern w:val="2"/>
              <w:sz w:val="21"/>
              <w:szCs w:val="21"/>
              <w:vertAlign w:val="superscript"/>
              <w:lang w:val="en-US" w:eastAsia="zh-CN" w:bidi="ar-SA"/>
            </w:rPr>
            <w:t>2</w:t>
          </w:r>
          <w:r>
            <w:rPr>
              <w:rFonts w:hint="default" w:ascii="Times New Roman" w:hAnsi="Times New Roman" w:eastAsia="宋体" w:cs="Times New Roman"/>
              <w:sz w:val="21"/>
              <w:szCs w:val="21"/>
              <w:lang w:val="en-US" w:eastAsia="zh-CN" w:bidi="ar-SA"/>
            </w:rPr>
            <w:t>～</w:t>
          </w:r>
          <w:r>
            <w:rPr>
              <w:rFonts w:hint="default" w:ascii="Times New Roman" w:hAnsi="Times New Roman" w:eastAsia="宋体" w:cs="Times New Roman"/>
              <w:bCs w:val="0"/>
              <w:sz w:val="21"/>
              <w:szCs w:val="21"/>
              <w:lang w:val="en-US" w:eastAsia="zh-CN" w:bidi="ar-SA"/>
            </w:rPr>
            <w:t>94</w:t>
          </w:r>
          <w:r>
            <w:rPr>
              <w:rFonts w:hint="default" w:ascii="Times New Roman" w:hAnsi="Times New Roman" w:cs="Times New Roman"/>
              <w:bCs w:val="0"/>
              <w:sz w:val="21"/>
              <w:szCs w:val="21"/>
              <w:lang w:val="en-US" w:eastAsia="zh-CN" w:bidi="ar-SA"/>
            </w:rPr>
            <w:t xml:space="preserve"> ml</w:t>
          </w:r>
          <w:r>
            <w:rPr>
              <w:rFonts w:hint="default" w:ascii="Times New Roman" w:hAnsi="Times New Roman" w:eastAsia="宋体" w:cs="Times New Roman"/>
              <w:color w:val="auto"/>
              <w:kern w:val="2"/>
              <w:sz w:val="21"/>
              <w:szCs w:val="21"/>
              <w:lang w:val="en-US" w:eastAsia="zh-CN" w:bidi="ar-SA"/>
            </w:rPr>
            <w:t>/</w:t>
          </w:r>
          <w:r>
            <w:rPr>
              <w:rFonts w:hint="default" w:ascii="Times New Roman" w:hAnsi="Times New Roman" w:cs="Times New Roman"/>
              <w:color w:val="auto"/>
              <w:kern w:val="2"/>
              <w:sz w:val="21"/>
              <w:szCs w:val="21"/>
              <w:lang w:val="en-US" w:eastAsia="zh-CN" w:bidi="ar-SA"/>
            </w:rPr>
            <w:t>667 m</w:t>
          </w:r>
          <w:r>
            <w:rPr>
              <w:rFonts w:hint="default" w:ascii="Times New Roman" w:hAnsi="Times New Roman" w:cs="Times New Roman"/>
              <w:color w:val="auto"/>
              <w:kern w:val="2"/>
              <w:sz w:val="21"/>
              <w:szCs w:val="21"/>
              <w:vertAlign w:val="superscript"/>
              <w:lang w:val="en-US" w:eastAsia="zh-CN" w:bidi="ar-SA"/>
            </w:rPr>
            <w:t>2</w:t>
          </w:r>
          <w:r>
            <w:rPr>
              <w:rFonts w:hint="default" w:ascii="Times New Roman" w:hAnsi="Times New Roman" w:eastAsia="宋体" w:cs="Times New Roman"/>
              <w:bCs w:val="0"/>
              <w:sz w:val="21"/>
              <w:szCs w:val="21"/>
              <w:lang w:val="en-US" w:eastAsia="zh-CN" w:bidi="ar-SA"/>
            </w:rPr>
            <w:t>，</w:t>
          </w:r>
          <w:bookmarkStart w:id="19" w:name="_GoBack"/>
          <w:r>
            <w:rPr>
              <w:rFonts w:hint="default" w:ascii="Times New Roman" w:hAnsi="Times New Roman" w:eastAsia="宋体" w:cs="Times New Roman"/>
              <w:bCs w:val="0"/>
              <w:sz w:val="21"/>
              <w:szCs w:val="21"/>
              <w:lang w:val="en-US" w:eastAsia="zh-CN" w:bidi="ar-SA"/>
            </w:rPr>
            <w:t>或</w:t>
          </w:r>
          <w:r>
            <w:rPr>
              <w:rFonts w:hint="default" w:ascii="Times New Roman" w:hAnsi="Times New Roman" w:eastAsia="宋体" w:cs="Times New Roman"/>
              <w:color w:val="auto"/>
              <w:kern w:val="2"/>
              <w:sz w:val="21"/>
              <w:szCs w:val="21"/>
              <w:lang w:val="en-US" w:eastAsia="zh-CN" w:bidi="ar-SA"/>
            </w:rPr>
            <w:t>50%克菌丹可湿性粉</w:t>
          </w:r>
          <w:r>
            <w:rPr>
              <w:rFonts w:ascii="Times New Roman" w:hAnsi="Times New Roman" w:eastAsia="宋体" w:cs="Times New Roman"/>
              <w:color w:val="auto"/>
              <w:kern w:val="2"/>
              <w:sz w:val="21"/>
              <w:szCs w:val="21"/>
              <w:lang w:val="en-US" w:eastAsia="zh-CN" w:bidi="ar-SA"/>
            </w:rPr>
            <w:t>剂</w:t>
          </w:r>
          <w:r>
            <w:rPr>
              <w:rFonts w:hint="default" w:ascii="Times New Roman" w:hAnsi="Times New Roman" w:eastAsia="宋体" w:cs="Times New Roman"/>
              <w:color w:val="auto"/>
              <w:kern w:val="2"/>
              <w:sz w:val="21"/>
              <w:szCs w:val="21"/>
              <w:lang w:val="en-US" w:eastAsia="zh-CN" w:bidi="ar-SA"/>
            </w:rPr>
            <w:t>400倍液</w:t>
          </w:r>
          <w:r>
            <w:rPr>
              <w:rFonts w:hint="default" w:ascii="Times New Roman" w:hAnsi="Times New Roman" w:eastAsia="宋体" w:cs="Times New Roman"/>
              <w:sz w:val="21"/>
              <w:szCs w:val="21"/>
              <w:lang w:val="en-US" w:eastAsia="zh-CN" w:bidi="ar-SA"/>
            </w:rPr>
            <w:t>～</w:t>
          </w:r>
          <w:r>
            <w:rPr>
              <w:rFonts w:hint="default" w:ascii="Times New Roman" w:hAnsi="Times New Roman" w:eastAsia="宋体" w:cs="Times New Roman"/>
              <w:color w:val="auto"/>
              <w:kern w:val="2"/>
              <w:sz w:val="21"/>
              <w:szCs w:val="21"/>
              <w:lang w:val="en-US" w:eastAsia="zh-CN" w:bidi="ar-SA"/>
            </w:rPr>
            <w:t>600倍液</w:t>
          </w:r>
          <w:bookmarkEnd w:id="19"/>
          <w:r>
            <w:rPr>
              <w:rFonts w:hint="default" w:ascii="Times New Roman" w:hAnsi="Times New Roman" w:eastAsia="宋体" w:cs="Times New Roman"/>
              <w:color w:val="auto"/>
              <w:kern w:val="2"/>
              <w:sz w:val="21"/>
              <w:szCs w:val="21"/>
              <w:lang w:val="en-US" w:eastAsia="zh-CN" w:bidi="ar-SA"/>
            </w:rPr>
            <w:t>，或50%腐霉利可湿性粉剂50</w:t>
          </w:r>
          <w:r>
            <w:rPr>
              <w:rFonts w:hint="default" w:ascii="Times New Roman" w:hAnsi="Times New Roman" w:cs="Times New Roman"/>
              <w:bCs w:val="0"/>
              <w:sz w:val="21"/>
              <w:szCs w:val="21"/>
              <w:lang w:val="en-US" w:eastAsia="zh-CN" w:bidi="ar-SA"/>
            </w:rPr>
            <w:t xml:space="preserve"> g</w:t>
          </w:r>
          <w:r>
            <w:rPr>
              <w:rFonts w:hint="default" w:ascii="Times New Roman" w:hAnsi="Times New Roman" w:eastAsia="宋体" w:cs="Times New Roman"/>
              <w:color w:val="auto"/>
              <w:kern w:val="2"/>
              <w:sz w:val="21"/>
              <w:szCs w:val="21"/>
              <w:lang w:val="en-US" w:eastAsia="zh-CN" w:bidi="ar-SA"/>
            </w:rPr>
            <w:t>/</w:t>
          </w:r>
          <w:r>
            <w:rPr>
              <w:rFonts w:hint="default" w:ascii="Times New Roman" w:hAnsi="Times New Roman" w:cs="Times New Roman"/>
              <w:color w:val="auto"/>
              <w:kern w:val="2"/>
              <w:sz w:val="21"/>
              <w:szCs w:val="21"/>
              <w:lang w:val="en-US" w:eastAsia="zh-CN" w:bidi="ar-SA"/>
            </w:rPr>
            <w:t>667 m</w:t>
          </w:r>
          <w:r>
            <w:rPr>
              <w:rFonts w:hint="default" w:ascii="Times New Roman" w:hAnsi="Times New Roman" w:cs="Times New Roman"/>
              <w:color w:val="auto"/>
              <w:kern w:val="2"/>
              <w:sz w:val="21"/>
              <w:szCs w:val="21"/>
              <w:vertAlign w:val="superscript"/>
              <w:lang w:val="en-US" w:eastAsia="zh-CN" w:bidi="ar-SA"/>
            </w:rPr>
            <w:t>2</w:t>
          </w:r>
          <w:r>
            <w:rPr>
              <w:rFonts w:hint="default" w:ascii="Times New Roman" w:hAnsi="Times New Roman" w:eastAsia="宋体" w:cs="Times New Roman"/>
              <w:kern w:val="2"/>
              <w:sz w:val="21"/>
              <w:szCs w:val="21"/>
              <w:lang w:val="en-US" w:eastAsia="zh-CN" w:bidi="ar-SA"/>
            </w:rPr>
            <w:t>～</w:t>
          </w:r>
          <w:r>
            <w:rPr>
              <w:rFonts w:hint="default" w:ascii="Times New Roman" w:hAnsi="Times New Roman" w:eastAsia="宋体" w:cs="Times New Roman"/>
              <w:color w:val="auto"/>
              <w:kern w:val="2"/>
              <w:sz w:val="21"/>
              <w:szCs w:val="21"/>
              <w:lang w:val="en-US" w:eastAsia="zh-CN" w:bidi="ar-SA"/>
            </w:rPr>
            <w:t>100</w:t>
          </w:r>
          <w:r>
            <w:rPr>
              <w:rFonts w:hint="default" w:ascii="Times New Roman" w:hAnsi="Times New Roman" w:cs="Times New Roman"/>
              <w:bCs w:val="0"/>
              <w:sz w:val="21"/>
              <w:szCs w:val="21"/>
              <w:lang w:val="en-US" w:eastAsia="zh-CN" w:bidi="ar-SA"/>
            </w:rPr>
            <w:t xml:space="preserve"> g</w:t>
          </w:r>
          <w:r>
            <w:rPr>
              <w:rFonts w:hint="default" w:ascii="Times New Roman" w:hAnsi="Times New Roman" w:eastAsia="宋体" w:cs="Times New Roman"/>
              <w:color w:val="auto"/>
              <w:kern w:val="2"/>
              <w:sz w:val="21"/>
              <w:szCs w:val="21"/>
              <w:lang w:val="en-US" w:eastAsia="zh-CN" w:bidi="ar-SA"/>
            </w:rPr>
            <w:t>/</w:t>
          </w:r>
          <w:r>
            <w:rPr>
              <w:rFonts w:hint="default" w:ascii="Times New Roman" w:hAnsi="Times New Roman" w:cs="Times New Roman"/>
              <w:color w:val="auto"/>
              <w:kern w:val="2"/>
              <w:sz w:val="21"/>
              <w:szCs w:val="21"/>
              <w:lang w:val="en-US" w:eastAsia="zh-CN" w:bidi="ar-SA"/>
            </w:rPr>
            <w:t>667 m</w:t>
          </w:r>
          <w:r>
            <w:rPr>
              <w:rFonts w:hint="default" w:ascii="Times New Roman" w:hAnsi="Times New Roman" w:cs="Times New Roman"/>
              <w:color w:val="auto"/>
              <w:kern w:val="2"/>
              <w:sz w:val="21"/>
              <w:szCs w:val="21"/>
              <w:vertAlign w:val="superscript"/>
              <w:lang w:val="en-US" w:eastAsia="zh-CN" w:bidi="ar-SA"/>
            </w:rPr>
            <w:t>2</w:t>
          </w:r>
          <w:r>
            <w:rPr>
              <w:rFonts w:hint="default" w:ascii="Times New Roman" w:hAnsi="Times New Roman" w:eastAsia="宋体" w:cs="Times New Roman"/>
              <w:color w:val="auto"/>
              <w:kern w:val="2"/>
              <w:sz w:val="21"/>
              <w:szCs w:val="21"/>
              <w:lang w:val="en-US" w:eastAsia="zh-CN" w:bidi="ar-SA"/>
            </w:rPr>
            <w:t>，</w:t>
          </w:r>
          <w:r>
            <w:rPr>
              <w:rFonts w:hint="default" w:ascii="Times New Roman" w:hAnsi="Times New Roman" w:eastAsia="宋体" w:cs="Times New Roman"/>
              <w:sz w:val="21"/>
              <w:lang w:val="en-US" w:eastAsia="zh-CN" w:bidi="ar-SA"/>
            </w:rPr>
            <w:t>或2%武夷菌素水剂100倍液等喷雾。</w:t>
          </w:r>
        </w:p>
        <w:p w14:paraId="42844DC8">
          <w:pPr>
            <w:spacing w:before="312" w:beforeLines="100" w:after="312" w:afterLines="100"/>
            <w:jc w:val="both"/>
            <w:outlineLvl w:val="0"/>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5 采收</w:t>
          </w:r>
        </w:p>
        <w:p w14:paraId="77ED12A3">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对符合绿色食品茄子标准的进行采收，减轻植株负担，以确保商品果品质、促进后期果实膨大。</w:t>
          </w:r>
        </w:p>
        <w:p w14:paraId="19DEF61F">
          <w:pPr>
            <w:spacing w:before="312" w:beforeLines="100" w:after="312" w:afterLines="100"/>
            <w:jc w:val="both"/>
            <w:outlineLvl w:val="0"/>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6</w:t>
          </w:r>
          <w:r>
            <w:rPr>
              <w:rFonts w:hint="default" w:ascii="Times New Roman" w:hAnsi="Times New Roman" w:eastAsia="宋体" w:cs="Times New Roman"/>
              <w:sz w:val="21"/>
              <w:lang w:val="en-US" w:eastAsia="zh-CN" w:bidi="ar-SA"/>
            </w:rPr>
            <w:t xml:space="preserve"> </w:t>
          </w:r>
          <w:r>
            <w:rPr>
              <w:rFonts w:hint="default" w:ascii="Times New Roman" w:hAnsi="Times New Roman" w:eastAsia="黑体" w:cs="Times New Roman"/>
              <w:sz w:val="21"/>
              <w:lang w:val="en-US" w:eastAsia="zh-CN" w:bidi="ar-SA"/>
            </w:rPr>
            <w:t>废弃物处理</w:t>
          </w:r>
        </w:p>
        <w:p w14:paraId="784292F6">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对已用的薄膜进行回收统一处理。对每次摘除的病叶、病果、病株等，对每次收割后的残枝败叶和杂草，以及对收获的新鲜茄子秧，清理移出温室外统一处理。</w:t>
          </w:r>
        </w:p>
        <w:p w14:paraId="3765FACF">
          <w:pPr>
            <w:pStyle w:val="233"/>
            <w:adjustRightInd/>
            <w:snapToGrid w:val="0"/>
            <w:spacing w:line="360" w:lineRule="auto"/>
            <w:ind w:firstLine="420" w:firstLineChars="200"/>
            <w:rPr>
              <w:rFonts w:ascii="Times New Roman" w:hAnsi="Times New Roman" w:eastAsia="宋体"/>
              <w:sz w:val="21"/>
              <w:szCs w:val="21"/>
            </w:rPr>
          </w:pPr>
        </w:p>
        <w:p w14:paraId="394B371D">
          <w:pPr>
            <w:adjustRightInd/>
            <w:snapToGrid w:val="0"/>
            <w:spacing w:line="360" w:lineRule="auto"/>
            <w:ind w:firstLine="4200" w:firstLineChars="2000"/>
            <w:rPr>
              <w:rFonts w:ascii="Times New Roman" w:hAnsi="Times New Roman" w:eastAsia="宋体"/>
              <w:szCs w:val="21"/>
            </w:rPr>
          </w:pPr>
        </w:p>
        <w:p w14:paraId="61DAC511">
          <w:pPr>
            <w:snapToGrid w:val="0"/>
            <w:spacing w:line="360" w:lineRule="auto"/>
            <w:jc w:val="center"/>
            <w:rPr>
              <w:rFonts w:hint="default"/>
              <w:lang w:val="en-US" w:eastAsia="zh-CN"/>
            </w:rPr>
          </w:pPr>
          <w:r>
            <w:rPr>
              <w:rFonts w:ascii="Times New Roman" w:hAnsi="Times New Roman" w:eastAsia="宋体"/>
              <w:szCs w:val="21"/>
            </w:rPr>
            <w:t>___________________________</w:t>
          </w:r>
        </w:p>
      </w:sdtContent>
    </w:sdt>
    <w:sectPr>
      <w:headerReference r:id="rId11" w:type="default"/>
      <w:footerReference r:id="rId12" w:type="default"/>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91BB6">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1A927">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C60AE">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A44C2">
    <w:pPr>
      <w:pStyle w:val="54"/>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166C9">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w:t>
    </w:r>
    <w:r>
      <w:rPr>
        <w:rFonts w:hint="eastAsia" w:ascii="黑体" w:hAnsi="黑体" w:eastAsia="黑体"/>
        <w:lang w:eastAsia="zh-CN"/>
      </w:rPr>
      <w:t>~</w:t>
    </w:r>
    <w:r>
      <w:rPr>
        <w:rFonts w:ascii="黑体" w:hAnsi="黑体" w:eastAsia="黑体"/>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F76AB">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BAE99">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092D12">
    <w:pPr>
      <w:pStyle w:val="63"/>
    </w:pPr>
    <w:r>
      <w:fldChar w:fldCharType="begin"/>
    </w:r>
    <w:r>
      <w:instrText xml:space="preserve"> STYLEREF  标准文件_文件编号  \* MERGEFORMAT </w:instrText>
    </w:r>
    <w:r>
      <w:fldChar w:fldCharType="separate"/>
    </w:r>
    <w:r>
      <w:t>DB6540/T —2024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1DC6146"/>
    <w:multiLevelType w:val="singleLevel"/>
    <w:tmpl w:val="41DC6146"/>
    <w:lvl w:ilvl="0" w:tentative="0">
      <w:start w:val="1"/>
      <w:numFmt w:val="decimal"/>
      <w:suff w:val="nothing"/>
      <w:lvlText w:val="（%1）"/>
      <w:lvlJc w:val="left"/>
    </w:lvl>
  </w:abstractNum>
  <w:abstractNum w:abstractNumId="13">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1701"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trackRevisions w:val="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ZkMGE2MmNhNGVlMGZiYzE2YzhhY2NhYTY2ODkwZTMifQ=="/>
  </w:docVars>
  <w:rsids>
    <w:rsidRoot w:val="008359B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4ED"/>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C7F"/>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13D4"/>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1E75"/>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514C"/>
    <w:rsid w:val="003E660F"/>
    <w:rsid w:val="003F0841"/>
    <w:rsid w:val="003F23D3"/>
    <w:rsid w:val="003F3F08"/>
    <w:rsid w:val="003F49F1"/>
    <w:rsid w:val="003F6272"/>
    <w:rsid w:val="00400E72"/>
    <w:rsid w:val="00401400"/>
    <w:rsid w:val="00404869"/>
    <w:rsid w:val="00405884"/>
    <w:rsid w:val="00407D39"/>
    <w:rsid w:val="0041477A"/>
    <w:rsid w:val="004167A3"/>
    <w:rsid w:val="0043138E"/>
    <w:rsid w:val="00432DAA"/>
    <w:rsid w:val="00434305"/>
    <w:rsid w:val="00435DF7"/>
    <w:rsid w:val="004377C6"/>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4FF8"/>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44A5"/>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418"/>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979F1"/>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020"/>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176B"/>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BC1"/>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47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59BD"/>
    <w:rsid w:val="008373D3"/>
    <w:rsid w:val="00840617"/>
    <w:rsid w:val="00840F84"/>
    <w:rsid w:val="00842A47"/>
    <w:rsid w:val="00843C13"/>
    <w:rsid w:val="00844975"/>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3E85"/>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46AB5"/>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5965"/>
    <w:rsid w:val="00997BF1"/>
    <w:rsid w:val="009A089C"/>
    <w:rsid w:val="009A118E"/>
    <w:rsid w:val="009A21CD"/>
    <w:rsid w:val="009A278C"/>
    <w:rsid w:val="009A2BC2"/>
    <w:rsid w:val="009A42C1"/>
    <w:rsid w:val="009A5429"/>
    <w:rsid w:val="009A72AD"/>
    <w:rsid w:val="009B09E0"/>
    <w:rsid w:val="009B0BC5"/>
    <w:rsid w:val="009B1247"/>
    <w:rsid w:val="009B1324"/>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1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56615"/>
    <w:rsid w:val="00C601BC"/>
    <w:rsid w:val="00C6329F"/>
    <w:rsid w:val="00C63340"/>
    <w:rsid w:val="00C643F9"/>
    <w:rsid w:val="00C64E95"/>
    <w:rsid w:val="00C71372"/>
    <w:rsid w:val="00C72410"/>
    <w:rsid w:val="00C7287F"/>
    <w:rsid w:val="00C80982"/>
    <w:rsid w:val="00C80CB8"/>
    <w:rsid w:val="00C819F8"/>
    <w:rsid w:val="00C8248C"/>
    <w:rsid w:val="00C84E33"/>
    <w:rsid w:val="00C854D5"/>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29E"/>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3A1A"/>
    <w:rsid w:val="00DF44DE"/>
    <w:rsid w:val="00DF5F11"/>
    <w:rsid w:val="00DF625B"/>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49B4"/>
    <w:rsid w:val="00F25BB6"/>
    <w:rsid w:val="00F26B7E"/>
    <w:rsid w:val="00F27A3B"/>
    <w:rsid w:val="00F33817"/>
    <w:rsid w:val="00F420D5"/>
    <w:rsid w:val="00F42D5B"/>
    <w:rsid w:val="00F451EA"/>
    <w:rsid w:val="00F45447"/>
    <w:rsid w:val="00F456C6"/>
    <w:rsid w:val="00F4577B"/>
    <w:rsid w:val="00F46496"/>
    <w:rsid w:val="00F474D0"/>
    <w:rsid w:val="00F50179"/>
    <w:rsid w:val="00F515EE"/>
    <w:rsid w:val="00F53980"/>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19AC"/>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9E57B5"/>
    <w:rsid w:val="04611D16"/>
    <w:rsid w:val="08A96AB5"/>
    <w:rsid w:val="0F9B6F3F"/>
    <w:rsid w:val="10CF6997"/>
    <w:rsid w:val="126847CF"/>
    <w:rsid w:val="13EE65CD"/>
    <w:rsid w:val="14E742AD"/>
    <w:rsid w:val="17493BCA"/>
    <w:rsid w:val="1D003481"/>
    <w:rsid w:val="1D2B1398"/>
    <w:rsid w:val="2CC579B5"/>
    <w:rsid w:val="2E431733"/>
    <w:rsid w:val="343523B1"/>
    <w:rsid w:val="37657737"/>
    <w:rsid w:val="3DEF482D"/>
    <w:rsid w:val="3F845FBE"/>
    <w:rsid w:val="40944E6B"/>
    <w:rsid w:val="42660D58"/>
    <w:rsid w:val="480045D7"/>
    <w:rsid w:val="49B91D78"/>
    <w:rsid w:val="58CE4820"/>
    <w:rsid w:val="594B1EE7"/>
    <w:rsid w:val="5A9E34D3"/>
    <w:rsid w:val="5CE618D9"/>
    <w:rsid w:val="61325BCA"/>
    <w:rsid w:val="61B35DC4"/>
    <w:rsid w:val="74733468"/>
    <w:rsid w:val="7AE47354"/>
    <w:rsid w:val="7D700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2"/>
    <w:unhideWhenUsed/>
    <w:qFormat/>
    <w:uiPriority w:val="0"/>
    <w:pPr>
      <w:adjustRightInd/>
      <w:spacing w:line="240" w:lineRule="auto"/>
      <w:jc w:val="left"/>
    </w:pPr>
    <w:rPr>
      <w:rFonts w:cs="黑体"/>
      <w:szCs w:val="24"/>
    </w:r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annotation reference"/>
    <w:basedOn w:val="29"/>
    <w:semiHidden/>
    <w:unhideWhenUsed/>
    <w:qFormat/>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19"/>
    <w:qFormat/>
    <w:uiPriority w:val="99"/>
    <w:rPr>
      <w:kern w:val="2"/>
      <w:sz w:val="18"/>
      <w:szCs w:val="18"/>
    </w:rPr>
  </w:style>
  <w:style w:type="character" w:customStyle="1" w:styleId="46">
    <w:name w:val="页脚 字符"/>
    <w:link w:val="18"/>
    <w:qFormat/>
    <w:uiPriority w:val="99"/>
    <w:rPr>
      <w:rFonts w:ascii="宋体"/>
      <w:kern w:val="2"/>
      <w:sz w:val="18"/>
      <w:szCs w:val="18"/>
    </w:rPr>
  </w:style>
  <w:style w:type="character" w:customStyle="1" w:styleId="47">
    <w:name w:val="批注框文本 字符"/>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6"/>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ind w:left="0"/>
      <w:outlineLvl w:val="3"/>
    </w:pPr>
  </w:style>
  <w:style w:type="character" w:customStyle="1" w:styleId="97">
    <w:name w:val="Subtle Reference"/>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9"/>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9"/>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qFormat/>
    <w:uiPriority w:val="0"/>
    <w:rPr>
      <w:rFonts w:ascii="黑体" w:eastAsia="黑体"/>
      <w:spacing w:val="85"/>
      <w:w w:val="100"/>
      <w:position w:val="3"/>
      <w:sz w:val="28"/>
      <w:szCs w:val="28"/>
    </w:rPr>
  </w:style>
  <w:style w:type="character" w:customStyle="1" w:styleId="232">
    <w:name w:val="批注文字 字符"/>
    <w:basedOn w:val="29"/>
    <w:link w:val="13"/>
    <w:qFormat/>
    <w:uiPriority w:val="0"/>
    <w:rPr>
      <w:rFonts w:cs="黑体"/>
      <w:kern w:val="2"/>
      <w:sz w:val="21"/>
      <w:szCs w:val="24"/>
    </w:rPr>
  </w:style>
  <w:style w:type="paragraph" w:customStyle="1" w:styleId="233">
    <w:name w:val="p0"/>
    <w:qFormat/>
    <w:uiPriority w:val="0"/>
    <w:pPr>
      <w:widowControl/>
      <w:spacing w:line="365" w:lineRule="atLeast"/>
      <w:ind w:left="1"/>
      <w:jc w:val="both"/>
      <w:textAlignment w:val="bottom"/>
    </w:pPr>
    <w:rPr>
      <w:rFonts w:ascii="Times New Roman" w:hAnsi="Times New Roman" w:eastAsia="宋体" w:cs="Times New Roman"/>
      <w:kern w:val="0"/>
      <w:sz w:val="20"/>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tiff"/><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DEFB1EF1D1848D48F73EC109ACDDAD9"/>
        <w:style w:val=""/>
        <w:category>
          <w:name w:val="常规"/>
          <w:gallery w:val="placeholder"/>
        </w:category>
        <w:types>
          <w:type w:val="bbPlcHdr"/>
        </w:types>
        <w:behaviors>
          <w:behavior w:val="content"/>
        </w:behaviors>
        <w:description w:val=""/>
        <w:guid w:val="{260768D2-1D4E-442E-9FEA-D3E3861BC14E}"/>
      </w:docPartPr>
      <w:docPartBody>
        <w:p w14:paraId="4B0BDE76">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F45"/>
    <w:rsid w:val="000A0F45"/>
    <w:rsid w:val="0014692F"/>
    <w:rsid w:val="007C5666"/>
    <w:rsid w:val="00D01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DEFB1EF1D1848D48F73EC109ACDDAD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AA1993AC3A2743E497BC85E6EBD243E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FF41408F008345ACB404A0953FDB2C8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F25F9F-BC9D-49FB-93AB-62866BE86E55}">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3276</Words>
  <Characters>4036</Characters>
  <Lines>30</Lines>
  <Paragraphs>8</Paragraphs>
  <TotalTime>0</TotalTime>
  <ScaleCrop>false</ScaleCrop>
  <LinksUpToDate>false</LinksUpToDate>
  <CharactersWithSpaces>4247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2023-11-16T09:37:00Z</dcterms:created>
  <dc:creator>11052</dc:creator>
  <dc:description>&lt;config cover="true" show_menu="true" version="1.0.0" doctype="SDKXY"&gt;_x000d_
&lt;/config&gt;</dc:description>
  <cp:lastModifiedBy>admin</cp:lastModifiedBy>
  <cp:lastPrinted>2020-08-30T10:00:00Z</cp:lastPrinted>
  <dcterms:modified xsi:type="dcterms:W3CDTF">2024-10-28T13:28:00Z</dcterms:modified>
  <dc:title>地方标准</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B3FA39ACAECE4138A981F9F8904363A2_13</vt:lpwstr>
  </property>
</Properties>
</file>