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5"/>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B16</w:t>
            </w:r>
            <w:r>
              <w:rPr>
                <w:rFonts w:ascii="黑体" w:hAnsi="黑体" w:eastAsia="黑体"/>
                <w:sz w:val="21"/>
                <w:szCs w:val="21"/>
              </w:rPr>
              <w:fldChar w:fldCharType="end"/>
            </w:r>
            <w:bookmarkEnd w:id="1"/>
          </w:p>
        </w:tc>
      </w:tr>
    </w:tbl>
    <w:tbl>
      <w:tblPr>
        <w:tblStyle w:val="35"/>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Ex>
        <w:tc>
          <w:tcPr>
            <w:tcW w:w="6407" w:type="dxa"/>
          </w:tcPr>
          <w:p>
            <w:pPr>
              <w:pStyle w:val="51"/>
              <w:framePr w:w="0" w:hRule="auto" w:wrap="auto" w:vAnchor="margin" w:hAnchor="text" w:xAlign="left" w:yAlign="inline"/>
              <w:rPr>
                <w:rFonts w:hint="eastAsia" w:ascii="宋体" w:hAnsi="宋体" w:eastAsia="宋体"/>
                <w:sz w:val="28"/>
                <w:szCs w:val="28"/>
                <w:lang w:val="en-US" w:eastAsia="zh-CN"/>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65</w:t>
            </w:r>
            <w:r>
              <w:fldChar w:fldCharType="end"/>
            </w:r>
            <w:bookmarkEnd w:id="3"/>
            <w:r>
              <w:rPr>
                <w:rFonts w:hint="eastAsia"/>
                <w:lang w:val="en-US" w:eastAsia="zh-CN"/>
              </w:rPr>
              <w:t>40</w:t>
            </w:r>
          </w:p>
        </w:tc>
      </w:tr>
    </w:tbl>
    <w:p>
      <w:pPr>
        <w:pStyle w:val="52"/>
        <w:framePr w:w="9639" w:h="624" w:hRule="exact" w:hSpace="181" w:vSpace="181" w:hAnchor="page" w:x="1305" w:y="2269"/>
        <w:rPr>
          <w:rFonts w:hint="eastAsia" w:ascii="黑体" w:hAnsi="黑体" w:eastAsia="黑体"/>
          <w:b w:val="0"/>
          <w:bCs w:val="0"/>
          <w:w w:val="100"/>
          <w:sz w:val="48"/>
          <w:szCs w:val="48"/>
        </w:rPr>
      </w:pPr>
      <w:r>
        <w:rPr>
          <w:rFonts w:hint="eastAsia" w:ascii="黑体" w:hAnsi="黑体" w:eastAsia="黑体"/>
          <w:b w:val="0"/>
          <w:bCs w:val="0"/>
          <w:w w:val="100"/>
          <w:sz w:val="48"/>
          <w:szCs w:val="48"/>
        </w:rPr>
        <w:t>伊犁哈萨克自治州地方标准</w:t>
      </w:r>
    </w:p>
    <w:bookmarkEnd w:id="2"/>
    <w:p>
      <w:pPr>
        <w:pStyle w:val="197"/>
        <w:framePr/>
        <w:rPr>
          <w:rFonts w:hint="eastAsia" w:eastAsia="黑体"/>
          <w:lang w:val="en-US" w:eastAsia="zh-CN"/>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4" w:name="文字1"/>
      <w:r>
        <w:rPr>
          <w:lang w:val="fr-FR"/>
        </w:rPr>
        <w:instrText xml:space="preserve"> FORMTEXT </w:instrText>
      </w:r>
      <w:r>
        <w:fldChar w:fldCharType="separate"/>
      </w:r>
      <w:r>
        <w:rPr>
          <w:lang w:val="fr-FR"/>
        </w:rPr>
        <w:t>65</w:t>
      </w:r>
      <w:r>
        <w:rPr>
          <w:rFonts w:hint="eastAsia"/>
          <w:lang w:val="en-US" w:eastAsia="zh-CN"/>
        </w:rPr>
        <w:t>40</w:t>
      </w:r>
      <w:r>
        <w:rPr>
          <w:lang w:val="fr-FR"/>
        </w:rPr>
        <w:t>/T</w:t>
      </w:r>
      <w:r>
        <w:fldChar w:fldCharType="end"/>
      </w:r>
      <w:bookmarkEnd w:id="4"/>
      <w:r>
        <w:rPr>
          <w:lang w:val="fr-FR"/>
        </w:rPr>
        <w:t xml:space="preserve"> </w:t>
      </w:r>
      <w:r>
        <w:rPr>
          <w:rFonts w:hAnsi="黑体"/>
          <w:lang w:val="fr-FR"/>
        </w:rPr>
        <w:t>—</w:t>
      </w:r>
      <w:r>
        <w:rPr>
          <w:rFonts w:hint="eastAsia"/>
          <w:lang w:val="en-US" w:eastAsia="zh-CN"/>
        </w:rPr>
        <w:t>2024</w:t>
      </w:r>
    </w:p>
    <w:p>
      <w:pPr>
        <w:pStyle w:val="198"/>
        <w:framePr/>
        <w:rPr>
          <w:rFonts w:hint="eastAsia" w:hAnsi="黑体"/>
        </w:rPr>
      </w:pPr>
      <w:r>
        <w:rPr>
          <w:rFonts w:hAnsi="黑体"/>
        </w:rPr>
        <w:fldChar w:fldCharType="begin">
          <w:ffData>
            <w:name w:val="OSTD_CODE"/>
            <w:enabled/>
            <w:calcOnExit w:val="0"/>
            <w:textInput/>
          </w:ffData>
        </w:fldChar>
      </w:r>
      <w:bookmarkStart w:id="5"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5"/>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J4NJltgAAAAMAQAADwAAAAAAAAABACAAAAAiAAAA&#10;ZHJzL2Rvd25yZXYueG1sUEsBAhQAFAAAAAgAh07iQCAX8V/OAQAAbAMAAA4AAAAAAAAAAQAgAAAA&#10;JwEAAGRycy9lMm9Eb2MueG1sUEsFBgAAAAAGAAYAWQEAAGcFAAAAAA==&#10;">
                <v:fill on="f" focussize="0,0"/>
                <v:stroke color="#000000" joinstyle="round"/>
                <v:imagedata o:title=""/>
                <o:lock v:ext="edit" aspectratio="f"/>
              </v:line>
            </w:pict>
          </mc:Fallback>
        </mc:AlternateContent>
      </w:r>
    </w:p>
    <w:p>
      <w:pPr>
        <w:pStyle w:val="52"/>
        <w:framePr w:w="9639" w:h="6976" w:hRule="exact" w:hSpace="0" w:vSpace="0" w:hAnchor="page" w:y="6408"/>
        <w:jc w:val="center"/>
        <w:rPr>
          <w:rFonts w:hint="eastAsia" w:ascii="黑体" w:hAnsi="黑体" w:eastAsia="黑体"/>
          <w:b w:val="0"/>
          <w:bCs w:val="0"/>
          <w:w w:val="100"/>
        </w:rPr>
      </w:pPr>
    </w:p>
    <w:p>
      <w:pPr>
        <w:pStyle w:val="199"/>
        <w:framePr w:h="6974" w:hRule="exact" w:x="1419" w:anchorLock="1"/>
        <w:rPr>
          <w:rFonts w:hint="eastAsia"/>
        </w:rPr>
      </w:pPr>
      <w:r>
        <w:rPr>
          <w:rFonts w:hint="eastAsia"/>
        </w:rPr>
        <w:t>小麦网腥黑穗病菌分子鉴定技术规程</w:t>
      </w:r>
    </w:p>
    <w:p>
      <w:pPr>
        <w:framePr w:w="9639" w:h="6974" w:hRule="exact" w:wrap="around" w:vAnchor="page" w:hAnchor="page" w:x="1419" w:y="6408" w:anchorLock="1"/>
        <w:ind w:left="-1418"/>
      </w:pPr>
    </w:p>
    <w:p>
      <w:pPr>
        <w:pStyle w:val="127"/>
        <w:framePr w:w="9639" w:h="6974" w:hRule="exact" w:wrap="around" w:vAnchor="page" w:hAnchor="page" w:x="1419" w:y="6408" w:anchorLock="1"/>
        <w:textAlignment w:val="bottom"/>
        <w:rPr>
          <w:rFonts w:eastAsia="黑体"/>
          <w:szCs w:val="28"/>
        </w:rPr>
      </w:pPr>
      <w:r>
        <w:rPr>
          <w:rFonts w:hint="eastAsia" w:eastAsia="黑体"/>
          <w:szCs w:val="28"/>
        </w:rPr>
        <w:t xml:space="preserve">Technology Regulation for molecular identification of </w:t>
      </w:r>
      <w:r>
        <w:rPr>
          <w:rFonts w:hint="eastAsia" w:eastAsia="黑体"/>
          <w:i/>
          <w:iCs/>
          <w:szCs w:val="28"/>
        </w:rPr>
        <w:t>Tilletia caries</w:t>
      </w:r>
      <w:r>
        <w:rPr>
          <w:rFonts w:hint="eastAsia" w:eastAsia="黑体"/>
          <w:szCs w:val="28"/>
        </w:rPr>
        <w:t xml:space="preserve"> Kühn  </w:t>
      </w:r>
    </w:p>
    <w:p>
      <w:pPr>
        <w:pStyle w:val="127"/>
        <w:framePr w:w="9639" w:h="6974" w:hRule="exact" w:wrap="around" w:vAnchor="page" w:hAnchor="page" w:x="1419" w:y="6408" w:anchorLock="1"/>
        <w:textAlignment w:val="bottom"/>
        <w:rPr>
          <w:rFonts w:eastAsia="黑体"/>
          <w:szCs w:val="28"/>
        </w:rPr>
      </w:pPr>
    </w:p>
    <w:p>
      <w:pPr>
        <w:framePr w:w="9639" w:h="6974" w:hRule="exact" w:wrap="around" w:vAnchor="page" w:hAnchor="page" w:x="1419" w:y="6408" w:anchorLock="1"/>
        <w:spacing w:line="760" w:lineRule="exact"/>
        <w:ind w:left="-1418"/>
      </w:pPr>
    </w:p>
    <w:p>
      <w:pPr>
        <w:pStyle w:val="127"/>
        <w:framePr w:w="9639" w:h="6974" w:hRule="exact" w:wrap="around" w:vAnchor="page" w:hAnchor="page" w:x="1419" w:y="6408" w:anchorLock="1"/>
        <w:textAlignment w:val="bottom"/>
        <w:rPr>
          <w:rFonts w:eastAsia="黑体"/>
          <w:szCs w:val="28"/>
        </w:rPr>
      </w:pPr>
    </w:p>
    <w:p>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6" w:name="下拉1"/>
      <w:r>
        <w:rPr>
          <w:sz w:val="24"/>
          <w:szCs w:val="28"/>
        </w:rPr>
        <w:instrText xml:space="preserve"> FORMDROPDOWN </w:instrText>
      </w:r>
      <w:r>
        <w:rPr>
          <w:sz w:val="24"/>
          <w:szCs w:val="28"/>
        </w:rPr>
        <w:fldChar w:fldCharType="separate"/>
      </w:r>
      <w:r>
        <w:rPr>
          <w:sz w:val="24"/>
          <w:szCs w:val="28"/>
        </w:rPr>
        <w:fldChar w:fldCharType="end"/>
      </w:r>
      <w:bookmarkEnd w:id="6"/>
    </w:p>
    <w:p>
      <w:pPr>
        <w:pStyle w:val="127"/>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7"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7"/>
    </w:p>
    <w:p>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8" w:name="下拉2"/>
      <w:r>
        <w:rPr>
          <w:b/>
          <w:sz w:val="21"/>
          <w:szCs w:val="28"/>
        </w:rPr>
        <w:instrText xml:space="preserve"> FORMDROPDOWN </w:instrText>
      </w:r>
      <w:r>
        <w:rPr>
          <w:b/>
          <w:sz w:val="21"/>
          <w:szCs w:val="28"/>
        </w:rPr>
        <w:fldChar w:fldCharType="separate"/>
      </w:r>
      <w:r>
        <w:rPr>
          <w:b/>
          <w:sz w:val="21"/>
          <w:szCs w:val="28"/>
        </w:rPr>
        <w:fldChar w:fldCharType="end"/>
      </w:r>
      <w:bookmarkEnd w:id="8"/>
    </w:p>
    <w:p>
      <w:pPr>
        <w:pStyle w:val="195"/>
        <w:framePr w:y="14176"/>
      </w:pPr>
      <w:r>
        <w:rPr>
          <w:rFonts w:hint="eastAsia" w:ascii="黑体"/>
          <w:lang w:val="en-US" w:eastAsia="zh-CN"/>
        </w:rPr>
        <w:t>2024</w:t>
      </w:r>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发布</w:t>
      </w:r>
    </w:p>
    <w:p>
      <w:pPr>
        <w:pStyle w:val="196"/>
        <w:framePr w:y="14176"/>
      </w:pPr>
      <w:r>
        <w:rPr>
          <w:rFonts w:hint="eastAsia"/>
          <w:lang w:val="en-US" w:eastAsia="zh-CN"/>
        </w:rPr>
        <w:t>2024</w:t>
      </w:r>
      <w:bookmarkStart w:id="44" w:name="_GoBack"/>
      <w:bookmarkEnd w:id="4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1"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2"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实施</w:t>
      </w:r>
    </w:p>
    <w:p>
      <w:pPr>
        <w:pStyle w:val="153"/>
        <w:framePr w:h="584" w:hRule="exact" w:hSpace="181" w:vSpace="181" w:y="15027"/>
        <w:rPr>
          <w:rFonts w:hint="eastAsia" w:hAnsi="黑体"/>
        </w:rPr>
      </w:pPr>
      <w:r>
        <w:rPr>
          <w:rFonts w:hint="eastAsia" w:hAnsi="黑体"/>
          <w:w w:val="100"/>
          <w:sz w:val="28"/>
        </w:rPr>
        <w:t>伊犁哈萨克自治州市场监督管理局</w:t>
      </w:r>
      <w:r>
        <w:rPr>
          <w:rFonts w:ascii="Times New Roman"/>
          <w:w w:val="100"/>
          <w:sz w:val="28"/>
        </w:rPr>
        <w:t>  </w:t>
      </w:r>
      <w:r>
        <w:rPr>
          <w:rStyle w:val="231"/>
          <w:rFonts w:hint="eastAsia" w:hAnsi="黑体"/>
          <w:position w:val="0"/>
        </w:rPr>
        <w:t>发</w:t>
      </w:r>
      <w:r>
        <w:rPr>
          <w:rStyle w:val="231"/>
          <w:rFonts w:hint="eastAsia" w:hAnsi="黑体"/>
          <w:spacing w:val="0"/>
          <w:position w:val="0"/>
        </w:rPr>
        <w:t>布</w:t>
      </w:r>
    </w:p>
    <w:p>
      <w:pPr>
        <w:rPr>
          <w:rFonts w:hint="eastAsia" w:ascii="宋体" w:hAnsi="宋体"/>
          <w:sz w:val="28"/>
          <w:szCs w:val="28"/>
        </w:rPr>
        <w:sectPr>
          <w:headerReference r:id="rId5" w:type="first"/>
          <w:footerReference r:id="rId8" w:type="first"/>
          <w:headerReference r:id="rId3" w:type="default"/>
          <w:footerReference r:id="rId6" w:type="default"/>
          <w:headerReference r:id="rId4" w:type="even"/>
          <w:footerReference r:id="rId7"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&#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KszHPvXAAAADgEAAA8AAAAAAAAAAQAgAAAAIgAAAGRy&#10;cy9kb3ducmV2LnhtbFBLAQIUABQAAAAIAIdO4kCcmq9QzQEAAGoDAAAOAAAAAAAAAAEAIAAAACYB&#10;AABkcnMvZTJvRG9jLnhtbFBLBQYAAAAABgAGAFkBAABlBQAAAAA=&#10;">
                <v:fill on="f" focussize="0,0"/>
                <v:stroke color="#000000" joinstyle="round"/>
                <v:imagedata o:title=""/>
                <o:lock v:ext="edit" aspectratio="f"/>
                <w10:anchorlock/>
              </v:line>
            </w:pict>
          </mc:Fallback>
        </mc:AlternateContent>
      </w:r>
    </w:p>
    <w:p>
      <w:pPr>
        <w:pStyle w:val="91"/>
        <w:spacing w:after="468"/>
      </w:pPr>
      <w:bookmarkStart w:id="13" w:name="BookMark2"/>
      <w:r>
        <w:rPr>
          <w:spacing w:val="320"/>
        </w:rPr>
        <w:t>前</w:t>
      </w:r>
      <w:r>
        <w:t>言</w:t>
      </w:r>
    </w:p>
    <w:p>
      <w:pPr>
        <w:pStyle w:val="58"/>
        <w:ind w:firstLine="420"/>
        <w:rPr>
          <w:rFonts w:ascii="Times New Roman"/>
        </w:rPr>
      </w:pPr>
      <w:r>
        <w:rPr>
          <w:rFonts w:ascii="Times New Roman"/>
        </w:rPr>
        <w:t>本标准按照GB/T 1.1—2020《标准化工作导则  第1部分：标准化文件的结构和起草规则》的规定起草。</w:t>
      </w:r>
    </w:p>
    <w:p>
      <w:pPr>
        <w:pStyle w:val="58"/>
        <w:ind w:firstLine="420"/>
        <w:rPr>
          <w:rFonts w:ascii="Times New Roman"/>
        </w:rPr>
      </w:pPr>
      <w:r>
        <w:rPr>
          <w:rFonts w:ascii="Times New Roman"/>
        </w:rPr>
        <w:t>本标准由</w:t>
      </w:r>
      <w:r>
        <w:rPr>
          <w:rFonts w:hint="eastAsia" w:ascii="Times New Roman"/>
        </w:rPr>
        <w:t>中国农业科学院植物保护研究所</w:t>
      </w:r>
      <w:r>
        <w:rPr>
          <w:rFonts w:ascii="Times New Roman"/>
        </w:rPr>
        <w:t>提出。</w:t>
      </w:r>
    </w:p>
    <w:p>
      <w:pPr>
        <w:pStyle w:val="58"/>
        <w:ind w:firstLine="420"/>
        <w:rPr>
          <w:rFonts w:ascii="Times New Roman"/>
        </w:rPr>
      </w:pPr>
      <w:r>
        <w:rPr>
          <w:rFonts w:ascii="Times New Roman"/>
        </w:rPr>
        <w:t>本标准由</w:t>
      </w:r>
      <w:r>
        <w:rPr>
          <w:rFonts w:hint="eastAsia" w:ascii="Times New Roman"/>
        </w:rPr>
        <w:t>伊犁哈萨克自治州农业农村局</w:t>
      </w:r>
      <w:r>
        <w:rPr>
          <w:rFonts w:ascii="Times New Roman"/>
        </w:rPr>
        <w:t>归口。</w:t>
      </w:r>
    </w:p>
    <w:p>
      <w:pPr>
        <w:pStyle w:val="58"/>
        <w:ind w:firstLine="420"/>
        <w:rPr>
          <w:rFonts w:ascii="Times New Roman"/>
        </w:rPr>
      </w:pPr>
      <w:r>
        <w:rPr>
          <w:rFonts w:ascii="Times New Roman"/>
        </w:rPr>
        <w:t>本标准起草单位：</w:t>
      </w:r>
      <w:r>
        <w:rPr>
          <w:rFonts w:hint="eastAsia" w:ascii="Times New Roman"/>
        </w:rPr>
        <w:t>中国</w:t>
      </w:r>
      <w:r>
        <w:rPr>
          <w:rFonts w:ascii="Times New Roman"/>
        </w:rPr>
        <w:t>农业科学院植物保护研究所</w:t>
      </w:r>
      <w:r>
        <w:rPr>
          <w:rFonts w:hint="eastAsia" w:ascii="Times New Roman"/>
        </w:rPr>
        <w:t>、伊犁州农业技术推广总站</w:t>
      </w:r>
    </w:p>
    <w:p>
      <w:pPr>
        <w:pStyle w:val="58"/>
        <w:ind w:firstLine="420"/>
        <w:rPr>
          <w:rFonts w:ascii="Times New Roman"/>
        </w:rPr>
      </w:pPr>
      <w:r>
        <w:rPr>
          <w:rFonts w:ascii="Times New Roman"/>
        </w:rPr>
        <w:t>本标准主要起草人：</w:t>
      </w:r>
      <w:r>
        <w:rPr>
          <w:rFonts w:hint="eastAsia" w:ascii="Times New Roman"/>
        </w:rPr>
        <w:t>高利、刘菲、付文君、李广阔、高海峰、沈煜洋、王俊、芦屹、范荣霞、马航宇、游成勇、方海晶</w:t>
      </w:r>
    </w:p>
    <w:p>
      <w:pPr>
        <w:adjustRightInd/>
        <w:spacing w:line="240" w:lineRule="auto"/>
        <w:ind w:firstLine="424" w:firstLineChars="202"/>
        <w:rPr>
          <w:rFonts w:ascii="Times New Roman" w:hAnsi="Times New Roman"/>
        </w:rPr>
      </w:pPr>
      <w:r>
        <w:rPr>
          <w:rFonts w:ascii="Times New Roman" w:hAnsi="Times New Roman"/>
        </w:rPr>
        <w:t>本文件实施应用中的疑问，请咨询</w:t>
      </w:r>
      <w:r>
        <w:rPr>
          <w:rFonts w:hint="eastAsia" w:ascii="Times New Roman" w:hAnsi="Times New Roman"/>
        </w:rPr>
        <w:t>伊犁哈萨克自治州农业农村局</w:t>
      </w:r>
      <w:r>
        <w:rPr>
          <w:rFonts w:ascii="Times New Roman"/>
        </w:rPr>
        <w:t>、</w:t>
      </w:r>
      <w:r>
        <w:rPr>
          <w:rFonts w:hint="eastAsia" w:ascii="Times New Roman" w:hAnsi="Times New Roman"/>
        </w:rPr>
        <w:t>中国农业科学院植物保护研究所</w:t>
      </w:r>
      <w:r>
        <w:rPr>
          <w:rFonts w:ascii="Times New Roman" w:hAnsi="Times New Roman"/>
        </w:rPr>
        <w:t>。</w:t>
      </w:r>
    </w:p>
    <w:p>
      <w:pPr>
        <w:adjustRightInd/>
        <w:spacing w:line="240" w:lineRule="auto"/>
        <w:ind w:firstLine="424" w:firstLineChars="202"/>
        <w:rPr>
          <w:rFonts w:ascii="Times New Roman" w:hAnsi="Times New Roman"/>
        </w:rPr>
      </w:pPr>
      <w:r>
        <w:rPr>
          <w:rFonts w:hint="eastAsia" w:ascii="Times New Roman"/>
        </w:rPr>
        <w:t>对</w:t>
      </w:r>
      <w:r>
        <w:rPr>
          <w:rFonts w:ascii="Times New Roman"/>
        </w:rPr>
        <w:t>本文件的修改意见建议，请反馈至</w:t>
      </w:r>
      <w:r>
        <w:rPr>
          <w:rFonts w:hint="eastAsia" w:ascii="Times New Roman" w:hAnsi="Times New Roman"/>
        </w:rPr>
        <w:t>伊犁哈萨克自治州农业农村局</w:t>
      </w:r>
      <w:r>
        <w:rPr>
          <w:rFonts w:ascii="Times New Roman"/>
        </w:rPr>
        <w:t>（</w:t>
      </w:r>
      <w:r>
        <w:rPr>
          <w:rFonts w:hint="eastAsia" w:ascii="Times New Roman"/>
        </w:rPr>
        <w:t>伊宁市阿合买提江路224号</w:t>
      </w:r>
      <w:r>
        <w:rPr>
          <w:rFonts w:ascii="Times New Roman"/>
        </w:rPr>
        <w:t>）、</w:t>
      </w:r>
      <w:r>
        <w:rPr>
          <w:rFonts w:hint="eastAsia" w:ascii="Times New Roman"/>
        </w:rPr>
        <w:t>中国</w:t>
      </w:r>
      <w:r>
        <w:rPr>
          <w:rFonts w:ascii="Times New Roman"/>
        </w:rPr>
        <w:t>农业科学院植物保护研究所（</w:t>
      </w:r>
      <w:r>
        <w:rPr>
          <w:rFonts w:hint="eastAsia" w:ascii="Times New Roman"/>
        </w:rPr>
        <w:t>北京市圆明园西路2</w:t>
      </w:r>
      <w:r>
        <w:rPr>
          <w:rFonts w:ascii="Times New Roman"/>
        </w:rPr>
        <w:t>号）、</w:t>
      </w:r>
      <w:r>
        <w:rPr>
          <w:rFonts w:hint="eastAsia" w:ascii="Times New Roman"/>
        </w:rPr>
        <w:t>伊犁哈萨克自治州</w:t>
      </w:r>
      <w:r>
        <w:rPr>
          <w:rFonts w:ascii="Times New Roman"/>
        </w:rPr>
        <w:t>市场监督管理局（</w:t>
      </w:r>
      <w:r>
        <w:rPr>
          <w:rFonts w:hint="eastAsia" w:ascii="Times New Roman"/>
        </w:rPr>
        <w:t>伊宁市阿合买提江南路390号</w:t>
      </w:r>
      <w:r>
        <w:rPr>
          <w:rFonts w:ascii="Times New Roman"/>
        </w:rPr>
        <w:t>）。</w:t>
      </w:r>
    </w:p>
    <w:p>
      <w:pPr>
        <w:pStyle w:val="58"/>
        <w:ind w:firstLine="420"/>
        <w:rPr>
          <w:rFonts w:ascii="Times New Roman"/>
        </w:rPr>
      </w:pPr>
      <w:r>
        <w:rPr>
          <w:rFonts w:hint="eastAsia" w:ascii="Times New Roman"/>
        </w:rPr>
        <w:t>伊犁哈萨克自治州农业农村局</w:t>
      </w:r>
      <w:r>
        <w:rPr>
          <w:rFonts w:ascii="Times New Roman"/>
        </w:rPr>
        <w:t xml:space="preserve">  联系电话：0991-2878226；传真：0991-2878226；邮编：830000</w:t>
      </w:r>
    </w:p>
    <w:p>
      <w:pPr>
        <w:adjustRightInd/>
        <w:spacing w:line="240" w:lineRule="auto"/>
        <w:ind w:firstLine="424" w:firstLineChars="202"/>
        <w:rPr>
          <w:rFonts w:ascii="Times New Roman"/>
        </w:rPr>
      </w:pPr>
      <w:r>
        <w:rPr>
          <w:rFonts w:hint="eastAsia" w:ascii="Times New Roman"/>
        </w:rPr>
        <w:t>中国</w:t>
      </w:r>
      <w:r>
        <w:rPr>
          <w:rFonts w:ascii="Times New Roman"/>
        </w:rPr>
        <w:t>农业科学院植物保护研究所 联系电话：0991-4524641；传真：0991-4524641；邮编：830091</w:t>
      </w:r>
    </w:p>
    <w:p>
      <w:pPr>
        <w:pStyle w:val="58"/>
        <w:ind w:firstLine="420"/>
        <w:rPr>
          <w:rFonts w:ascii="Times New Roman"/>
        </w:rPr>
      </w:pPr>
      <w:r>
        <w:rPr>
          <w:rFonts w:hint="eastAsia" w:ascii="Times New Roman"/>
        </w:rPr>
        <w:t>伊犁哈萨克自治州</w:t>
      </w:r>
      <w:r>
        <w:rPr>
          <w:rFonts w:ascii="Times New Roman"/>
        </w:rPr>
        <w:t>市场监督管理局  联系电话：0991-2817197；传真：0991-2311250；邮编：830004</w:t>
      </w:r>
    </w:p>
    <w:p>
      <w:pPr>
        <w:adjustRightInd/>
        <w:spacing w:line="240" w:lineRule="auto"/>
        <w:ind w:firstLine="424" w:firstLineChars="202"/>
        <w:rPr>
          <w:rFonts w:ascii="Times New Roman" w:hAnsi="Times New Roman"/>
        </w:rPr>
      </w:pPr>
    </w:p>
    <w:p>
      <w:pPr>
        <w:pStyle w:val="58"/>
        <w:ind w:firstLine="199" w:firstLineChars="95"/>
        <w:sectPr>
          <w:headerReference r:id="rId9" w:type="default"/>
          <w:footerReference r:id="rId11" w:type="default"/>
          <w:headerReference r:id="rId10" w:type="even"/>
          <w:pgSz w:w="11906" w:h="16838"/>
          <w:pgMar w:top="567" w:right="1134" w:bottom="1134" w:left="1134" w:header="1418" w:footer="1134" w:gutter="284"/>
          <w:pgNumType w:fmt="upperRoman" w:start="1"/>
          <w:cols w:space="425" w:num="1"/>
          <w:formProt w:val="0"/>
          <w:docGrid w:type="lines" w:linePitch="312" w:charSpace="0"/>
        </w:sectPr>
      </w:pPr>
    </w:p>
    <w:bookmarkEnd w:id="13"/>
    <w:p>
      <w:pPr>
        <w:spacing w:line="20" w:lineRule="exact"/>
        <w:jc w:val="center"/>
        <w:rPr>
          <w:rFonts w:hint="eastAsia" w:ascii="黑体" w:hAnsi="黑体" w:eastAsia="黑体"/>
          <w:sz w:val="32"/>
          <w:szCs w:val="32"/>
        </w:rPr>
      </w:pPr>
      <w:bookmarkStart w:id="14"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726D482D811A4E8CA8BA3C05B0FD4B7D"/>
        </w:placeholder>
      </w:sdtPr>
      <w:sdtContent>
        <w:p>
          <w:pPr>
            <w:pStyle w:val="179"/>
            <w:spacing w:before="312" w:beforeLines="100" w:after="686" w:afterLines="220"/>
            <w:rPr>
              <w:rFonts w:hint="eastAsia"/>
            </w:rPr>
          </w:pPr>
          <w:bookmarkStart w:id="15" w:name="NEW_STAND_NAME"/>
          <w:r>
            <w:rPr>
              <w:rFonts w:hint="eastAsia"/>
            </w:rPr>
            <w:t>小麦网腥黑穗病菌分子鉴定技术规程</w:t>
          </w:r>
        </w:p>
      </w:sdtContent>
    </w:sdt>
    <w:bookmarkEnd w:id="15"/>
    <w:p>
      <w:pPr>
        <w:pStyle w:val="106"/>
        <w:spacing w:before="312" w:after="312"/>
      </w:pPr>
      <w:bookmarkStart w:id="16" w:name="_Toc26648465"/>
      <w:bookmarkStart w:id="17" w:name="_Toc26986530"/>
      <w:bookmarkStart w:id="18" w:name="_Toc26986771"/>
      <w:bookmarkStart w:id="19" w:name="_Toc24884218"/>
      <w:bookmarkStart w:id="20" w:name="_Toc17233325"/>
      <w:bookmarkStart w:id="21" w:name="_Toc26718930"/>
      <w:bookmarkStart w:id="22" w:name="_Toc24884211"/>
      <w:bookmarkStart w:id="23" w:name="_Toc17233333"/>
      <w:r>
        <w:rPr>
          <w:rFonts w:hint="eastAsia"/>
        </w:rPr>
        <w:t>范围</w:t>
      </w:r>
      <w:bookmarkEnd w:id="16"/>
      <w:bookmarkEnd w:id="17"/>
      <w:bookmarkEnd w:id="18"/>
      <w:bookmarkEnd w:id="19"/>
      <w:bookmarkEnd w:id="20"/>
      <w:bookmarkEnd w:id="21"/>
      <w:bookmarkEnd w:id="22"/>
      <w:bookmarkEnd w:id="23"/>
    </w:p>
    <w:p>
      <w:pPr>
        <w:pStyle w:val="233"/>
        <w:spacing w:line="360" w:lineRule="exact"/>
        <w:rPr>
          <w:rFonts w:hint="eastAsia" w:hAnsi="宋体" w:cs="宋体"/>
          <w:bCs/>
          <w:szCs w:val="21"/>
        </w:rPr>
      </w:pPr>
      <w:bookmarkStart w:id="24" w:name="_Toc26648466"/>
      <w:bookmarkStart w:id="25" w:name="_Toc24884212"/>
      <w:bookmarkStart w:id="26" w:name="_Toc26718931"/>
      <w:bookmarkStart w:id="27" w:name="_Toc26986531"/>
      <w:bookmarkStart w:id="28" w:name="_Toc26986772"/>
      <w:bookmarkStart w:id="29" w:name="_Toc17233326"/>
      <w:bookmarkStart w:id="30" w:name="_Toc24884219"/>
      <w:bookmarkStart w:id="31" w:name="_Toc17233334"/>
      <w:r>
        <w:rPr>
          <w:rFonts w:hint="eastAsia" w:hAnsi="宋体" w:cs="宋体"/>
          <w:bCs/>
          <w:szCs w:val="21"/>
        </w:rPr>
        <w:t>本标准规定了</w:t>
      </w:r>
      <w:r>
        <w:rPr>
          <w:rFonts w:hint="eastAsia" w:hAnsi="宋体" w:cs="宋体"/>
          <w:bCs/>
          <w:color w:val="000000"/>
          <w:szCs w:val="21"/>
        </w:rPr>
        <w:t>农业植物检疫中</w:t>
      </w:r>
      <w:r>
        <w:rPr>
          <w:rFonts w:hint="eastAsia" w:hAnsi="宋体" w:cs="宋体"/>
          <w:bCs/>
          <w:szCs w:val="21"/>
        </w:rPr>
        <w:t>小麦网腥黑穗病菌（</w:t>
      </w:r>
      <w:r>
        <w:rPr>
          <w:rFonts w:hint="eastAsia" w:hAnsi="宋体" w:cs="宋体"/>
          <w:bCs/>
          <w:i/>
          <w:szCs w:val="21"/>
        </w:rPr>
        <w:t>Tilletia caries</w:t>
      </w:r>
      <w:r>
        <w:rPr>
          <w:rFonts w:hint="eastAsia" w:hAnsi="宋体" w:cs="宋体"/>
          <w:bCs/>
          <w:szCs w:val="21"/>
        </w:rPr>
        <w:t xml:space="preserve"> Kühn）样品采集, 样品处理, PCR，实时荧光定量PCR检验及结果判定的技术方法。</w:t>
      </w:r>
    </w:p>
    <w:p>
      <w:pPr>
        <w:pStyle w:val="233"/>
        <w:spacing w:line="360" w:lineRule="exact"/>
        <w:rPr>
          <w:rFonts w:hint="eastAsia" w:hAnsi="宋体" w:cs="宋体"/>
          <w:bCs/>
          <w:szCs w:val="21"/>
        </w:rPr>
      </w:pPr>
      <w:r>
        <w:rPr>
          <w:rFonts w:hint="eastAsia" w:hAnsi="宋体" w:cs="宋体"/>
          <w:bCs/>
          <w:szCs w:val="21"/>
        </w:rPr>
        <w:t>本标准适用于小麦种子、籽粒及产品、生长期植株小麦网腥黑穗病菌的检疫检测和鉴定。</w:t>
      </w:r>
    </w:p>
    <w:p>
      <w:pPr>
        <w:pStyle w:val="106"/>
        <w:spacing w:before="312" w:after="312"/>
      </w:pPr>
      <w:r>
        <w:rPr>
          <w:rFonts w:hint="eastAsia"/>
        </w:rPr>
        <w:t>规范性引用文件</w:t>
      </w:r>
      <w:bookmarkEnd w:id="24"/>
      <w:bookmarkEnd w:id="25"/>
      <w:bookmarkEnd w:id="26"/>
      <w:bookmarkEnd w:id="27"/>
      <w:bookmarkEnd w:id="28"/>
      <w:bookmarkEnd w:id="29"/>
      <w:bookmarkEnd w:id="30"/>
      <w:bookmarkEnd w:id="31"/>
    </w:p>
    <w:sdt>
      <w:sdtPr>
        <w:rPr>
          <w:rFonts w:hint="eastAsia"/>
        </w:rPr>
        <w:id w:val="715848253"/>
        <w:placeholder>
          <w:docPart w:val="2E4F30BE217C40ECAA237312A9BF0BA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106"/>
        <w:spacing w:before="312" w:after="312"/>
      </w:pPr>
      <w:r>
        <w:rPr>
          <w:rFonts w:hint="eastAsia"/>
          <w:szCs w:val="21"/>
        </w:rPr>
        <w:t>术语和定义</w:t>
      </w:r>
    </w:p>
    <w:sdt>
      <w:sdtPr>
        <w:id w:val="-1909835108"/>
        <w:placeholder>
          <w:docPart w:val="9D271C2E4BA1412B950141E97380CA5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8"/>
            <w:ind w:firstLine="420"/>
          </w:pPr>
          <w:bookmarkStart w:id="32" w:name="_Toc26986532"/>
          <w:bookmarkEnd w:id="32"/>
          <w:r>
            <w:rPr>
              <w:rFonts w:hint="eastAsia"/>
            </w:rPr>
            <w:t>下列术语和定义适用于本文件。</w:t>
          </w:r>
        </w:p>
      </w:sdtContent>
    </w:sdt>
    <w:p>
      <w:pPr>
        <w:pStyle w:val="107"/>
        <w:numPr>
          <w:ilvl w:val="2"/>
          <w:numId w:val="0"/>
        </w:numPr>
        <w:spacing w:before="156" w:after="156" w:line="360" w:lineRule="auto"/>
        <w:rPr>
          <w:rFonts w:ascii="Times New Roman"/>
        </w:rPr>
      </w:pPr>
      <w:r>
        <w:rPr>
          <w:rFonts w:hint="eastAsia" w:hAnsi="黑体" w:cs="黑体"/>
        </w:rPr>
        <w:t>3.1</w:t>
      </w:r>
      <w:r>
        <w:rPr>
          <w:rFonts w:ascii="Times New Roman"/>
        </w:rPr>
        <w:t xml:space="preserve"> 小麦网腥黑穗病 </w:t>
      </w:r>
      <w:r>
        <w:rPr>
          <w:rFonts w:hint="eastAsia" w:ascii="Times New Roman"/>
        </w:rPr>
        <w:t>W</w:t>
      </w:r>
      <w:r>
        <w:rPr>
          <w:rFonts w:ascii="Times New Roman"/>
        </w:rPr>
        <w:t>heat common smut</w:t>
      </w:r>
    </w:p>
    <w:p>
      <w:pPr>
        <w:pStyle w:val="58"/>
        <w:spacing w:line="360" w:lineRule="auto"/>
        <w:ind w:firstLine="420"/>
        <w:rPr>
          <w:rFonts w:ascii="Times New Roman"/>
        </w:rPr>
      </w:pPr>
      <w:r>
        <w:rPr>
          <w:rFonts w:ascii="Times New Roman"/>
        </w:rPr>
        <w:t>小麦网腥黑穗病是由小麦网腥黑粉菌(</w:t>
      </w:r>
      <w:r>
        <w:rPr>
          <w:rFonts w:ascii="Times New Roman"/>
          <w:i/>
          <w:iCs/>
          <w:szCs w:val="21"/>
        </w:rPr>
        <w:t xml:space="preserve">Tilletia caries </w:t>
      </w:r>
      <w:r>
        <w:rPr>
          <w:rFonts w:ascii="Times New Roman"/>
          <w:szCs w:val="21"/>
        </w:rPr>
        <w:t>Kühn</w:t>
      </w:r>
      <w:r>
        <w:rPr>
          <w:rFonts w:ascii="Times New Roman"/>
        </w:rPr>
        <w:t>)引起的重大病害。特征表现为罹病植株病穗籽粒变为病原菌冬孢子构成的菌瘿，不能食用，导致严重的产量损失并影响小麦加工品品质。</w:t>
      </w:r>
    </w:p>
    <w:bookmarkEnd w:id="14"/>
    <w:p>
      <w:pPr>
        <w:pStyle w:val="234"/>
        <w:numPr>
          <w:ilvl w:val="0"/>
          <w:numId w:val="0"/>
        </w:numPr>
        <w:spacing w:before="0" w:beforeLines="0" w:after="0" w:afterLines="0" w:line="360" w:lineRule="auto"/>
        <w:rPr>
          <w:rFonts w:ascii="Times New Roman"/>
          <w:bCs/>
        </w:rPr>
      </w:pPr>
      <w:bookmarkStart w:id="33" w:name="BookMark5"/>
      <w:r>
        <w:rPr>
          <w:rFonts w:hint="eastAsia" w:hAnsi="黑体" w:cs="黑体"/>
          <w:bCs/>
        </w:rPr>
        <w:t>3.2</w:t>
      </w:r>
      <w:r>
        <w:rPr>
          <w:rFonts w:hint="eastAsia" w:ascii="Times New Roman"/>
          <w:bCs/>
        </w:rPr>
        <w:t xml:space="preserve"> </w:t>
      </w:r>
      <w:r>
        <w:rPr>
          <w:rFonts w:ascii="Times New Roman"/>
          <w:bCs/>
        </w:rPr>
        <w:t>实时荧光定量PCR qRT-PCR</w:t>
      </w:r>
    </w:p>
    <w:p>
      <w:pPr>
        <w:pStyle w:val="233"/>
        <w:spacing w:line="360" w:lineRule="auto"/>
        <w:rPr>
          <w:rFonts w:ascii="Times New Roman"/>
          <w:bCs/>
          <w:szCs w:val="21"/>
        </w:rPr>
      </w:pPr>
      <w:r>
        <w:rPr>
          <w:rFonts w:ascii="Times New Roman"/>
          <w:bCs/>
          <w:szCs w:val="21"/>
        </w:rPr>
        <w:t>也叫实时荧光聚合酶链式反应。是一种能在体外微量扩增的特殊DNA片段，在扩增过程中由于荧光物质的释放而实时快速、灵敏地检出模板DNA存在的方法。</w:t>
      </w:r>
    </w:p>
    <w:p>
      <w:pPr>
        <w:pStyle w:val="234"/>
        <w:numPr>
          <w:ilvl w:val="0"/>
          <w:numId w:val="0"/>
        </w:numPr>
        <w:spacing w:before="0" w:beforeLines="0" w:after="0" w:afterLines="0" w:line="360" w:lineRule="auto"/>
        <w:rPr>
          <w:rFonts w:ascii="Times New Roman"/>
          <w:bCs/>
        </w:rPr>
      </w:pPr>
      <w:r>
        <w:rPr>
          <w:rFonts w:hint="eastAsia" w:hAnsi="黑体" w:cs="黑体"/>
          <w:bCs/>
        </w:rPr>
        <w:t xml:space="preserve">3.3 </w:t>
      </w:r>
      <w:r>
        <w:rPr>
          <w:rFonts w:ascii="Times New Roman"/>
          <w:bCs/>
        </w:rPr>
        <w:t>qRT-PCR阈值 Threshold of qRT-PCR</w:t>
      </w:r>
    </w:p>
    <w:p>
      <w:pPr>
        <w:pStyle w:val="233"/>
        <w:spacing w:line="360" w:lineRule="auto"/>
        <w:rPr>
          <w:rFonts w:ascii="Times New Roman"/>
          <w:bCs/>
          <w:szCs w:val="21"/>
        </w:rPr>
      </w:pPr>
      <w:r>
        <w:rPr>
          <w:rFonts w:ascii="Times New Roman"/>
          <w:bCs/>
          <w:szCs w:val="21"/>
        </w:rPr>
        <w:t>PCR反应实时荧光强度超过背景荧光强度的值或检测值。</w:t>
      </w:r>
    </w:p>
    <w:p>
      <w:pPr>
        <w:pStyle w:val="234"/>
        <w:numPr>
          <w:ilvl w:val="0"/>
          <w:numId w:val="0"/>
        </w:numPr>
        <w:spacing w:before="0" w:beforeLines="0" w:after="0" w:afterLines="0" w:line="360" w:lineRule="auto"/>
        <w:rPr>
          <w:rFonts w:ascii="Times New Roman"/>
          <w:bCs/>
        </w:rPr>
      </w:pPr>
      <w:r>
        <w:rPr>
          <w:rFonts w:hint="eastAsia" w:hAnsi="黑体" w:cs="黑体"/>
          <w:bCs/>
        </w:rPr>
        <w:t xml:space="preserve">3.4 </w:t>
      </w:r>
      <w:r>
        <w:rPr>
          <w:rFonts w:ascii="Times New Roman"/>
          <w:bCs/>
        </w:rPr>
        <w:t>qRT-PCR Ct值 Cycle threshold value of qRT-PCR</w:t>
      </w:r>
    </w:p>
    <w:p>
      <w:pPr>
        <w:pStyle w:val="233"/>
        <w:spacing w:line="360" w:lineRule="auto"/>
        <w:rPr>
          <w:rFonts w:ascii="Times New Roman"/>
          <w:bCs/>
          <w:szCs w:val="21"/>
        </w:rPr>
      </w:pPr>
      <w:r>
        <w:rPr>
          <w:rFonts w:ascii="Times New Roman"/>
          <w:bCs/>
          <w:szCs w:val="21"/>
        </w:rPr>
        <w:t>实时荧光PCR反应检测样品的荧光信号达到设定阈值时所经历的循环数。</w:t>
      </w:r>
    </w:p>
    <w:p>
      <w:pPr>
        <w:pStyle w:val="234"/>
        <w:numPr>
          <w:ilvl w:val="0"/>
          <w:numId w:val="0"/>
        </w:numPr>
        <w:spacing w:before="0" w:beforeLines="0" w:after="0" w:afterLines="0" w:line="360" w:lineRule="auto"/>
        <w:rPr>
          <w:rFonts w:ascii="Times New Roman"/>
          <w:bCs/>
        </w:rPr>
      </w:pPr>
      <w:r>
        <w:rPr>
          <w:rFonts w:hint="eastAsia" w:hAnsi="黑体" w:cs="黑体"/>
          <w:bCs/>
        </w:rPr>
        <w:t>3.5</w:t>
      </w:r>
      <w:r>
        <w:rPr>
          <w:rFonts w:ascii="Times New Roman"/>
          <w:bCs/>
        </w:rPr>
        <w:t xml:space="preserve"> 典型的扩增曲线 Typical amplification curve</w:t>
      </w:r>
    </w:p>
    <w:p>
      <w:pPr>
        <w:pStyle w:val="233"/>
        <w:spacing w:line="360" w:lineRule="auto"/>
        <w:rPr>
          <w:rFonts w:ascii="Times New Roman"/>
          <w:bCs/>
          <w:szCs w:val="21"/>
        </w:rPr>
      </w:pPr>
      <w:r>
        <w:rPr>
          <w:rFonts w:ascii="Times New Roman"/>
          <w:bCs/>
          <w:szCs w:val="21"/>
        </w:rPr>
        <w:t>一个典型的扩增曲线由三个阶段组成：荧光背景信号阶段、荧光信号指数扩增阶段和平台期。指数扩增阶段PCR产物量的对数值与起始模板量之间存在线性关系。</w:t>
      </w:r>
    </w:p>
    <w:p>
      <w:pPr>
        <w:pStyle w:val="234"/>
        <w:numPr>
          <w:ilvl w:val="1"/>
          <w:numId w:val="0"/>
        </w:numPr>
        <w:spacing w:before="0" w:beforeLines="0" w:after="0" w:afterLines="0" w:line="360" w:lineRule="exact"/>
        <w:rPr>
          <w:rFonts w:hint="eastAsia" w:hAnsi="黑体"/>
          <w:bCs/>
        </w:rPr>
      </w:pPr>
    </w:p>
    <w:p>
      <w:pPr>
        <w:pStyle w:val="107"/>
        <w:numPr>
          <w:ilvl w:val="2"/>
          <w:numId w:val="0"/>
        </w:numPr>
        <w:spacing w:before="156" w:after="156"/>
      </w:pPr>
      <w:r>
        <w:rPr>
          <w:rFonts w:hint="eastAsia"/>
          <w:szCs w:val="21"/>
        </w:rPr>
        <w:t>4 原理</w:t>
      </w:r>
    </w:p>
    <w:p>
      <w:pPr>
        <w:pStyle w:val="233"/>
        <w:spacing w:line="360" w:lineRule="exact"/>
        <w:rPr>
          <w:rFonts w:ascii="Times New Roman"/>
          <w:bCs/>
          <w:color w:val="000000"/>
          <w:szCs w:val="21"/>
        </w:rPr>
      </w:pPr>
      <w:r>
        <w:rPr>
          <w:rFonts w:ascii="Times New Roman"/>
          <w:bCs/>
          <w:szCs w:val="21"/>
        </w:rPr>
        <w:t>小麦</w:t>
      </w:r>
      <w:r>
        <w:rPr>
          <w:rFonts w:hint="eastAsia" w:ascii="Times New Roman"/>
          <w:bCs/>
          <w:szCs w:val="21"/>
        </w:rPr>
        <w:t>网</w:t>
      </w:r>
      <w:r>
        <w:rPr>
          <w:rFonts w:ascii="Times New Roman"/>
          <w:bCs/>
          <w:szCs w:val="21"/>
        </w:rPr>
        <w:t>腥黑穗病菌(</w:t>
      </w:r>
      <w:r>
        <w:rPr>
          <w:rFonts w:ascii="Times New Roman"/>
          <w:bCs/>
          <w:i/>
          <w:iCs/>
          <w:color w:val="000000"/>
          <w:szCs w:val="21"/>
        </w:rPr>
        <w:t xml:space="preserve">Tilletia </w:t>
      </w:r>
      <w:r>
        <w:rPr>
          <w:rFonts w:hint="eastAsia" w:ascii="Times New Roman"/>
          <w:bCs/>
          <w:i/>
          <w:iCs/>
          <w:color w:val="000000"/>
          <w:szCs w:val="21"/>
        </w:rPr>
        <w:t>caries</w:t>
      </w:r>
      <w:r>
        <w:rPr>
          <w:rFonts w:ascii="Times New Roman"/>
          <w:bCs/>
          <w:color w:val="000000"/>
          <w:szCs w:val="21"/>
        </w:rPr>
        <w:t xml:space="preserve"> Kühn)，属担子菌门</w:t>
      </w:r>
      <w:r>
        <w:rPr>
          <w:rFonts w:ascii="Times New Roman"/>
          <w:bCs/>
          <w:i/>
          <w:iCs/>
          <w:color w:val="000000"/>
          <w:szCs w:val="21"/>
        </w:rPr>
        <w:t>Basidiomycota</w:t>
      </w:r>
      <w:r>
        <w:rPr>
          <w:rFonts w:ascii="Times New Roman"/>
          <w:bCs/>
          <w:color w:val="000000"/>
          <w:szCs w:val="21"/>
        </w:rPr>
        <w:t>，冬孢菌纲</w:t>
      </w:r>
      <w:r>
        <w:rPr>
          <w:rStyle w:val="31"/>
          <w:rFonts w:ascii="Times New Roman"/>
          <w:bCs/>
          <w:i/>
          <w:iCs/>
          <w:color w:val="000000"/>
        </w:rPr>
        <w:t>Teliomycetes</w:t>
      </w:r>
      <w:r>
        <w:rPr>
          <w:rFonts w:ascii="Times New Roman"/>
          <w:bCs/>
          <w:color w:val="000000"/>
          <w:szCs w:val="21"/>
        </w:rPr>
        <w:t>，黑粉菌目</w:t>
      </w:r>
      <w:r>
        <w:rPr>
          <w:rStyle w:val="31"/>
          <w:rFonts w:ascii="Times New Roman"/>
          <w:bCs/>
          <w:i/>
          <w:iCs/>
          <w:color w:val="000000"/>
        </w:rPr>
        <w:t>Ustilaginales</w:t>
      </w:r>
      <w:r>
        <w:rPr>
          <w:rFonts w:ascii="Times New Roman"/>
          <w:bCs/>
          <w:color w:val="000000"/>
          <w:szCs w:val="21"/>
        </w:rPr>
        <w:t>，腥黑粉菌科</w:t>
      </w:r>
      <w:r>
        <w:rPr>
          <w:rStyle w:val="31"/>
          <w:rFonts w:ascii="Times New Roman"/>
          <w:bCs/>
          <w:i/>
          <w:iCs/>
          <w:color w:val="000000"/>
        </w:rPr>
        <w:t>Tilletiaceae</w:t>
      </w:r>
      <w:r>
        <w:rPr>
          <w:rFonts w:ascii="Times New Roman"/>
          <w:bCs/>
          <w:color w:val="000000"/>
          <w:szCs w:val="21"/>
        </w:rPr>
        <w:t>，腥黑粉菌属</w:t>
      </w:r>
      <w:r>
        <w:rPr>
          <w:rFonts w:ascii="Times New Roman"/>
          <w:bCs/>
          <w:i/>
          <w:iCs/>
          <w:color w:val="000000"/>
          <w:szCs w:val="21"/>
        </w:rPr>
        <w:t>Tilletia</w:t>
      </w:r>
      <w:r>
        <w:rPr>
          <w:rFonts w:ascii="Times New Roman"/>
          <w:bCs/>
          <w:color w:val="000000"/>
          <w:szCs w:val="21"/>
        </w:rPr>
        <w:t>。小麦受害后，通常是全穗麦粒变成病粒，但也有的是部分麦粒发病。病粒较健粒短而胖，外面包着一层灰白色膜，里面充满鱼腥味的黑色粉末</w:t>
      </w:r>
      <w:r>
        <w:rPr>
          <w:rFonts w:hint="eastAsia" w:ascii="Times New Roman"/>
          <w:bCs/>
          <w:color w:val="000000"/>
          <w:szCs w:val="21"/>
        </w:rPr>
        <w:t>，即为小麦网腥黑穗病菌的冬孢子。</w:t>
      </w:r>
      <w:r>
        <w:rPr>
          <w:rFonts w:ascii="Times New Roman"/>
          <w:bCs/>
          <w:color w:val="000000"/>
          <w:szCs w:val="21"/>
        </w:rPr>
        <w:t>病菌以冬孢子附着在种子外表或混入粪肥、土壤中越夏，随着受害种子、土壤和肥料的远距离运输而传播；也可以菌瘿形式混杂于种子中，进行远距离传播。</w:t>
      </w:r>
      <w:bookmarkStart w:id="34" w:name="_Hlk116936235"/>
      <w:r>
        <w:rPr>
          <w:rFonts w:ascii="Times New Roman"/>
          <w:bCs/>
          <w:color w:val="000000"/>
          <w:szCs w:val="21"/>
        </w:rPr>
        <w:t>PCR、qRT-PCR检测结果是本标准快速鉴定该病原菌的依据。</w:t>
      </w:r>
    </w:p>
    <w:p>
      <w:pPr>
        <w:pStyle w:val="234"/>
        <w:numPr>
          <w:ilvl w:val="1"/>
          <w:numId w:val="0"/>
        </w:numPr>
        <w:spacing w:before="0" w:beforeLines="0" w:after="0" w:afterLines="0" w:line="360" w:lineRule="exact"/>
        <w:rPr>
          <w:rFonts w:ascii="Times New Roman"/>
          <w:bCs/>
        </w:rPr>
      </w:pPr>
      <w:r>
        <w:rPr>
          <w:rFonts w:hint="eastAsia" w:hAnsi="黑体" w:cs="黑体"/>
          <w:bCs/>
        </w:rPr>
        <w:t xml:space="preserve">4.1 </w:t>
      </w:r>
      <w:r>
        <w:rPr>
          <w:rFonts w:ascii="Times New Roman"/>
          <w:bCs/>
        </w:rPr>
        <w:t>PCR</w:t>
      </w:r>
    </w:p>
    <w:p>
      <w:pPr>
        <w:pStyle w:val="233"/>
        <w:spacing w:line="360" w:lineRule="exact"/>
        <w:rPr>
          <w:rFonts w:ascii="Times New Roman"/>
          <w:bCs/>
          <w:szCs w:val="21"/>
          <w:shd w:val="clear" w:color="auto" w:fill="FFFFFF"/>
        </w:rPr>
      </w:pPr>
      <w:r>
        <w:rPr>
          <w:rFonts w:ascii="Times New Roman"/>
          <w:bCs/>
          <w:szCs w:val="21"/>
          <w:shd w:val="clear" w:color="auto" w:fill="FFFFFF"/>
        </w:rPr>
        <w:t>聚合酶链式反应（PCR）是一种用于放大扩增特定DNA片段的</w:t>
      </w:r>
      <w:r>
        <w:fldChar w:fldCharType="begin"/>
      </w:r>
      <w:r>
        <w:instrText xml:space="preserve"> HYPERLINK "https://baike.baidu.com/item/%E5%88%86%E5%AD%90%E7%94%9F%E7%89%A9%E5%AD%A6%E6%8A%80%E6%9C%AF/10973083" \t "https://baike.baidu.com/item/%E8%81%9A%E5%90%88%E9%85%B6%E9%93%BE%E5%BC%8F%E5%8F%8D%E5%BA%94/_blank" </w:instrText>
      </w:r>
      <w:r>
        <w:fldChar w:fldCharType="separate"/>
      </w:r>
      <w:r>
        <w:rPr>
          <w:rFonts w:ascii="Times New Roman"/>
          <w:bCs/>
          <w:szCs w:val="21"/>
          <w:shd w:val="clear" w:color="auto" w:fill="FFFFFF"/>
        </w:rPr>
        <w:t>分子生物学技术</w:t>
      </w:r>
      <w:r>
        <w:rPr>
          <w:rFonts w:ascii="Times New Roman"/>
          <w:bCs/>
          <w:szCs w:val="21"/>
          <w:shd w:val="clear" w:color="auto" w:fill="FFFFFF"/>
        </w:rPr>
        <w:fldChar w:fldCharType="end"/>
      </w:r>
      <w:r>
        <w:rPr>
          <w:rFonts w:ascii="Times New Roman"/>
          <w:bCs/>
          <w:szCs w:val="21"/>
          <w:shd w:val="clear" w:color="auto" w:fill="FFFFFF"/>
        </w:rPr>
        <w:t>，它可看作是生物体外的特殊DNA复制，PCR的最大特点是能大幅扩增微量DNA样本的特异性片段，并借助凝胶电泳显示出特定长度的DNA条带。</w:t>
      </w:r>
    </w:p>
    <w:p>
      <w:pPr>
        <w:pStyle w:val="233"/>
        <w:tabs>
          <w:tab w:val="clear" w:pos="4201"/>
          <w:tab w:val="clear" w:pos="9298"/>
        </w:tabs>
        <w:spacing w:line="360" w:lineRule="exact"/>
        <w:ind w:firstLine="0" w:firstLineChars="0"/>
        <w:rPr>
          <w:rFonts w:ascii="Times New Roman" w:eastAsia="黑体"/>
          <w:bCs/>
          <w:szCs w:val="21"/>
        </w:rPr>
      </w:pPr>
      <w:r>
        <w:rPr>
          <w:rFonts w:hint="eastAsia" w:ascii="黑体" w:hAnsi="黑体" w:eastAsia="黑体" w:cs="黑体"/>
          <w:bCs/>
          <w:szCs w:val="21"/>
        </w:rPr>
        <w:t xml:space="preserve">4.2 </w:t>
      </w:r>
      <w:r>
        <w:rPr>
          <w:rFonts w:ascii="Times New Roman" w:eastAsia="黑体"/>
          <w:bCs/>
          <w:szCs w:val="21"/>
        </w:rPr>
        <w:t>qRT-PCR</w:t>
      </w:r>
    </w:p>
    <w:p>
      <w:pPr>
        <w:pStyle w:val="233"/>
        <w:spacing w:line="360" w:lineRule="exact"/>
        <w:rPr>
          <w:rFonts w:ascii="Times New Roman"/>
          <w:bCs/>
          <w:szCs w:val="21"/>
        </w:rPr>
      </w:pPr>
      <w:r>
        <w:rPr>
          <w:rFonts w:ascii="Times New Roman"/>
          <w:bCs/>
          <w:szCs w:val="21"/>
        </w:rPr>
        <w:t>本标准采用qRT-PCR荧光检测</w:t>
      </w:r>
      <w:r>
        <w:rPr>
          <w:rFonts w:hint="eastAsia" w:ascii="Times New Roman"/>
          <w:bCs/>
          <w:szCs w:val="21"/>
        </w:rPr>
        <w:t>技术，</w:t>
      </w:r>
      <w:r>
        <w:rPr>
          <w:rFonts w:ascii="Times New Roman"/>
          <w:bCs/>
          <w:szCs w:val="21"/>
        </w:rPr>
        <w:t>利用病菌特有DNA序列设计</w:t>
      </w:r>
      <w:r>
        <w:rPr>
          <w:rFonts w:hint="eastAsia" w:ascii="Times New Roman"/>
          <w:bCs/>
          <w:szCs w:val="21"/>
        </w:rPr>
        <w:t>QPCR</w:t>
      </w:r>
      <w:r>
        <w:rPr>
          <w:rFonts w:ascii="Times New Roman"/>
          <w:bCs/>
          <w:szCs w:val="21"/>
        </w:rPr>
        <w:t>引物，使用TransStart Top Green qPCR SuperMix(+DyeⅠ/+DyeⅡ)进行荧光定量PCR扩增，并绘制扩增曲线、溶解曲线及标准曲线。</w:t>
      </w:r>
    </w:p>
    <w:p>
      <w:pPr>
        <w:pStyle w:val="233"/>
        <w:spacing w:line="360" w:lineRule="exact"/>
        <w:ind w:firstLine="0" w:firstLineChars="0"/>
        <w:rPr>
          <w:rFonts w:hint="eastAsia" w:ascii="黑体" w:hAnsi="黑体" w:eastAsia="黑体" w:cs="黑体"/>
          <w:bCs/>
          <w:szCs w:val="21"/>
        </w:rPr>
      </w:pPr>
      <w:r>
        <w:rPr>
          <w:rFonts w:hint="eastAsia" w:ascii="黑体" w:hAnsi="黑体" w:eastAsia="黑体" w:cs="黑体"/>
          <w:bCs/>
          <w:szCs w:val="21"/>
        </w:rPr>
        <w:t>5 试剂与材料</w:t>
      </w:r>
    </w:p>
    <w:p>
      <w:pPr>
        <w:pStyle w:val="233"/>
        <w:spacing w:line="360" w:lineRule="exact"/>
        <w:ind w:firstLine="0" w:firstLineChars="0"/>
        <w:rPr>
          <w:rFonts w:hint="eastAsia" w:ascii="黑体" w:hAnsi="黑体" w:eastAsia="黑体" w:cs="黑体"/>
          <w:bCs/>
          <w:szCs w:val="21"/>
        </w:rPr>
      </w:pPr>
      <w:r>
        <w:rPr>
          <w:rFonts w:hint="eastAsia" w:ascii="黑体" w:hAnsi="黑体" w:eastAsia="黑体" w:cs="黑体"/>
          <w:bCs/>
          <w:szCs w:val="21"/>
        </w:rPr>
        <w:t>5.1 PCR检验试剂</w:t>
      </w:r>
    </w:p>
    <w:p>
      <w:pPr>
        <w:pStyle w:val="233"/>
        <w:spacing w:line="360" w:lineRule="exact"/>
        <w:rPr>
          <w:rFonts w:ascii="Times New Roman"/>
          <w:bCs/>
          <w:szCs w:val="21"/>
        </w:rPr>
      </w:pPr>
      <w:r>
        <w:rPr>
          <w:rFonts w:ascii="Times New Roman"/>
          <w:bCs/>
          <w:szCs w:val="21"/>
        </w:rPr>
        <w:t>DdH</w:t>
      </w:r>
      <w:r>
        <w:rPr>
          <w:rFonts w:ascii="Times New Roman"/>
          <w:bCs/>
          <w:szCs w:val="21"/>
          <w:vertAlign w:val="subscript"/>
        </w:rPr>
        <w:t>2</w:t>
      </w:r>
      <w:r>
        <w:rPr>
          <w:rFonts w:ascii="Times New Roman"/>
          <w:bCs/>
          <w:szCs w:val="21"/>
        </w:rPr>
        <w:t>O，</w:t>
      </w:r>
      <w:r>
        <w:rPr>
          <w:rFonts w:ascii="Times New Roman"/>
        </w:rPr>
        <w:t>2 x Pro Taq Master Mix</w:t>
      </w:r>
      <w:r>
        <w:rPr>
          <w:rFonts w:hint="eastAsia" w:ascii="Times New Roman"/>
        </w:rPr>
        <w:t>（</w:t>
      </w:r>
      <w:r>
        <w:rPr>
          <w:rFonts w:ascii="Times New Roman"/>
        </w:rPr>
        <w:t>dye plus</w:t>
      </w:r>
      <w:r>
        <w:rPr>
          <w:rFonts w:hint="eastAsia" w:ascii="Times New Roman"/>
        </w:rPr>
        <w:t>）</w:t>
      </w:r>
      <w:r>
        <w:rPr>
          <w:rFonts w:ascii="Times New Roman"/>
          <w:bCs/>
          <w:szCs w:val="21"/>
        </w:rPr>
        <w:t>，使用按市售产品要求进行。</w:t>
      </w:r>
    </w:p>
    <w:p>
      <w:pPr>
        <w:pStyle w:val="233"/>
        <w:spacing w:line="360" w:lineRule="exact"/>
        <w:ind w:firstLine="0" w:firstLineChars="0"/>
        <w:rPr>
          <w:rFonts w:hint="eastAsia" w:ascii="黑体" w:hAnsi="黑体" w:eastAsia="黑体" w:cs="黑体"/>
          <w:bCs/>
          <w:szCs w:val="21"/>
        </w:rPr>
      </w:pPr>
      <w:r>
        <w:rPr>
          <w:rFonts w:hint="eastAsia" w:ascii="黑体" w:hAnsi="黑体" w:eastAsia="黑体" w:cs="黑体"/>
          <w:bCs/>
          <w:szCs w:val="21"/>
        </w:rPr>
        <w:t>5.2 qRT-PCR检测试剂</w:t>
      </w:r>
    </w:p>
    <w:p>
      <w:pPr>
        <w:pStyle w:val="233"/>
        <w:spacing w:line="360" w:lineRule="exact"/>
        <w:rPr>
          <w:rFonts w:ascii="Times New Roman"/>
          <w:bCs/>
          <w:szCs w:val="21"/>
        </w:rPr>
      </w:pPr>
      <w:r>
        <w:rPr>
          <w:rFonts w:ascii="Times New Roman"/>
          <w:bCs/>
          <w:szCs w:val="21"/>
        </w:rPr>
        <w:t>氢氧化钠（NaOH），氯仿（CHC</w:t>
      </w:r>
      <w:r>
        <w:rPr>
          <w:rFonts w:ascii="Times New Roman"/>
          <w:bCs/>
          <w:szCs w:val="21"/>
          <w:vertAlign w:val="subscript"/>
        </w:rPr>
        <w:t>l3</w:t>
      </w:r>
      <w:r>
        <w:rPr>
          <w:rFonts w:ascii="Times New Roman"/>
          <w:bCs/>
          <w:szCs w:val="21"/>
        </w:rPr>
        <w:t>），二水乙二按四乙酸二钠(Na</w:t>
      </w:r>
      <w:r>
        <w:rPr>
          <w:rFonts w:ascii="Times New Roman"/>
          <w:bCs/>
          <w:szCs w:val="21"/>
          <w:vertAlign w:val="subscript"/>
        </w:rPr>
        <w:t>2</w:t>
      </w:r>
      <w:r>
        <w:rPr>
          <w:rFonts w:ascii="Times New Roman"/>
          <w:bCs/>
          <w:szCs w:val="21"/>
        </w:rPr>
        <w:t>EDTA•2H</w:t>
      </w:r>
      <w:r>
        <w:rPr>
          <w:rFonts w:ascii="Times New Roman"/>
          <w:bCs/>
          <w:szCs w:val="21"/>
          <w:vertAlign w:val="subscript"/>
        </w:rPr>
        <w:t>2</w:t>
      </w:r>
      <w:r>
        <w:rPr>
          <w:rFonts w:hint="eastAsia" w:ascii="Times New Roman"/>
          <w:bCs/>
          <w:szCs w:val="21"/>
        </w:rPr>
        <w:t>O</w:t>
      </w:r>
      <w:r>
        <w:rPr>
          <w:rFonts w:ascii="Times New Roman"/>
          <w:bCs/>
          <w:szCs w:val="21"/>
        </w:rPr>
        <w:t>)，三羟甲基氨基甲烷</w:t>
      </w:r>
      <w:r>
        <w:rPr>
          <w:rFonts w:hint="eastAsia" w:ascii="Times New Roman"/>
          <w:bCs/>
          <w:szCs w:val="21"/>
        </w:rPr>
        <w:t>（</w:t>
      </w:r>
      <w:r>
        <w:rPr>
          <w:rFonts w:ascii="Times New Roman"/>
          <w:bCs/>
          <w:szCs w:val="21"/>
        </w:rPr>
        <w:t>Tris</w:t>
      </w:r>
      <w:r>
        <w:rPr>
          <w:rFonts w:hint="eastAsia" w:ascii="Times New Roman"/>
          <w:bCs/>
          <w:szCs w:val="21"/>
        </w:rPr>
        <w:t>）</w:t>
      </w:r>
      <w:r>
        <w:rPr>
          <w:rFonts w:ascii="Times New Roman"/>
          <w:bCs/>
          <w:szCs w:val="21"/>
        </w:rPr>
        <w:t>异戊醇（C</w:t>
      </w:r>
      <w:r>
        <w:rPr>
          <w:rFonts w:ascii="Times New Roman"/>
          <w:bCs/>
          <w:szCs w:val="21"/>
          <w:vertAlign w:val="subscript"/>
        </w:rPr>
        <w:t>5</w:t>
      </w:r>
      <w:r>
        <w:rPr>
          <w:rFonts w:ascii="Times New Roman"/>
          <w:bCs/>
          <w:szCs w:val="21"/>
        </w:rPr>
        <w:t>H</w:t>
      </w:r>
      <w:r>
        <w:rPr>
          <w:rFonts w:ascii="Times New Roman"/>
          <w:bCs/>
          <w:szCs w:val="21"/>
          <w:vertAlign w:val="subscript"/>
        </w:rPr>
        <w:t>12</w:t>
      </w:r>
      <w:r>
        <w:rPr>
          <w:rFonts w:ascii="Times New Roman"/>
          <w:bCs/>
          <w:szCs w:val="21"/>
        </w:rPr>
        <w:t>O），75%乙醇（C</w:t>
      </w:r>
      <w:r>
        <w:rPr>
          <w:rFonts w:ascii="Times New Roman"/>
          <w:bCs/>
          <w:szCs w:val="21"/>
          <w:vertAlign w:val="subscript"/>
        </w:rPr>
        <w:t>2</w:t>
      </w:r>
      <w:r>
        <w:rPr>
          <w:rFonts w:ascii="Times New Roman"/>
          <w:bCs/>
          <w:szCs w:val="21"/>
        </w:rPr>
        <w:t>H</w:t>
      </w:r>
      <w:r>
        <w:rPr>
          <w:rFonts w:ascii="Times New Roman"/>
          <w:bCs/>
          <w:szCs w:val="21"/>
          <w:vertAlign w:val="subscript"/>
        </w:rPr>
        <w:t>5</w:t>
      </w:r>
      <w:r>
        <w:rPr>
          <w:rFonts w:hint="eastAsia" w:ascii="Times New Roman"/>
          <w:bCs/>
          <w:szCs w:val="21"/>
        </w:rPr>
        <w:t>O</w:t>
      </w:r>
      <w:r>
        <w:rPr>
          <w:rFonts w:ascii="Times New Roman"/>
          <w:bCs/>
          <w:szCs w:val="21"/>
        </w:rPr>
        <w:t>H），DEPC水，液氮（N</w:t>
      </w:r>
      <w:r>
        <w:rPr>
          <w:rFonts w:ascii="Times New Roman"/>
          <w:bCs/>
          <w:szCs w:val="21"/>
          <w:vertAlign w:val="subscript"/>
        </w:rPr>
        <w:t>2</w:t>
      </w:r>
      <w:r>
        <w:rPr>
          <w:rFonts w:ascii="Times New Roman"/>
          <w:bCs/>
          <w:szCs w:val="21"/>
        </w:rPr>
        <w:t>），RNase-free H</w:t>
      </w:r>
      <w:r>
        <w:rPr>
          <w:rFonts w:ascii="Times New Roman"/>
          <w:bCs/>
          <w:szCs w:val="21"/>
          <w:vertAlign w:val="subscript"/>
        </w:rPr>
        <w:t>2</w:t>
      </w:r>
      <w:r>
        <w:rPr>
          <w:rFonts w:hint="eastAsia" w:ascii="Times New Roman"/>
          <w:bCs/>
          <w:szCs w:val="21"/>
        </w:rPr>
        <w:t>O</w:t>
      </w:r>
      <w:r>
        <w:rPr>
          <w:rFonts w:ascii="Times New Roman"/>
          <w:bCs/>
          <w:szCs w:val="21"/>
        </w:rPr>
        <w:t>，TransStart Top Green qPCR SuperMix</w:t>
      </w:r>
      <w:r>
        <w:rPr>
          <w:rFonts w:hint="eastAsia" w:ascii="Times New Roman"/>
          <w:bCs/>
          <w:szCs w:val="21"/>
        </w:rPr>
        <w:t>（</w:t>
      </w:r>
      <w:r>
        <w:rPr>
          <w:rFonts w:ascii="Times New Roman"/>
          <w:bCs/>
          <w:szCs w:val="21"/>
        </w:rPr>
        <w:t>+DyeⅠ/+DyeⅡ</w:t>
      </w:r>
      <w:r>
        <w:rPr>
          <w:rFonts w:hint="eastAsia" w:ascii="Times New Roman"/>
          <w:bCs/>
          <w:szCs w:val="21"/>
        </w:rPr>
        <w:t>）</w:t>
      </w:r>
      <w:r>
        <w:rPr>
          <w:rFonts w:ascii="Times New Roman"/>
          <w:bCs/>
          <w:szCs w:val="21"/>
        </w:rPr>
        <w:t>，使用按市售产品要求进行。</w:t>
      </w:r>
    </w:p>
    <w:bookmarkEnd w:id="34"/>
    <w:p>
      <w:pPr>
        <w:pStyle w:val="107"/>
        <w:numPr>
          <w:ilvl w:val="2"/>
          <w:numId w:val="0"/>
        </w:numPr>
        <w:spacing w:before="156" w:after="156"/>
      </w:pPr>
      <w:r>
        <w:rPr>
          <w:rFonts w:hint="eastAsia"/>
        </w:rPr>
        <w:t>5.3 土壤浸提液培养基</w:t>
      </w:r>
    </w:p>
    <w:p>
      <w:pPr>
        <w:pStyle w:val="107"/>
        <w:numPr>
          <w:ilvl w:val="0"/>
          <w:numId w:val="0"/>
        </w:numPr>
        <w:spacing w:before="156" w:after="156"/>
        <w:ind w:firstLine="420" w:firstLineChars="200"/>
        <w:rPr>
          <w:rFonts w:ascii="Times New Roman" w:eastAsia="宋体"/>
        </w:rPr>
      </w:pPr>
      <w:r>
        <w:rPr>
          <w:rFonts w:ascii="Times New Roman" w:eastAsia="宋体"/>
        </w:rPr>
        <w:t>土壤浸提液培养基：称取 75 g已灭菌的土壤，用 500 mL沸水经纱布过滤后，加入16～18 g琼脂加蒸馏水定容至 1 L，分装后 121 ℃高压蒸汽灭菌 30 min。</w:t>
      </w:r>
    </w:p>
    <w:p>
      <w:pPr>
        <w:rPr>
          <w:rFonts w:hint="eastAsia" w:ascii="黑体" w:hAnsi="黑体" w:eastAsia="黑体" w:cs="黑体"/>
          <w:bCs/>
          <w:kern w:val="0"/>
        </w:rPr>
      </w:pPr>
      <w:r>
        <w:rPr>
          <w:rFonts w:hint="eastAsia" w:ascii="黑体" w:hAnsi="黑体" w:eastAsia="黑体" w:cs="黑体"/>
        </w:rPr>
        <w:t xml:space="preserve">6 </w:t>
      </w:r>
      <w:r>
        <w:rPr>
          <w:rFonts w:hint="eastAsia" w:ascii="黑体" w:hAnsi="黑体" w:eastAsia="黑体" w:cs="黑体"/>
          <w:bCs/>
          <w:kern w:val="0"/>
        </w:rPr>
        <w:t>仪器和用具</w:t>
      </w:r>
    </w:p>
    <w:p>
      <w:pPr>
        <w:pStyle w:val="234"/>
        <w:numPr>
          <w:ilvl w:val="1"/>
          <w:numId w:val="0"/>
        </w:numPr>
        <w:spacing w:before="0" w:beforeLines="0" w:after="0" w:afterLines="0" w:line="360" w:lineRule="exact"/>
        <w:rPr>
          <w:rFonts w:hint="eastAsia" w:hAnsi="黑体"/>
          <w:bCs/>
        </w:rPr>
      </w:pPr>
      <w:r>
        <w:rPr>
          <w:rFonts w:hint="eastAsia"/>
        </w:rPr>
        <w:t xml:space="preserve">6.1 </w:t>
      </w:r>
      <w:bookmarkStart w:id="35" w:name="_Hlk116939175"/>
      <w:r>
        <w:rPr>
          <w:rFonts w:ascii="Times New Roman"/>
          <w:bCs/>
        </w:rPr>
        <w:t>PCR检验仪器及用具</w:t>
      </w:r>
    </w:p>
    <w:p>
      <w:pPr>
        <w:pStyle w:val="236"/>
        <w:numPr>
          <w:ilvl w:val="0"/>
          <w:numId w:val="0"/>
        </w:numPr>
        <w:tabs>
          <w:tab w:val="left" w:pos="1140"/>
        </w:tabs>
        <w:spacing w:line="360" w:lineRule="exact"/>
        <w:ind w:firstLine="420" w:firstLineChars="200"/>
        <w:rPr>
          <w:rFonts w:ascii="Times New Roman"/>
          <w:bCs/>
          <w:szCs w:val="21"/>
        </w:rPr>
      </w:pPr>
      <w:r>
        <w:rPr>
          <w:rFonts w:ascii="Times New Roman"/>
          <w:bCs/>
          <w:szCs w:val="21"/>
        </w:rPr>
        <w:t>PCR仪，凝胶电泳仪，</w:t>
      </w:r>
      <w:bookmarkStart w:id="36" w:name="_Hlk53151969"/>
      <w:r>
        <w:rPr>
          <w:rFonts w:ascii="Times New Roman"/>
          <w:bCs/>
          <w:szCs w:val="21"/>
        </w:rPr>
        <w:t>高速台式冷冻离心机（离心力16000g以上），常规冰箱（冷藏室4℃及冷冻室-20℃）</w:t>
      </w:r>
      <w:bookmarkEnd w:id="36"/>
      <w:r>
        <w:rPr>
          <w:rFonts w:ascii="Times New Roman"/>
          <w:bCs/>
          <w:szCs w:val="21"/>
        </w:rPr>
        <w:t xml:space="preserve">，微量可调移液器（10 </w:t>
      </w:r>
      <w:r>
        <w:rPr>
          <w:rFonts w:ascii="Times New Roman"/>
          <w:szCs w:val="21"/>
        </w:rPr>
        <w:t>μ</w:t>
      </w:r>
      <w:r>
        <w:rPr>
          <w:rFonts w:ascii="Times New Roman"/>
          <w:bCs/>
          <w:szCs w:val="21"/>
        </w:rPr>
        <w:t>L</w:t>
      </w:r>
      <w:r>
        <w:rPr>
          <w:rFonts w:ascii="Times New Roman"/>
          <w:bCs/>
          <w:color w:val="000000"/>
          <w:szCs w:val="21"/>
        </w:rPr>
        <w:t>、</w:t>
      </w:r>
      <w:r>
        <w:rPr>
          <w:rFonts w:ascii="Times New Roman"/>
          <w:bCs/>
          <w:szCs w:val="21"/>
        </w:rPr>
        <w:t xml:space="preserve">100 </w:t>
      </w:r>
      <w:r>
        <w:rPr>
          <w:rFonts w:ascii="Times New Roman"/>
          <w:szCs w:val="21"/>
        </w:rPr>
        <w:t>μ</w:t>
      </w:r>
      <w:r>
        <w:rPr>
          <w:rFonts w:ascii="Times New Roman"/>
          <w:bCs/>
          <w:szCs w:val="21"/>
        </w:rPr>
        <w:t>L</w:t>
      </w:r>
      <w:r>
        <w:rPr>
          <w:rFonts w:ascii="Times New Roman"/>
          <w:bCs/>
          <w:color w:val="000000"/>
          <w:szCs w:val="21"/>
        </w:rPr>
        <w:t>、</w:t>
      </w:r>
      <w:r>
        <w:rPr>
          <w:rFonts w:ascii="Times New Roman"/>
          <w:bCs/>
          <w:szCs w:val="21"/>
        </w:rPr>
        <w:t xml:space="preserve">1000 </w:t>
      </w:r>
      <w:r>
        <w:rPr>
          <w:rFonts w:ascii="Times New Roman"/>
          <w:szCs w:val="21"/>
        </w:rPr>
        <w:t>μ</w:t>
      </w:r>
      <w:r>
        <w:rPr>
          <w:rFonts w:ascii="Times New Roman"/>
          <w:bCs/>
          <w:szCs w:val="21"/>
        </w:rPr>
        <w:t>L）及配套带滤芯吸头。</w:t>
      </w:r>
    </w:p>
    <w:p>
      <w:pPr>
        <w:pStyle w:val="236"/>
        <w:numPr>
          <w:ilvl w:val="0"/>
          <w:numId w:val="0"/>
        </w:numPr>
        <w:tabs>
          <w:tab w:val="left" w:pos="1140"/>
        </w:tabs>
        <w:spacing w:line="360" w:lineRule="exact"/>
        <w:rPr>
          <w:rFonts w:ascii="Times New Roman" w:eastAsia="黑体"/>
          <w:bCs/>
          <w:szCs w:val="21"/>
        </w:rPr>
      </w:pPr>
      <w:r>
        <w:rPr>
          <w:rFonts w:hint="eastAsia" w:ascii="黑体" w:hAnsi="黑体" w:eastAsia="黑体" w:cs="黑体"/>
          <w:bCs/>
          <w:szCs w:val="21"/>
        </w:rPr>
        <w:t>6.2</w:t>
      </w:r>
      <w:r>
        <w:rPr>
          <w:rFonts w:ascii="Times New Roman" w:eastAsia="黑体"/>
          <w:bCs/>
          <w:szCs w:val="21"/>
        </w:rPr>
        <w:t>　qRT-PCR检验仪器与用具</w:t>
      </w:r>
    </w:p>
    <w:p>
      <w:pPr>
        <w:pStyle w:val="236"/>
        <w:numPr>
          <w:ilvl w:val="0"/>
          <w:numId w:val="0"/>
        </w:numPr>
        <w:tabs>
          <w:tab w:val="left" w:pos="1140"/>
        </w:tabs>
        <w:spacing w:line="360" w:lineRule="exact"/>
        <w:ind w:firstLine="420" w:firstLineChars="200"/>
        <w:rPr>
          <w:rFonts w:ascii="Times New Roman"/>
          <w:bCs/>
          <w:szCs w:val="21"/>
        </w:rPr>
      </w:pPr>
      <w:r>
        <w:rPr>
          <w:rFonts w:ascii="Times New Roman"/>
          <w:bCs/>
          <w:szCs w:val="21"/>
        </w:rPr>
        <w:t xml:space="preserve">实时荧光定量PCR仪，高速台式冷冻离心机（离心力16000g以上），常规冰箱（冷藏室4℃及冷冻室-20℃），微量可调移液器（10 μL、100 μL、1000 μL）及配套带滤芯吸头。 </w:t>
      </w:r>
    </w:p>
    <w:bookmarkEnd w:id="35"/>
    <w:p>
      <w:pPr>
        <w:pStyle w:val="58"/>
        <w:ind w:firstLine="0" w:firstLineChars="0"/>
        <w:rPr>
          <w:rFonts w:hint="eastAsia" w:ascii="黑体" w:hAnsi="黑体" w:eastAsia="黑体" w:cs="黑体"/>
          <w:bCs/>
          <w:szCs w:val="21"/>
        </w:rPr>
      </w:pPr>
      <w:r>
        <w:rPr>
          <w:rFonts w:hint="eastAsia" w:ascii="黑体" w:hAnsi="黑体" w:eastAsia="黑体" w:cs="黑体"/>
        </w:rPr>
        <w:t xml:space="preserve">7 </w:t>
      </w:r>
      <w:r>
        <w:rPr>
          <w:rFonts w:hint="eastAsia" w:ascii="黑体" w:hAnsi="黑体" w:eastAsia="黑体" w:cs="黑体"/>
          <w:bCs/>
          <w:szCs w:val="21"/>
        </w:rPr>
        <w:t>样品采样及处理</w:t>
      </w:r>
    </w:p>
    <w:p>
      <w:pPr>
        <w:pStyle w:val="58"/>
        <w:ind w:firstLine="0" w:firstLineChars="0"/>
        <w:rPr>
          <w:rFonts w:hint="eastAsia" w:ascii="黑体" w:hAnsi="黑体" w:eastAsia="黑体" w:cs="黑体"/>
          <w:bCs/>
          <w:szCs w:val="21"/>
        </w:rPr>
      </w:pPr>
      <w:r>
        <w:rPr>
          <w:rFonts w:hint="eastAsia" w:ascii="黑体" w:hAnsi="黑体" w:eastAsia="黑体" w:cs="黑体"/>
          <w:bCs/>
          <w:szCs w:val="21"/>
        </w:rPr>
        <w:t>7.1　小麦种子或小麦籽粒、产品</w:t>
      </w:r>
    </w:p>
    <w:p>
      <w:pPr>
        <w:pStyle w:val="58"/>
        <w:ind w:firstLine="0" w:firstLineChars="0"/>
        <w:rPr>
          <w:rFonts w:hint="eastAsia" w:ascii="黑体" w:hAnsi="黑体" w:eastAsia="黑体" w:cs="黑体"/>
          <w:bCs/>
          <w:szCs w:val="21"/>
        </w:rPr>
      </w:pPr>
      <w:r>
        <w:rPr>
          <w:rFonts w:hint="eastAsia" w:ascii="黑体" w:hAnsi="黑体" w:eastAsia="黑体" w:cs="黑体"/>
          <w:bCs/>
          <w:szCs w:val="21"/>
        </w:rPr>
        <w:t xml:space="preserve">7.1.1 </w:t>
      </w:r>
      <w:r>
        <w:rPr>
          <w:rFonts w:ascii="Times New Roman" w:eastAsia="黑体"/>
          <w:bCs/>
          <w:szCs w:val="21"/>
        </w:rPr>
        <w:t>在小麦种子调运检疫过程中，按照GB 15569《农业植物调运检疫规程》的要求取样送实验室检验。</w:t>
      </w:r>
    </w:p>
    <w:p>
      <w:pPr>
        <w:pStyle w:val="58"/>
        <w:ind w:firstLine="0" w:firstLineChars="0"/>
        <w:rPr>
          <w:rFonts w:hint="eastAsia" w:ascii="黑体" w:hAnsi="黑体" w:eastAsia="黑体" w:cs="黑体"/>
          <w:bCs/>
          <w:szCs w:val="21"/>
        </w:rPr>
      </w:pPr>
      <w:r>
        <w:rPr>
          <w:rFonts w:hint="eastAsia" w:ascii="黑体" w:hAnsi="黑体" w:eastAsia="黑体" w:cs="黑体"/>
          <w:bCs/>
          <w:szCs w:val="21"/>
        </w:rPr>
        <w:t>7.1.2 直接取小麦籽粒、产品及麦麸、加工下脚料等送实验室检验。</w:t>
      </w:r>
    </w:p>
    <w:p>
      <w:pPr>
        <w:pStyle w:val="58"/>
        <w:ind w:firstLine="0" w:firstLineChars="0"/>
        <w:rPr>
          <w:rFonts w:hint="eastAsia" w:ascii="黑体" w:hAnsi="黑体" w:eastAsia="黑体" w:cs="黑体"/>
          <w:bCs/>
          <w:szCs w:val="21"/>
        </w:rPr>
      </w:pPr>
      <w:r>
        <w:rPr>
          <w:rFonts w:hint="eastAsia" w:ascii="黑体" w:hAnsi="黑体" w:eastAsia="黑体" w:cs="黑体"/>
          <w:bCs/>
          <w:szCs w:val="21"/>
        </w:rPr>
        <w:t>7.1.3 发现的菌瘿直接送实验室检验。</w:t>
      </w:r>
    </w:p>
    <w:p>
      <w:pPr>
        <w:pStyle w:val="58"/>
        <w:ind w:firstLine="0" w:firstLineChars="0"/>
        <w:rPr>
          <w:rFonts w:hint="eastAsia" w:ascii="黑体" w:hAnsi="黑体" w:eastAsia="黑体" w:cs="黑体"/>
          <w:bCs/>
          <w:szCs w:val="21"/>
        </w:rPr>
      </w:pPr>
      <w:r>
        <w:rPr>
          <w:rFonts w:hint="eastAsia" w:ascii="黑体" w:hAnsi="黑体" w:eastAsia="黑体" w:cs="黑体"/>
          <w:bCs/>
          <w:szCs w:val="21"/>
        </w:rPr>
        <w:t>7.2　小麦植株</w:t>
      </w:r>
    </w:p>
    <w:p>
      <w:pPr>
        <w:pStyle w:val="58"/>
        <w:ind w:firstLine="420"/>
        <w:rPr>
          <w:rFonts w:ascii="Times New Roman"/>
          <w:bCs/>
          <w:szCs w:val="21"/>
        </w:rPr>
      </w:pPr>
      <w:r>
        <w:rPr>
          <w:rFonts w:ascii="Times New Roman"/>
          <w:bCs/>
          <w:szCs w:val="21"/>
        </w:rPr>
        <w:t>小麦生长期，按GB 7412的要求实施检疫，从田间采集可疑病株的茎、叶及穗部（更易检测到该病菌）送实验室检验，保证植株样品新鲜。</w:t>
      </w:r>
    </w:p>
    <w:p>
      <w:pPr>
        <w:pStyle w:val="107"/>
        <w:numPr>
          <w:ilvl w:val="2"/>
          <w:numId w:val="0"/>
        </w:numPr>
        <w:spacing w:before="156" w:after="156"/>
      </w:pPr>
      <w:r>
        <w:rPr>
          <w:rFonts w:hint="eastAsia"/>
        </w:rPr>
        <w:t>7.3 冬孢子的萌发培养</w:t>
      </w:r>
    </w:p>
    <w:p>
      <w:pPr>
        <w:pStyle w:val="58"/>
        <w:ind w:firstLine="420"/>
        <w:rPr>
          <w:rFonts w:ascii="Times New Roman"/>
        </w:rPr>
      </w:pPr>
      <w:r>
        <w:rPr>
          <w:rFonts w:ascii="Times New Roman"/>
        </w:rPr>
        <w:t>将</w:t>
      </w:r>
      <w:r>
        <w:rPr>
          <w:rFonts w:hint="eastAsia" w:ascii="Times New Roman"/>
        </w:rPr>
        <w:t>小麦网</w:t>
      </w:r>
      <w:r>
        <w:rPr>
          <w:rFonts w:ascii="Times New Roman"/>
        </w:rPr>
        <w:t>腥黑粉菌的冬孢子制成孢子浓度1×10</w:t>
      </w:r>
      <w:r>
        <w:rPr>
          <w:rFonts w:ascii="Times New Roman"/>
          <w:vertAlign w:val="superscript"/>
        </w:rPr>
        <w:t>6</w:t>
      </w:r>
      <w:r>
        <w:rPr>
          <w:rFonts w:ascii="Times New Roman"/>
        </w:rPr>
        <w:t>个/mL悬浮液，</w:t>
      </w:r>
      <w:r>
        <w:rPr>
          <w:rFonts w:hint="eastAsia" w:ascii="Times New Roman"/>
        </w:rPr>
        <w:t>将其均匀的涂布在土壤浸提液培养基平板中，5℃人工培养箱中全光照培养。1周后在自动倒置显微镜下观察其萌发情况，将萌发率较高的孢子用蒸馏水冲洗下来，收集菌丝</w:t>
      </w:r>
      <w:r>
        <w:rPr>
          <w:rFonts w:ascii="Times New Roman"/>
        </w:rPr>
        <w:t>。</w:t>
      </w:r>
    </w:p>
    <w:p>
      <w:pPr>
        <w:pStyle w:val="107"/>
        <w:numPr>
          <w:ilvl w:val="2"/>
          <w:numId w:val="0"/>
        </w:numPr>
        <w:spacing w:before="156" w:after="156"/>
      </w:pPr>
      <w:r>
        <w:rPr>
          <w:rFonts w:hint="eastAsia"/>
        </w:rPr>
        <w:t>7.4 病原菌菌丝的收集</w:t>
      </w:r>
    </w:p>
    <w:p>
      <w:pPr>
        <w:pStyle w:val="58"/>
        <w:ind w:firstLine="420"/>
        <w:rPr>
          <w:rFonts w:ascii="Times New Roman"/>
        </w:rPr>
      </w:pPr>
      <w:r>
        <w:rPr>
          <w:rFonts w:hint="eastAsia" w:ascii="Times New Roman"/>
        </w:rPr>
        <w:t>孢子萌发产生次生担孢子后即可刮取，每个培养皿各加入</w:t>
      </w:r>
      <w:r>
        <w:rPr>
          <w:rFonts w:ascii="Times New Roman"/>
        </w:rPr>
        <w:t xml:space="preserve">5 </w:t>
      </w:r>
      <w:r>
        <w:rPr>
          <w:rFonts w:hint="eastAsia" w:ascii="Times New Roman"/>
        </w:rPr>
        <w:t>mL灭菌水，用涂布棒轻轻将菌丝刮下，倒入规格为</w:t>
      </w:r>
      <w:r>
        <w:rPr>
          <w:rFonts w:ascii="Times New Roman"/>
        </w:rPr>
        <w:t xml:space="preserve">50 </w:t>
      </w:r>
      <w:r>
        <w:rPr>
          <w:rFonts w:hint="eastAsia" w:ascii="Times New Roman"/>
        </w:rPr>
        <w:t>mL的离心管中于15℃下存放。</w:t>
      </w:r>
    </w:p>
    <w:p>
      <w:pPr>
        <w:pStyle w:val="235"/>
        <w:numPr>
          <w:ilvl w:val="0"/>
          <w:numId w:val="0"/>
        </w:numPr>
        <w:tabs>
          <w:tab w:val="left" w:pos="360"/>
        </w:tabs>
        <w:spacing w:before="0" w:beforeLines="0" w:after="0" w:afterLines="0" w:line="360" w:lineRule="exact"/>
        <w:rPr>
          <w:rFonts w:hint="eastAsia" w:hAnsi="黑体"/>
          <w:bCs/>
          <w:szCs w:val="21"/>
        </w:rPr>
      </w:pPr>
      <w:r>
        <w:rPr>
          <w:rFonts w:hint="eastAsia" w:ascii="Times New Roman"/>
        </w:rPr>
        <w:t xml:space="preserve">8 </w:t>
      </w:r>
      <w:bookmarkStart w:id="37" w:name="_Toc295316351"/>
      <w:r>
        <w:rPr>
          <w:rFonts w:hAnsi="黑体"/>
          <w:bCs/>
          <w:szCs w:val="21"/>
        </w:rPr>
        <w:t>实验室检验</w:t>
      </w:r>
      <w:bookmarkEnd w:id="37"/>
    </w:p>
    <w:p>
      <w:pPr>
        <w:pStyle w:val="234"/>
        <w:numPr>
          <w:ilvl w:val="1"/>
          <w:numId w:val="0"/>
        </w:numPr>
        <w:spacing w:before="0" w:beforeLines="0" w:after="0" w:afterLines="0" w:line="360" w:lineRule="exact"/>
        <w:rPr>
          <w:rFonts w:ascii="Times New Roman"/>
          <w:bCs/>
        </w:rPr>
      </w:pPr>
      <w:r>
        <w:rPr>
          <w:rFonts w:hint="eastAsia"/>
          <w:color w:val="000000"/>
        </w:rPr>
        <w:t>8.1　</w:t>
      </w:r>
      <w:r>
        <w:rPr>
          <w:rFonts w:ascii="Times New Roman"/>
          <w:bCs/>
        </w:rPr>
        <w:t>PCR检验</w:t>
      </w:r>
    </w:p>
    <w:p>
      <w:pPr>
        <w:pStyle w:val="233"/>
        <w:spacing w:line="360" w:lineRule="exact"/>
        <w:rPr>
          <w:rFonts w:ascii="Times New Roman"/>
          <w:bCs/>
          <w:szCs w:val="21"/>
        </w:rPr>
      </w:pPr>
      <w:bookmarkStart w:id="38" w:name="_Hlk116939250"/>
      <w:r>
        <w:rPr>
          <w:rFonts w:ascii="Times New Roman"/>
          <w:bCs/>
          <w:szCs w:val="21"/>
        </w:rPr>
        <w:t>PCR检测适用于小麦植株、麦粒、产品、麦麸或下脚料中冬孢子以及菌丝体的检测。PCR检验方法参见附录</w:t>
      </w:r>
      <w:r>
        <w:rPr>
          <w:rFonts w:hint="eastAsia" w:ascii="Times New Roman"/>
          <w:bCs/>
          <w:szCs w:val="21"/>
        </w:rPr>
        <w:t>A</w:t>
      </w:r>
      <w:r>
        <w:rPr>
          <w:rFonts w:ascii="Times New Roman"/>
          <w:bCs/>
          <w:szCs w:val="21"/>
        </w:rPr>
        <w:t>。</w:t>
      </w:r>
    </w:p>
    <w:bookmarkEnd w:id="38"/>
    <w:p>
      <w:pPr>
        <w:pStyle w:val="234"/>
        <w:numPr>
          <w:ilvl w:val="1"/>
          <w:numId w:val="0"/>
        </w:numPr>
        <w:spacing w:before="0" w:beforeLines="0" w:after="0" w:afterLines="0" w:line="360" w:lineRule="exact"/>
        <w:rPr>
          <w:rFonts w:hint="eastAsia" w:hAnsi="黑体"/>
          <w:bCs/>
        </w:rPr>
      </w:pPr>
      <w:r>
        <w:rPr>
          <w:rFonts w:hint="eastAsia"/>
          <w:color w:val="000000"/>
        </w:rPr>
        <w:t>8.2　</w:t>
      </w:r>
      <w:r>
        <w:rPr>
          <w:rFonts w:ascii="Times New Roman"/>
          <w:bCs/>
        </w:rPr>
        <w:t>qRT-PCR检验</w:t>
      </w:r>
    </w:p>
    <w:p>
      <w:pPr>
        <w:pStyle w:val="233"/>
        <w:spacing w:line="360" w:lineRule="exact"/>
        <w:rPr>
          <w:rFonts w:ascii="Times New Roman"/>
          <w:bCs/>
          <w:szCs w:val="21"/>
        </w:rPr>
      </w:pPr>
      <w:r>
        <w:rPr>
          <w:rFonts w:ascii="Times New Roman"/>
          <w:bCs/>
          <w:szCs w:val="21"/>
        </w:rPr>
        <w:t>qRT-PCR检测适用于小麦植株、麦粒、产品、麦麸或下脚料中冬孢子的小麦</w:t>
      </w:r>
      <w:r>
        <w:rPr>
          <w:rFonts w:hint="eastAsia" w:ascii="Times New Roman"/>
          <w:bCs/>
          <w:szCs w:val="21"/>
        </w:rPr>
        <w:t>网</w:t>
      </w:r>
      <w:r>
        <w:rPr>
          <w:rFonts w:ascii="Times New Roman"/>
          <w:bCs/>
          <w:szCs w:val="21"/>
        </w:rPr>
        <w:t>腥黑穗病检测。</w:t>
      </w:r>
      <w:bookmarkStart w:id="39" w:name="_Hlk116939264"/>
      <w:r>
        <w:rPr>
          <w:rFonts w:ascii="Times New Roman"/>
          <w:bCs/>
          <w:szCs w:val="21"/>
        </w:rPr>
        <w:t>qRT-PCR检验方法参见附录</w:t>
      </w:r>
      <w:r>
        <w:rPr>
          <w:rFonts w:hint="eastAsia" w:ascii="Times New Roman"/>
          <w:bCs/>
          <w:szCs w:val="21"/>
        </w:rPr>
        <w:t>B</w:t>
      </w:r>
      <w:r>
        <w:rPr>
          <w:rFonts w:ascii="Times New Roman"/>
          <w:bCs/>
          <w:szCs w:val="21"/>
        </w:rPr>
        <w:t>。</w:t>
      </w:r>
    </w:p>
    <w:p>
      <w:pPr>
        <w:pStyle w:val="235"/>
        <w:numPr>
          <w:ilvl w:val="0"/>
          <w:numId w:val="0"/>
        </w:numPr>
        <w:tabs>
          <w:tab w:val="left" w:pos="360"/>
        </w:tabs>
        <w:spacing w:before="0" w:beforeLines="0" w:after="0" w:afterLines="0" w:line="360" w:lineRule="exact"/>
        <w:rPr>
          <w:rFonts w:hint="eastAsia" w:hAnsi="黑体"/>
          <w:bCs/>
          <w:szCs w:val="21"/>
        </w:rPr>
      </w:pPr>
      <w:r>
        <w:rPr>
          <w:rFonts w:hint="eastAsia" w:hAnsi="黑体"/>
          <w:bCs/>
          <w:szCs w:val="21"/>
        </w:rPr>
        <w:t xml:space="preserve">9 </w:t>
      </w:r>
      <w:r>
        <w:rPr>
          <w:rFonts w:hAnsi="黑体"/>
          <w:bCs/>
          <w:szCs w:val="21"/>
        </w:rPr>
        <w:t>结果判定和报告</w:t>
      </w:r>
    </w:p>
    <w:p>
      <w:pPr>
        <w:pStyle w:val="234"/>
        <w:numPr>
          <w:ilvl w:val="1"/>
          <w:numId w:val="0"/>
        </w:numPr>
        <w:spacing w:before="0" w:beforeLines="0" w:after="0" w:afterLines="0" w:line="360" w:lineRule="exact"/>
        <w:rPr>
          <w:rFonts w:ascii="Times New Roman"/>
          <w:bCs/>
        </w:rPr>
      </w:pPr>
      <w:r>
        <w:rPr>
          <w:rFonts w:hint="eastAsia"/>
          <w:color w:val="000000"/>
        </w:rPr>
        <w:t>9.1　</w:t>
      </w:r>
      <w:r>
        <w:rPr>
          <w:rFonts w:ascii="Times New Roman"/>
          <w:bCs/>
        </w:rPr>
        <w:t>PCR检验</w:t>
      </w:r>
    </w:p>
    <w:p>
      <w:pPr>
        <w:pStyle w:val="233"/>
        <w:spacing w:line="360" w:lineRule="exact"/>
        <w:ind w:firstLine="0" w:firstLineChars="0"/>
        <w:rPr>
          <w:rFonts w:ascii="Times New Roman"/>
          <w:bCs/>
          <w:color w:val="000000"/>
          <w:szCs w:val="21"/>
        </w:rPr>
      </w:pPr>
      <w:r>
        <w:rPr>
          <w:rFonts w:ascii="黑体" w:hAnsi="黑体" w:eastAsia="黑体"/>
          <w:bCs/>
          <w:color w:val="000000"/>
          <w:szCs w:val="21"/>
        </w:rPr>
        <w:t xml:space="preserve">   </w:t>
      </w:r>
      <w:bookmarkStart w:id="40" w:name="_Hlk116939339"/>
      <w:r>
        <w:rPr>
          <w:rFonts w:ascii="黑体" w:hAnsi="黑体" w:eastAsia="黑体"/>
          <w:bCs/>
          <w:color w:val="000000"/>
          <w:szCs w:val="21"/>
        </w:rPr>
        <w:t xml:space="preserve"> </w:t>
      </w:r>
      <w:bookmarkStart w:id="41" w:name="_Hlk117001736"/>
      <w:r>
        <w:rPr>
          <w:rFonts w:ascii="Times New Roman"/>
          <w:bCs/>
          <w:color w:val="000000"/>
          <w:szCs w:val="21"/>
        </w:rPr>
        <w:t>琼脂糖凝胶电泳图中出现与阳性对照相同的长度为266 bp的明亮且唯一条带，即检测到小麦</w:t>
      </w:r>
      <w:r>
        <w:rPr>
          <w:rFonts w:hint="eastAsia" w:ascii="Times New Roman"/>
          <w:bCs/>
          <w:color w:val="000000"/>
          <w:szCs w:val="21"/>
        </w:rPr>
        <w:t>网</w:t>
      </w:r>
      <w:r>
        <w:rPr>
          <w:rFonts w:ascii="Times New Roman"/>
          <w:bCs/>
          <w:color w:val="000000"/>
          <w:szCs w:val="21"/>
        </w:rPr>
        <w:t>腥黑</w:t>
      </w:r>
      <w:r>
        <w:rPr>
          <w:rFonts w:hint="eastAsia" w:ascii="Times New Roman"/>
          <w:bCs/>
          <w:color w:val="000000"/>
          <w:szCs w:val="21"/>
        </w:rPr>
        <w:t>粉</w:t>
      </w:r>
      <w:r>
        <w:rPr>
          <w:rFonts w:ascii="Times New Roman"/>
          <w:bCs/>
          <w:color w:val="000000"/>
          <w:szCs w:val="21"/>
        </w:rPr>
        <w:t>菌；若无条带或出现非目的条带，则样品中无小麦</w:t>
      </w:r>
      <w:r>
        <w:rPr>
          <w:rFonts w:hint="eastAsia" w:ascii="Times New Roman"/>
          <w:bCs/>
          <w:color w:val="000000"/>
          <w:szCs w:val="21"/>
        </w:rPr>
        <w:t>网</w:t>
      </w:r>
      <w:r>
        <w:rPr>
          <w:rFonts w:ascii="Times New Roman"/>
          <w:bCs/>
          <w:color w:val="000000"/>
          <w:szCs w:val="21"/>
        </w:rPr>
        <w:t>腥黑</w:t>
      </w:r>
      <w:r>
        <w:rPr>
          <w:rFonts w:hint="eastAsia" w:ascii="Times New Roman"/>
          <w:bCs/>
          <w:color w:val="000000"/>
          <w:szCs w:val="21"/>
        </w:rPr>
        <w:t>粉</w:t>
      </w:r>
      <w:r>
        <w:rPr>
          <w:rFonts w:ascii="Times New Roman"/>
          <w:bCs/>
          <w:color w:val="000000"/>
          <w:szCs w:val="21"/>
        </w:rPr>
        <w:t>菌。</w:t>
      </w:r>
    </w:p>
    <w:bookmarkEnd w:id="40"/>
    <w:bookmarkEnd w:id="41"/>
    <w:p>
      <w:pPr>
        <w:pStyle w:val="234"/>
        <w:numPr>
          <w:ilvl w:val="1"/>
          <w:numId w:val="0"/>
        </w:numPr>
        <w:spacing w:before="0" w:beforeLines="0" w:after="0" w:afterLines="0" w:line="360" w:lineRule="exact"/>
        <w:rPr>
          <w:rFonts w:hint="eastAsia" w:hAnsi="黑体"/>
          <w:bCs/>
        </w:rPr>
      </w:pPr>
      <w:r>
        <w:rPr>
          <w:rFonts w:hint="eastAsia"/>
          <w:color w:val="000000"/>
        </w:rPr>
        <w:t>9.2　</w:t>
      </w:r>
      <w:r>
        <w:rPr>
          <w:rFonts w:ascii="Times New Roman"/>
          <w:bCs/>
        </w:rPr>
        <w:t>qRT-PCR检验</w:t>
      </w:r>
    </w:p>
    <w:p>
      <w:pPr>
        <w:pStyle w:val="237"/>
        <w:numPr>
          <w:ilvl w:val="2"/>
          <w:numId w:val="0"/>
        </w:numPr>
        <w:spacing w:before="0" w:beforeLines="0" w:after="0" w:afterLines="0" w:line="360" w:lineRule="exact"/>
        <w:rPr>
          <w:rFonts w:hint="eastAsia" w:hAnsi="黑体"/>
          <w:bCs/>
        </w:rPr>
      </w:pPr>
      <w:r>
        <w:rPr>
          <w:rFonts w:hint="eastAsia"/>
          <w:bCs/>
        </w:rPr>
        <w:t>9.2.1　</w:t>
      </w:r>
      <w:r>
        <w:rPr>
          <w:rFonts w:hAnsi="黑体"/>
          <w:bCs/>
        </w:rPr>
        <w:t>有效性判定</w:t>
      </w:r>
    </w:p>
    <w:p>
      <w:pPr>
        <w:pStyle w:val="237"/>
        <w:numPr>
          <w:ilvl w:val="0"/>
          <w:numId w:val="0"/>
        </w:numPr>
        <w:spacing w:before="0" w:beforeLines="0" w:after="0" w:afterLines="0" w:line="360" w:lineRule="exact"/>
        <w:ind w:firstLine="420" w:firstLineChars="200"/>
        <w:rPr>
          <w:rFonts w:ascii="Times New Roman" w:eastAsia="宋体"/>
          <w:bCs/>
        </w:rPr>
      </w:pPr>
      <w:r>
        <w:rPr>
          <w:rFonts w:ascii="Times New Roman" w:eastAsia="宋体"/>
          <w:bCs/>
        </w:rPr>
        <w:t>阴性对照无Ct值并且无扩增曲线；阳性对照Ct值&lt;28.0，并出现典型的S型扩增曲线，检测视为有效，否则无效。</w:t>
      </w:r>
    </w:p>
    <w:p>
      <w:pPr>
        <w:pStyle w:val="237"/>
        <w:numPr>
          <w:ilvl w:val="2"/>
          <w:numId w:val="0"/>
        </w:numPr>
        <w:spacing w:before="0" w:beforeLines="0" w:after="0" w:afterLines="0" w:line="360" w:lineRule="exact"/>
        <w:rPr>
          <w:rFonts w:hint="eastAsia" w:hAnsi="黑体"/>
          <w:bCs/>
        </w:rPr>
      </w:pPr>
      <w:r>
        <w:rPr>
          <w:rFonts w:hint="eastAsia"/>
          <w:bCs/>
        </w:rPr>
        <w:t>9.2.2　</w:t>
      </w:r>
      <w:r>
        <w:rPr>
          <w:rFonts w:hAnsi="黑体"/>
          <w:bCs/>
        </w:rPr>
        <w:t>结果判定</w:t>
      </w:r>
    </w:p>
    <w:p>
      <w:pPr>
        <w:ind w:firstLine="420" w:firstLineChars="200"/>
        <w:rPr>
          <w:rFonts w:ascii="Times New Roman" w:hAnsi="Times New Roman"/>
          <w:bCs/>
          <w:color w:val="000000"/>
          <w:kern w:val="0"/>
        </w:rPr>
      </w:pPr>
      <w:r>
        <w:rPr>
          <w:rFonts w:ascii="Times New Roman" w:hAnsi="Times New Roman"/>
          <w:bCs/>
          <w:color w:val="000000"/>
          <w:kern w:val="0"/>
        </w:rPr>
        <w:t>在检测有效的前提下，测试样品无Ct值和扩增曲线，结果为阴性，即样品中无小麦</w:t>
      </w:r>
      <w:r>
        <w:rPr>
          <w:rFonts w:hint="eastAsia" w:ascii="Times New Roman" w:hAnsi="Times New Roman"/>
          <w:bCs/>
          <w:color w:val="000000"/>
          <w:kern w:val="0"/>
        </w:rPr>
        <w:t>网腥</w:t>
      </w:r>
      <w:r>
        <w:rPr>
          <w:rFonts w:ascii="Times New Roman" w:hAnsi="Times New Roman"/>
          <w:bCs/>
          <w:color w:val="000000"/>
          <w:kern w:val="0"/>
        </w:rPr>
        <w:t>黑穗病菌。测试样品Ct值≤35，出现典型的S型扩增曲线，结果为阳性，即样品带有小麦</w:t>
      </w:r>
      <w:r>
        <w:rPr>
          <w:rFonts w:hint="eastAsia" w:ascii="Times New Roman" w:hAnsi="Times New Roman"/>
          <w:bCs/>
          <w:color w:val="000000"/>
          <w:kern w:val="0"/>
        </w:rPr>
        <w:t>网腥</w:t>
      </w:r>
      <w:r>
        <w:rPr>
          <w:rFonts w:ascii="Times New Roman" w:hAnsi="Times New Roman"/>
          <w:bCs/>
          <w:color w:val="000000"/>
          <w:kern w:val="0"/>
        </w:rPr>
        <w:t>黑穗病菌。测试样品Ct值为35 ~ 40，将样品模板浓度加倍，再次进行实时荧光PCR检验；再次扩增后样品Ct值≤35，且出现典型的上升扩增曲线，结果为阳性，即样品带有小麦</w:t>
      </w:r>
      <w:r>
        <w:rPr>
          <w:rFonts w:hint="eastAsia" w:ascii="Times New Roman" w:hAnsi="Times New Roman"/>
          <w:bCs/>
          <w:color w:val="000000"/>
          <w:kern w:val="0"/>
        </w:rPr>
        <w:t>网腥</w:t>
      </w:r>
      <w:r>
        <w:rPr>
          <w:rFonts w:ascii="Times New Roman" w:hAnsi="Times New Roman"/>
          <w:bCs/>
          <w:color w:val="000000"/>
          <w:kern w:val="0"/>
        </w:rPr>
        <w:t>黑穗病菌；再次扩增后样品Ct值为35 ~ 40，结果为阴性，即样品中无小麦</w:t>
      </w:r>
      <w:r>
        <w:rPr>
          <w:rFonts w:hint="eastAsia" w:ascii="Times New Roman" w:hAnsi="Times New Roman"/>
          <w:bCs/>
          <w:color w:val="000000"/>
          <w:kern w:val="0"/>
        </w:rPr>
        <w:t>网腥</w:t>
      </w:r>
      <w:r>
        <w:rPr>
          <w:rFonts w:ascii="Times New Roman" w:hAnsi="Times New Roman"/>
          <w:bCs/>
          <w:color w:val="000000"/>
          <w:kern w:val="0"/>
        </w:rPr>
        <w:t>黑穗病菌。</w:t>
      </w:r>
    </w:p>
    <w:bookmarkEnd w:id="39"/>
    <w:p>
      <w:pPr>
        <w:pStyle w:val="233"/>
      </w:pPr>
    </w:p>
    <w:p>
      <w:pPr>
        <w:pStyle w:val="58"/>
        <w:ind w:firstLine="420"/>
        <w:rPr>
          <w:rFonts w:ascii="Times New Roman"/>
        </w:rPr>
      </w:pPr>
    </w:p>
    <w:p>
      <w:pPr>
        <w:pStyle w:val="200"/>
        <w:rPr>
          <w:rFonts w:hint="eastAsia"/>
          <w:vanish w:val="0"/>
        </w:rPr>
      </w:pPr>
    </w:p>
    <w:p>
      <w:pPr>
        <w:pStyle w:val="201"/>
        <w:rPr>
          <w:vanish w:val="0"/>
        </w:rPr>
      </w:pPr>
    </w:p>
    <w:p>
      <w:pPr>
        <w:pStyle w:val="238"/>
        <w:rPr>
          <w:rFonts w:hint="eastAsia" w:hAnsi="黑体"/>
          <w:szCs w:val="21"/>
        </w:rPr>
      </w:pPr>
      <w:r>
        <w:br w:type="textWrapping"/>
      </w:r>
      <w:r>
        <w:rPr>
          <w:rFonts w:hint="eastAsia"/>
        </w:rPr>
        <w:t>（</w:t>
      </w:r>
      <w:r>
        <w:rPr>
          <w:rFonts w:hint="eastAsia" w:hAnsi="黑体"/>
          <w:szCs w:val="21"/>
        </w:rPr>
        <w:t>推荐</w:t>
      </w:r>
      <w:r>
        <w:rPr>
          <w:rFonts w:hAnsi="黑体"/>
          <w:szCs w:val="21"/>
        </w:rPr>
        <w:t>性附录</w:t>
      </w:r>
      <w:r>
        <w:rPr>
          <w:rFonts w:hint="eastAsia"/>
        </w:rPr>
        <w:t>）</w:t>
      </w:r>
      <w:r>
        <w:br w:type="textWrapping"/>
      </w:r>
      <w:r>
        <w:rPr>
          <w:rFonts w:hAnsi="黑体"/>
          <w:szCs w:val="21"/>
        </w:rPr>
        <w:t>PCR</w:t>
      </w:r>
      <w:r>
        <w:rPr>
          <w:rFonts w:hint="eastAsia" w:hAnsi="黑体"/>
          <w:szCs w:val="21"/>
        </w:rPr>
        <w:t>检验</w:t>
      </w:r>
      <w:r>
        <w:rPr>
          <w:rFonts w:hAnsi="黑体"/>
          <w:szCs w:val="21"/>
        </w:rPr>
        <w:t>方法</w:t>
      </w:r>
    </w:p>
    <w:p>
      <w:pPr>
        <w:widowControl/>
        <w:numPr>
          <w:ilvl w:val="1"/>
          <w:numId w:val="5"/>
        </w:numPr>
        <w:overflowPunct w:val="0"/>
        <w:autoSpaceDE w:val="0"/>
        <w:spacing w:before="312" w:beforeLines="100" w:after="312" w:afterLines="100"/>
        <w:textAlignment w:val="baseline"/>
        <w:outlineLvl w:val="1"/>
        <w:rPr>
          <w:rFonts w:ascii="Times New Roman" w:hAnsi="Times New Roman"/>
        </w:rPr>
      </w:pPr>
      <w:r>
        <w:rPr>
          <w:rFonts w:ascii="Times New Roman" w:hAnsi="Times New Roman"/>
          <w:kern w:val="21"/>
        </w:rPr>
        <w:t>PCR试剂及配制方法</w:t>
      </w:r>
    </w:p>
    <w:p>
      <w:pPr>
        <w:widowControl/>
        <w:overflowPunct w:val="0"/>
        <w:autoSpaceDE w:val="0"/>
        <w:spacing w:line="240" w:lineRule="auto"/>
        <w:textAlignment w:val="baseline"/>
        <w:outlineLvl w:val="1"/>
        <w:rPr>
          <w:rFonts w:ascii="Times New Roman" w:hAnsi="Times New Roman"/>
        </w:rPr>
      </w:pPr>
      <w:r>
        <w:rPr>
          <w:rFonts w:ascii="Times New Roman" w:hAnsi="Times New Roman"/>
        </w:rPr>
        <w:t>A.1.1  A液</w:t>
      </w:r>
    </w:p>
    <w:p>
      <w:pPr>
        <w:spacing w:line="240" w:lineRule="auto"/>
        <w:ind w:firstLine="420" w:firstLineChars="200"/>
        <w:rPr>
          <w:rFonts w:ascii="Times New Roman" w:hAnsi="Times New Roman"/>
        </w:rPr>
      </w:pPr>
      <w:r>
        <w:rPr>
          <w:rFonts w:ascii="Times New Roman" w:hAnsi="Times New Roman"/>
        </w:rPr>
        <w:t>0.2mol/L磷酸二氢钠水溶液，取NaH</w:t>
      </w:r>
      <w:r>
        <w:rPr>
          <w:rFonts w:ascii="Times New Roman" w:hAnsi="Times New Roman"/>
          <w:vertAlign w:val="subscript"/>
        </w:rPr>
        <w:t>2</w:t>
      </w:r>
      <w:r>
        <w:rPr>
          <w:rFonts w:ascii="Times New Roman" w:hAnsi="Times New Roman"/>
        </w:rPr>
        <w:t>PO</w:t>
      </w:r>
      <w:r>
        <w:rPr>
          <w:rFonts w:ascii="Times New Roman" w:hAnsi="Times New Roman"/>
          <w:vertAlign w:val="subscript"/>
        </w:rPr>
        <w:t>4</w:t>
      </w:r>
      <w:r>
        <w:rPr>
          <w:rFonts w:ascii="Times New Roman" w:hAnsi="Times New Roman"/>
        </w:rPr>
        <w:t>·H</w:t>
      </w:r>
      <w:r>
        <w:rPr>
          <w:rFonts w:ascii="Times New Roman" w:hAnsi="Times New Roman"/>
          <w:vertAlign w:val="subscript"/>
        </w:rPr>
        <w:t>2</w:t>
      </w:r>
      <w:r>
        <w:rPr>
          <w:rFonts w:ascii="Times New Roman" w:hAnsi="Times New Roman"/>
        </w:rPr>
        <w:t xml:space="preserve">O 27.6g，加蒸馏水溶解，定容至1,000 mL </w:t>
      </w:r>
    </w:p>
    <w:p>
      <w:pPr>
        <w:spacing w:line="240" w:lineRule="auto"/>
        <w:rPr>
          <w:rFonts w:ascii="Times New Roman" w:hAnsi="Times New Roman"/>
        </w:rPr>
      </w:pPr>
      <w:r>
        <w:rPr>
          <w:rFonts w:ascii="Times New Roman" w:hAnsi="Times New Roman"/>
        </w:rPr>
        <w:t>A.1.2  B液</w:t>
      </w:r>
    </w:p>
    <w:p>
      <w:pPr>
        <w:spacing w:line="240" w:lineRule="auto"/>
        <w:ind w:firstLine="420" w:firstLineChars="200"/>
        <w:rPr>
          <w:rFonts w:ascii="Times New Roman" w:hAnsi="Times New Roman"/>
        </w:rPr>
      </w:pPr>
      <w:r>
        <w:rPr>
          <w:rFonts w:ascii="Times New Roman" w:hAnsi="Times New Roman"/>
        </w:rPr>
        <w:t>0.2 mol/L磷酸氢二钠水溶液，取NaH</w:t>
      </w:r>
      <w:r>
        <w:rPr>
          <w:rFonts w:ascii="Times New Roman" w:hAnsi="Times New Roman"/>
          <w:vertAlign w:val="subscript"/>
        </w:rPr>
        <w:t>2</w:t>
      </w:r>
      <w:r>
        <w:rPr>
          <w:rFonts w:ascii="Times New Roman" w:hAnsi="Times New Roman"/>
        </w:rPr>
        <w:t>PO</w:t>
      </w:r>
      <w:r>
        <w:rPr>
          <w:rFonts w:ascii="Times New Roman" w:hAnsi="Times New Roman"/>
          <w:vertAlign w:val="subscript"/>
        </w:rPr>
        <w:t>4</w:t>
      </w:r>
      <w:r>
        <w:rPr>
          <w:rFonts w:ascii="Times New Roman" w:hAnsi="Times New Roman"/>
        </w:rPr>
        <w:t>·7H</w:t>
      </w:r>
      <w:r>
        <w:rPr>
          <w:rFonts w:ascii="Times New Roman" w:hAnsi="Times New Roman"/>
          <w:vertAlign w:val="subscript"/>
        </w:rPr>
        <w:t>2</w:t>
      </w:r>
      <w:r>
        <w:rPr>
          <w:rFonts w:ascii="Times New Roman" w:hAnsi="Times New Roman"/>
        </w:rPr>
        <w:t>O 53.6g，也可用Na</w:t>
      </w:r>
      <w:r>
        <w:rPr>
          <w:rFonts w:ascii="Times New Roman" w:hAnsi="Times New Roman"/>
          <w:vertAlign w:val="subscript"/>
        </w:rPr>
        <w:t>2</w:t>
      </w:r>
      <w:r>
        <w:rPr>
          <w:rFonts w:ascii="Times New Roman" w:hAnsi="Times New Roman"/>
        </w:rPr>
        <w:t>HPO</w:t>
      </w:r>
      <w:r>
        <w:rPr>
          <w:rFonts w:ascii="Times New Roman" w:hAnsi="Times New Roman"/>
          <w:vertAlign w:val="subscript"/>
        </w:rPr>
        <w:t>4</w:t>
      </w:r>
      <w:r>
        <w:rPr>
          <w:rFonts w:ascii="Times New Roman" w:hAnsi="Times New Roman"/>
        </w:rPr>
        <w:t>·12H</w:t>
      </w:r>
      <w:r>
        <w:rPr>
          <w:rFonts w:ascii="Times New Roman" w:hAnsi="Times New Roman"/>
          <w:vertAlign w:val="subscript"/>
        </w:rPr>
        <w:t>2</w:t>
      </w:r>
      <w:r>
        <w:rPr>
          <w:rFonts w:ascii="Times New Roman" w:hAnsi="Times New Roman"/>
        </w:rPr>
        <w:t>O 71.6g或 Na</w:t>
      </w:r>
      <w:r>
        <w:rPr>
          <w:rFonts w:ascii="Times New Roman" w:hAnsi="Times New Roman"/>
          <w:vertAlign w:val="subscript"/>
        </w:rPr>
        <w:t>2</w:t>
      </w:r>
      <w:r>
        <w:rPr>
          <w:rFonts w:ascii="Times New Roman" w:hAnsi="Times New Roman"/>
        </w:rPr>
        <w:t>HPO</w:t>
      </w:r>
      <w:r>
        <w:rPr>
          <w:rFonts w:ascii="Times New Roman" w:hAnsi="Times New Roman"/>
          <w:vertAlign w:val="subscript"/>
        </w:rPr>
        <w:t>4</w:t>
      </w:r>
      <w:r>
        <w:rPr>
          <w:rFonts w:ascii="Times New Roman" w:hAnsi="Times New Roman"/>
        </w:rPr>
        <w:t>·12H</w:t>
      </w:r>
      <w:r>
        <w:rPr>
          <w:rFonts w:ascii="Times New Roman" w:hAnsi="Times New Roman"/>
          <w:vertAlign w:val="subscript"/>
        </w:rPr>
        <w:t>2</w:t>
      </w:r>
      <w:r>
        <w:rPr>
          <w:rFonts w:ascii="Times New Roman" w:hAnsi="Times New Roman"/>
        </w:rPr>
        <w:t xml:space="preserve">O 35.6g加蒸馏水溶解，定容至1,000 mL </w:t>
      </w:r>
    </w:p>
    <w:p>
      <w:pPr>
        <w:spacing w:line="240" w:lineRule="auto"/>
        <w:rPr>
          <w:rFonts w:ascii="Times New Roman" w:hAnsi="Times New Roman"/>
        </w:rPr>
      </w:pPr>
      <w:r>
        <w:rPr>
          <w:rFonts w:ascii="Times New Roman" w:hAnsi="Times New Roman"/>
        </w:rPr>
        <w:t>A.1.3 磷酸盐缓冲液 (PBS)</w:t>
      </w:r>
    </w:p>
    <w:p>
      <w:pPr>
        <w:spacing w:line="240" w:lineRule="auto"/>
        <w:ind w:firstLine="420" w:firstLineChars="200"/>
        <w:rPr>
          <w:rFonts w:ascii="Times New Roman" w:hAnsi="Times New Roman"/>
        </w:rPr>
      </w:pPr>
      <w:r>
        <w:rPr>
          <w:rFonts w:ascii="Times New Roman" w:hAnsi="Times New Roman"/>
        </w:rPr>
        <w:t xml:space="preserve">A液14 ml，加B液36 ml.混匀，pH=7.2。 </w:t>
      </w:r>
    </w:p>
    <w:p>
      <w:pPr>
        <w:spacing w:line="240" w:lineRule="auto"/>
        <w:rPr>
          <w:rFonts w:ascii="Times New Roman" w:hAnsi="Times New Roman"/>
        </w:rPr>
      </w:pPr>
      <w:r>
        <w:rPr>
          <w:rFonts w:ascii="Times New Roman" w:hAnsi="Times New Roman"/>
        </w:rPr>
        <w:t>A.1.4 冬孢子裂解液</w:t>
      </w:r>
    </w:p>
    <w:p>
      <w:pPr>
        <w:spacing w:line="240" w:lineRule="auto"/>
        <w:rPr>
          <w:rFonts w:ascii="Times New Roman" w:hAnsi="Times New Roman"/>
        </w:rPr>
      </w:pPr>
      <w:r>
        <w:rPr>
          <w:rFonts w:ascii="Times New Roman" w:hAnsi="Times New Roman"/>
        </w:rPr>
        <w:t xml:space="preserve">    3 mol/L NaOH, 取NaOH 6.0g溶于450mL 水中，加水定容至500mL。</w:t>
      </w:r>
    </w:p>
    <w:p>
      <w:pPr>
        <w:spacing w:line="240" w:lineRule="auto"/>
        <w:rPr>
          <w:rFonts w:ascii="Times New Roman" w:hAnsi="Times New Roman"/>
        </w:rPr>
      </w:pPr>
      <w:r>
        <w:rPr>
          <w:rFonts w:ascii="Times New Roman" w:hAnsi="Times New Roman"/>
        </w:rPr>
        <w:t>A.1.5 DNA提取液</w:t>
      </w:r>
    </w:p>
    <w:p>
      <w:pPr>
        <w:spacing w:line="240" w:lineRule="auto"/>
        <w:ind w:firstLine="420" w:firstLineChars="200"/>
        <w:rPr>
          <w:rFonts w:ascii="Times New Roman" w:hAnsi="Times New Roman"/>
        </w:rPr>
      </w:pPr>
      <w:r>
        <w:rPr>
          <w:rFonts w:ascii="Times New Roman" w:hAnsi="Times New Roman"/>
        </w:rPr>
        <w:t xml:space="preserve">Tris饱和酚:氯仿:异戊醇按25:24∶1比例混合。 </w:t>
      </w:r>
    </w:p>
    <w:p>
      <w:pPr>
        <w:spacing w:line="240" w:lineRule="auto"/>
        <w:rPr>
          <w:rFonts w:ascii="Times New Roman" w:hAnsi="Times New Roman"/>
          <w:color w:val="FF0000"/>
        </w:rPr>
      </w:pPr>
      <w:r>
        <w:rPr>
          <w:rFonts w:ascii="Times New Roman" w:hAnsi="Times New Roman"/>
        </w:rPr>
        <w:t>A.1.</w:t>
      </w:r>
      <w:r>
        <w:rPr>
          <w:rFonts w:hint="eastAsia" w:ascii="Times New Roman" w:hAnsi="Times New Roman"/>
        </w:rPr>
        <w:t>6</w:t>
      </w:r>
      <w:r>
        <w:rPr>
          <w:rFonts w:ascii="Times New Roman" w:hAnsi="Times New Roman"/>
          <w:color w:val="FF0000"/>
        </w:rPr>
        <w:t xml:space="preserve"> </w:t>
      </w:r>
      <w:r>
        <w:rPr>
          <w:rFonts w:ascii="Times New Roman" w:hAnsi="Times New Roman"/>
          <w:kern w:val="21"/>
        </w:rPr>
        <w:t>DNA释放剂</w:t>
      </w:r>
    </w:p>
    <w:p>
      <w:pPr>
        <w:spacing w:line="240" w:lineRule="auto"/>
        <w:ind w:firstLine="420" w:firstLineChars="200"/>
        <w:rPr>
          <w:rFonts w:ascii="Times New Roman" w:hAnsi="Times New Roman"/>
        </w:rPr>
      </w:pPr>
      <w:r>
        <w:rPr>
          <w:rFonts w:ascii="Times New Roman" w:hAnsi="Times New Roman"/>
        </w:rPr>
        <w:t>含有2% CTAB,100 mmol/l. Tris-HCl,20 mmol/l, EDTA,1.4 mmol/l. NaCl,pH8.0。使用前加入终浓度0.5 %的β-硫基乙醇。</w:t>
      </w:r>
    </w:p>
    <w:p>
      <w:pPr>
        <w:spacing w:line="240" w:lineRule="auto"/>
        <w:rPr>
          <w:rFonts w:ascii="Times New Roman" w:hAnsi="Times New Roman"/>
        </w:rPr>
      </w:pPr>
      <w:r>
        <w:rPr>
          <w:rFonts w:ascii="Times New Roman" w:hAnsi="Times New Roman"/>
        </w:rPr>
        <w:t>A.1.</w:t>
      </w:r>
      <w:r>
        <w:rPr>
          <w:rFonts w:hint="eastAsia" w:ascii="Times New Roman" w:hAnsi="Times New Roman"/>
        </w:rPr>
        <w:t>7</w:t>
      </w:r>
      <w:r>
        <w:rPr>
          <w:rFonts w:ascii="Times New Roman" w:hAnsi="Times New Roman"/>
        </w:rPr>
        <w:t xml:space="preserve"> TE缓冲液</w:t>
      </w:r>
    </w:p>
    <w:p>
      <w:pPr>
        <w:spacing w:line="240" w:lineRule="auto"/>
        <w:ind w:firstLine="420" w:firstLineChars="200"/>
        <w:rPr>
          <w:rFonts w:ascii="Times New Roman" w:hAnsi="Times New Roman"/>
        </w:rPr>
      </w:pPr>
      <w:r>
        <w:rPr>
          <w:rFonts w:ascii="Times New Roman" w:hAnsi="Times New Roman"/>
        </w:rPr>
        <w:t>0.1 mol/L Tris-HCL（pH 7.4）20mL加人0.5 mol/L EDTA（PH 8.0）40mL，用超纯水定容至200 ml.，4℃保存。</w:t>
      </w:r>
    </w:p>
    <w:p>
      <w:pPr>
        <w:spacing w:line="240" w:lineRule="auto"/>
        <w:rPr>
          <w:rFonts w:ascii="Times New Roman" w:hAnsi="Times New Roman"/>
        </w:rPr>
      </w:pPr>
      <w:r>
        <w:rPr>
          <w:rFonts w:ascii="Times New Roman" w:hAnsi="Times New Roman"/>
        </w:rPr>
        <w:t>A.1.7 DNA 洗涤液</w:t>
      </w:r>
    </w:p>
    <w:p>
      <w:pPr>
        <w:spacing w:line="240" w:lineRule="auto"/>
        <w:ind w:firstLine="420" w:firstLineChars="200"/>
        <w:rPr>
          <w:rFonts w:ascii="Times New Roman" w:hAnsi="Times New Roman"/>
        </w:rPr>
      </w:pPr>
      <w:r>
        <w:rPr>
          <w:rFonts w:ascii="Times New Roman" w:hAnsi="Times New Roman"/>
        </w:rPr>
        <w:t>75%乙醇溶液，-20℃预冷。</w:t>
      </w:r>
    </w:p>
    <w:p>
      <w:pPr>
        <w:spacing w:line="240" w:lineRule="auto"/>
        <w:rPr>
          <w:rFonts w:ascii="Times New Roman" w:hAnsi="Times New Roman"/>
        </w:rPr>
      </w:pPr>
      <w:r>
        <w:rPr>
          <w:rFonts w:ascii="Times New Roman" w:hAnsi="Times New Roman"/>
        </w:rPr>
        <w:t>A.1.8 PCR反应混合液</w:t>
      </w:r>
    </w:p>
    <w:p>
      <w:pPr>
        <w:spacing w:line="240" w:lineRule="auto"/>
        <w:ind w:firstLine="420" w:firstLineChars="200"/>
        <w:rPr>
          <w:rFonts w:hint="eastAsia" w:ascii="宋体" w:hAnsi="宋体"/>
        </w:rPr>
      </w:pPr>
      <w:r>
        <w:rPr>
          <w:rFonts w:ascii="Times New Roman" w:hAnsi="Times New Roman"/>
        </w:rPr>
        <w:t>2 x Pro Taq Master Mix</w:t>
      </w:r>
      <w:r>
        <w:rPr>
          <w:rFonts w:hint="eastAsia" w:ascii="Times New Roman" w:hAnsi="Times New Roman"/>
        </w:rPr>
        <w:t>（</w:t>
      </w:r>
      <w:r>
        <w:rPr>
          <w:rFonts w:ascii="Times New Roman" w:hAnsi="Times New Roman"/>
        </w:rPr>
        <w:t>dye plus</w:t>
      </w:r>
      <w:r>
        <w:rPr>
          <w:rFonts w:hint="eastAsia" w:ascii="Times New Roman" w:hAnsi="Times New Roman"/>
        </w:rPr>
        <w:t>）</w:t>
      </w:r>
      <w:r>
        <w:rPr>
          <w:rFonts w:ascii="宋体" w:hAnsi="宋体"/>
        </w:rPr>
        <w:t>。</w:t>
      </w:r>
      <w:r>
        <w:rPr>
          <w:rFonts w:hint="eastAsia" w:ascii="宋体" w:hAnsi="宋体"/>
        </w:rPr>
        <w:t>使用按市售产品要求进行</w:t>
      </w:r>
    </w:p>
    <w:p>
      <w:pPr>
        <w:spacing w:before="312" w:beforeLines="100" w:after="312" w:afterLines="100"/>
        <w:rPr>
          <w:rFonts w:hint="eastAsia" w:ascii="宋体" w:hAnsi="宋体"/>
          <w:kern w:val="21"/>
        </w:rPr>
      </w:pPr>
      <w:r>
        <w:rPr>
          <w:rFonts w:hint="eastAsia" w:ascii="黑体" w:hAnsi="黑体" w:eastAsia="黑体" w:cs="黑体"/>
        </w:rPr>
        <w:t>A.2</w:t>
      </w:r>
      <w:r>
        <w:rPr>
          <w:rFonts w:hint="eastAsia" w:ascii="宋体" w:hAnsi="宋体"/>
          <w:b/>
          <w:bCs/>
        </w:rPr>
        <w:t xml:space="preserve"> </w:t>
      </w:r>
      <w:r>
        <w:rPr>
          <w:rFonts w:ascii="宋体" w:hAnsi="宋体"/>
          <w:kern w:val="21"/>
        </w:rPr>
        <w:t>样品DNA制备</w:t>
      </w:r>
    </w:p>
    <w:p>
      <w:pPr>
        <w:pStyle w:val="239"/>
        <w:numPr>
          <w:ilvl w:val="2"/>
          <w:numId w:val="0"/>
        </w:numPr>
        <w:spacing w:before="0" w:beforeLines="0" w:after="0" w:afterLines="0"/>
        <w:rPr>
          <w:rFonts w:ascii="Times New Roman" w:eastAsia="宋体"/>
          <w:szCs w:val="21"/>
        </w:rPr>
      </w:pPr>
      <w:r>
        <w:rPr>
          <w:rFonts w:ascii="Times New Roman" w:eastAsia="宋体"/>
          <w:szCs w:val="21"/>
        </w:rPr>
        <w:t>A.2.1 麦粒、麦麸或下脚料中冬孢子DNA提取</w:t>
      </w:r>
    </w:p>
    <w:p>
      <w:pPr>
        <w:pStyle w:val="233"/>
        <w:ind w:firstLine="0" w:firstLineChars="0"/>
        <w:jc w:val="left"/>
        <w:rPr>
          <w:rFonts w:ascii="Times New Roman"/>
          <w:kern w:val="21"/>
          <w:szCs w:val="21"/>
        </w:rPr>
      </w:pPr>
      <w:r>
        <w:rPr>
          <w:rFonts w:ascii="Times New Roman"/>
          <w:szCs w:val="21"/>
        </w:rPr>
        <w:t xml:space="preserve">A.2.1.1 </w:t>
      </w:r>
      <w:r>
        <w:rPr>
          <w:rFonts w:ascii="Times New Roman"/>
          <w:kern w:val="21"/>
          <w:szCs w:val="21"/>
        </w:rPr>
        <w:t>目测有无菌瘿</w:t>
      </w:r>
    </w:p>
    <w:p>
      <w:pPr>
        <w:pStyle w:val="233"/>
        <w:rPr>
          <w:rFonts w:ascii="Times New Roman"/>
          <w:kern w:val="21"/>
          <w:szCs w:val="21"/>
        </w:rPr>
      </w:pPr>
      <w:r>
        <w:rPr>
          <w:rFonts w:ascii="Times New Roman"/>
          <w:kern w:val="21"/>
          <w:szCs w:val="21"/>
        </w:rPr>
        <w:t>如有菌瘿直接取出，取菌瘿1/4粒捣碎加入灭菌的1.5</w:t>
      </w:r>
      <w:r>
        <w:rPr>
          <w:rFonts w:ascii="Times New Roman"/>
          <w:szCs w:val="21"/>
        </w:rPr>
        <w:t xml:space="preserve"> mL离心管，加适量淀粉酶处理，离心去掉上清液</w:t>
      </w:r>
      <w:r>
        <w:rPr>
          <w:rFonts w:ascii="Times New Roman"/>
          <w:kern w:val="21"/>
          <w:szCs w:val="21"/>
        </w:rPr>
        <w:t>。加入灭菌的1.5</w:t>
      </w:r>
      <w:r>
        <w:rPr>
          <w:rFonts w:ascii="Times New Roman"/>
          <w:szCs w:val="21"/>
        </w:rPr>
        <w:t xml:space="preserve"> mL离心管，每管加入600 μ</w:t>
      </w:r>
      <w:r>
        <w:rPr>
          <w:rFonts w:ascii="Times New Roman"/>
          <w:kern w:val="21"/>
          <w:szCs w:val="21"/>
        </w:rPr>
        <w:t>L</w:t>
      </w:r>
      <w:r>
        <w:rPr>
          <w:rFonts w:ascii="Times New Roman"/>
          <w:szCs w:val="21"/>
        </w:rPr>
        <w:t>冬孢子裂解液，65℃水浴30 min,取出离心管，1mol/L HCL中和，8000g离心1 min，收集沉淀，用无菌水冲洗至pH为7~8。</w:t>
      </w:r>
    </w:p>
    <w:p>
      <w:pPr>
        <w:pStyle w:val="233"/>
        <w:ind w:firstLine="0" w:firstLineChars="0"/>
        <w:rPr>
          <w:rFonts w:ascii="Times New Roman"/>
          <w:kern w:val="21"/>
          <w:szCs w:val="21"/>
        </w:rPr>
      </w:pPr>
      <w:r>
        <w:rPr>
          <w:rFonts w:hint="eastAsia" w:ascii="Times New Roman"/>
          <w:szCs w:val="21"/>
        </w:rPr>
        <w:t>A</w:t>
      </w:r>
      <w:r>
        <w:rPr>
          <w:rFonts w:ascii="Times New Roman"/>
          <w:szCs w:val="21"/>
        </w:rPr>
        <w:t xml:space="preserve">.2.1.2 </w:t>
      </w:r>
      <w:r>
        <w:rPr>
          <w:rFonts w:ascii="Times New Roman"/>
          <w:kern w:val="21"/>
          <w:szCs w:val="21"/>
        </w:rPr>
        <w:t>未发现菌瘿的样品</w:t>
      </w:r>
    </w:p>
    <w:p>
      <w:pPr>
        <w:pStyle w:val="233"/>
        <w:rPr>
          <w:rFonts w:ascii="Times New Roman"/>
          <w:kern w:val="21"/>
          <w:szCs w:val="21"/>
        </w:rPr>
      </w:pPr>
      <w:r>
        <w:rPr>
          <w:rFonts w:ascii="Times New Roman"/>
          <w:kern w:val="21"/>
          <w:szCs w:val="21"/>
        </w:rPr>
        <w:t>过网目为40目、80目、200目的分样套筛，收集200目样品备用。取过筛样品0.1g,按</w:t>
      </w:r>
      <w:r>
        <w:rPr>
          <w:rFonts w:hint="eastAsia" w:ascii="Times New Roman"/>
          <w:szCs w:val="21"/>
        </w:rPr>
        <w:t>A.</w:t>
      </w:r>
      <w:r>
        <w:rPr>
          <w:rFonts w:ascii="Times New Roman"/>
          <w:szCs w:val="21"/>
        </w:rPr>
        <w:t>2.1.1处理。</w:t>
      </w:r>
    </w:p>
    <w:p>
      <w:pPr>
        <w:pStyle w:val="239"/>
        <w:numPr>
          <w:ilvl w:val="0"/>
          <w:numId w:val="0"/>
        </w:numPr>
        <w:wordWrap/>
        <w:spacing w:before="0" w:beforeLines="0" w:after="0" w:afterLines="0"/>
        <w:rPr>
          <w:rFonts w:ascii="Times New Roman" w:eastAsia="宋体"/>
          <w:szCs w:val="21"/>
        </w:rPr>
      </w:pPr>
      <w:r>
        <w:rPr>
          <w:rFonts w:hint="eastAsia" w:ascii="Times New Roman" w:eastAsia="宋体"/>
          <w:szCs w:val="21"/>
        </w:rPr>
        <w:t>A</w:t>
      </w:r>
      <w:r>
        <w:rPr>
          <w:rFonts w:ascii="Times New Roman" w:eastAsia="宋体"/>
          <w:szCs w:val="21"/>
        </w:rPr>
        <w:t>.2.1.3 冬孢子DNA提取</w:t>
      </w:r>
    </w:p>
    <w:p>
      <w:pPr>
        <w:spacing w:line="240" w:lineRule="auto"/>
        <w:ind w:firstLine="420" w:firstLineChars="200"/>
        <w:rPr>
          <w:rFonts w:ascii="Times New Roman" w:hAnsi="Times New Roman"/>
          <w:kern w:val="21"/>
        </w:rPr>
      </w:pPr>
      <w:r>
        <w:rPr>
          <w:rFonts w:ascii="Times New Roman" w:hAnsi="Times New Roman"/>
          <w:kern w:val="21"/>
        </w:rPr>
        <w:t>称取沉淀（冬孢子）0.1 g，放入2.0mL螺旋管中，加入直径为5 mm的经过灭菌的</w:t>
      </w:r>
      <w:bookmarkStart w:id="42" w:name="_Hlk68161561"/>
      <w:r>
        <w:rPr>
          <w:rFonts w:ascii="Times New Roman" w:hAnsi="Times New Roman"/>
          <w:kern w:val="21"/>
        </w:rPr>
        <w:t>钢珠</w:t>
      </w:r>
      <w:bookmarkEnd w:id="42"/>
      <w:r>
        <w:rPr>
          <w:rFonts w:ascii="Times New Roman" w:hAnsi="Times New Roman"/>
          <w:kern w:val="21"/>
        </w:rPr>
        <w:t xml:space="preserve">和一小勺直径1 mm的石英砂，将螺旋管在液氮中充分冷却后在冷冻研磨仪中充分研磨1 ~ 2 min。加入600 </w:t>
      </w:r>
      <w:r>
        <w:rPr>
          <w:rFonts w:ascii="Times New Roman" w:hAnsi="Times New Roman"/>
          <w:kern w:val="0"/>
        </w:rPr>
        <w:t>μ</w:t>
      </w:r>
      <w:r>
        <w:rPr>
          <w:rFonts w:ascii="Times New Roman" w:hAnsi="Times New Roman"/>
          <w:kern w:val="21"/>
        </w:rPr>
        <w:t xml:space="preserve">L DNA 提取液并震荡混匀，65℃恒温水浴30 min，水浴期间每隔5 min左右轻轻转动或晃动螺旋管混匀管中的样品。取出后置于冰上15 min，再加入300 </w:t>
      </w:r>
      <w:r>
        <w:rPr>
          <w:rFonts w:ascii="Times New Roman" w:hAnsi="Times New Roman"/>
          <w:kern w:val="0"/>
        </w:rPr>
        <w:t>μ</w:t>
      </w:r>
      <w:r>
        <w:rPr>
          <w:rFonts w:ascii="Times New Roman" w:hAnsi="Times New Roman"/>
          <w:kern w:val="21"/>
        </w:rPr>
        <w:t>L 6M的醋酸铵，震荡混匀放入4℃的冰箱中15 min，后</w:t>
      </w:r>
      <w:bookmarkStart w:id="43" w:name="OLE_LINK18"/>
      <w:r>
        <w:rPr>
          <w:rFonts w:ascii="Times New Roman" w:hAnsi="Times New Roman"/>
          <w:kern w:val="21"/>
        </w:rPr>
        <w:t>7000 rpm离心15 min</w:t>
      </w:r>
      <w:bookmarkEnd w:id="43"/>
      <w:r>
        <w:rPr>
          <w:rFonts w:ascii="Times New Roman" w:hAnsi="Times New Roman"/>
          <w:kern w:val="21"/>
        </w:rPr>
        <w:t xml:space="preserve">，取600 </w:t>
      </w:r>
      <w:r>
        <w:rPr>
          <w:rFonts w:ascii="Times New Roman" w:hAnsi="Times New Roman"/>
          <w:kern w:val="0"/>
        </w:rPr>
        <w:t>μ</w:t>
      </w:r>
      <w:r>
        <w:rPr>
          <w:rFonts w:ascii="Times New Roman" w:hAnsi="Times New Roman"/>
          <w:kern w:val="21"/>
        </w:rPr>
        <w:t xml:space="preserve">L上清，加入含360 </w:t>
      </w:r>
      <w:r>
        <w:rPr>
          <w:rFonts w:ascii="Times New Roman" w:hAnsi="Times New Roman"/>
          <w:kern w:val="0"/>
        </w:rPr>
        <w:t>μ</w:t>
      </w:r>
      <w:r>
        <w:rPr>
          <w:rFonts w:ascii="Times New Roman" w:hAnsi="Times New Roman"/>
          <w:kern w:val="21"/>
        </w:rPr>
        <w:t xml:space="preserve">L异丙醇溶液的1.5 mL离心管中，混匀，让DNA沉淀5 min，7000 rpm离心15 min，使DNA沉淀，倒出上清，用400 </w:t>
      </w:r>
      <w:r>
        <w:rPr>
          <w:rFonts w:ascii="Times New Roman" w:hAnsi="Times New Roman"/>
          <w:kern w:val="0"/>
        </w:rPr>
        <w:t>μ</w:t>
      </w:r>
      <w:r>
        <w:rPr>
          <w:rFonts w:ascii="Times New Roman" w:hAnsi="Times New Roman"/>
          <w:kern w:val="21"/>
        </w:rPr>
        <w:t xml:space="preserve">L 75%的酒精清洗DNA，将DNA从管底弹起，使其清洗干净，7000 rpm离心15 min，倒掉上清液，重复上述步骤一次。倒掉上清液，用100 </w:t>
      </w:r>
      <w:r>
        <w:rPr>
          <w:rFonts w:ascii="Times New Roman" w:hAnsi="Times New Roman"/>
          <w:kern w:val="0"/>
        </w:rPr>
        <w:t>μ</w:t>
      </w:r>
      <w:r>
        <w:rPr>
          <w:rFonts w:ascii="Times New Roman" w:hAnsi="Times New Roman"/>
          <w:kern w:val="21"/>
        </w:rPr>
        <w:t>L的无菌水溶解DNA，常温放置6h,即为PCR检测的待测模板DNA。</w:t>
      </w:r>
    </w:p>
    <w:p>
      <w:pPr>
        <w:pStyle w:val="239"/>
        <w:numPr>
          <w:ilvl w:val="0"/>
          <w:numId w:val="0"/>
        </w:numPr>
        <w:spacing w:before="0" w:beforeLines="0" w:after="0" w:afterLines="0"/>
        <w:rPr>
          <w:rFonts w:ascii="Times New Roman" w:eastAsia="宋体"/>
          <w:szCs w:val="21"/>
        </w:rPr>
      </w:pPr>
      <w:r>
        <w:rPr>
          <w:rFonts w:ascii="Times New Roman" w:eastAsia="宋体"/>
          <w:szCs w:val="21"/>
        </w:rPr>
        <w:t>B.2.2 小麦植株组织中菌丝体DNA提取</w:t>
      </w:r>
    </w:p>
    <w:p>
      <w:pPr>
        <w:spacing w:line="240" w:lineRule="auto"/>
        <w:ind w:firstLine="420" w:firstLineChars="200"/>
        <w:rPr>
          <w:rFonts w:ascii="Times New Roman" w:hAnsi="Times New Roman"/>
          <w:kern w:val="21"/>
        </w:rPr>
      </w:pPr>
      <w:r>
        <w:rPr>
          <w:rFonts w:ascii="Times New Roman" w:hAnsi="Times New Roman"/>
          <w:kern w:val="21"/>
        </w:rPr>
        <w:t>取待检小麦植物组织样品1.0g剪碎于灭菌预冻的研钵中加液氮充分研磨，加10 mL PBS液混匀，4℃ 8000 g离心15 min; 取沉淀转入1.5 mL 离心管中。离心管中加入400</w:t>
      </w:r>
      <w:r>
        <w:rPr>
          <w:rFonts w:ascii="Times New Roman" w:hAnsi="Times New Roman"/>
          <w:kern w:val="0"/>
        </w:rPr>
        <w:t>μ</w:t>
      </w:r>
      <w:r>
        <w:rPr>
          <w:rFonts w:ascii="Times New Roman" w:hAnsi="Times New Roman"/>
          <w:kern w:val="21"/>
        </w:rPr>
        <w:t>L 2×DNA释放剂， 65℃水浴保温1h， 其间每隔10min剧烈震荡混匀一次，加入等体积的DNA提取液，10000g 离心20min。 取上层水相到微滤柱中（如有机相与水相间界面不清晰，可用DNA提取液再抽提1次）， 10</w:t>
      </w:r>
      <w:r>
        <w:rPr>
          <w:rFonts w:hint="eastAsia" w:ascii="Times New Roman" w:hAnsi="Times New Roman"/>
          <w:kern w:val="21"/>
        </w:rPr>
        <w:t>,</w:t>
      </w:r>
      <w:r>
        <w:rPr>
          <w:rFonts w:ascii="Times New Roman" w:hAnsi="Times New Roman"/>
          <w:kern w:val="21"/>
        </w:rPr>
        <w:t>000g离心1 min, 弃滤液；向微滤柱中加入预冷的的DNA洗涤液750</w:t>
      </w:r>
      <w:r>
        <w:rPr>
          <w:rFonts w:ascii="Times New Roman" w:hAnsi="Times New Roman"/>
          <w:kern w:val="0"/>
        </w:rPr>
        <w:t>μ</w:t>
      </w:r>
      <w:r>
        <w:rPr>
          <w:rFonts w:ascii="Times New Roman" w:hAnsi="Times New Roman"/>
          <w:kern w:val="21"/>
        </w:rPr>
        <w:t>L，10 000g离心1 min，弃滤液，重复清洗一次。 将微滤柱10000g离心1min， 除去残余乙醇， 向微滤柱中加入50</w:t>
      </w:r>
      <w:r>
        <w:rPr>
          <w:rFonts w:ascii="Times New Roman" w:hAnsi="Times New Roman"/>
          <w:kern w:val="0"/>
        </w:rPr>
        <w:t>μ</w:t>
      </w:r>
      <w:r>
        <w:rPr>
          <w:rFonts w:ascii="Times New Roman" w:hAnsi="Times New Roman"/>
          <w:kern w:val="21"/>
        </w:rPr>
        <w:t>L</w:t>
      </w:r>
      <w:r>
        <w:rPr>
          <w:rFonts w:hint="eastAsia" w:ascii="Times New Roman" w:hAnsi="Times New Roman"/>
          <w:kern w:val="21"/>
        </w:rPr>
        <w:t xml:space="preserve"> </w:t>
      </w:r>
      <w:r>
        <w:rPr>
          <w:rFonts w:ascii="Times New Roman" w:hAnsi="Times New Roman"/>
          <w:kern w:val="21"/>
        </w:rPr>
        <w:t>TE缓冲液，10</w:t>
      </w:r>
      <w:r>
        <w:rPr>
          <w:rFonts w:hint="eastAsia" w:ascii="Times New Roman" w:hAnsi="Times New Roman"/>
          <w:kern w:val="21"/>
        </w:rPr>
        <w:t>,</w:t>
      </w:r>
      <w:r>
        <w:rPr>
          <w:rFonts w:ascii="Times New Roman" w:hAnsi="Times New Roman"/>
          <w:kern w:val="21"/>
        </w:rPr>
        <w:t>000g离心1 min，收集滤液，即为PCR检测的待测模板DNA。</w:t>
      </w:r>
    </w:p>
    <w:p>
      <w:pPr>
        <w:pStyle w:val="239"/>
        <w:numPr>
          <w:ilvl w:val="0"/>
          <w:numId w:val="0"/>
        </w:numPr>
        <w:spacing w:before="0" w:beforeLines="0" w:after="0" w:afterLines="0"/>
        <w:rPr>
          <w:rFonts w:ascii="Times New Roman" w:eastAsia="宋体"/>
          <w:szCs w:val="21"/>
        </w:rPr>
      </w:pPr>
      <w:r>
        <w:rPr>
          <w:rFonts w:hint="eastAsia" w:ascii="Times New Roman" w:eastAsia="宋体"/>
          <w:szCs w:val="21"/>
        </w:rPr>
        <w:t>A</w:t>
      </w:r>
      <w:r>
        <w:rPr>
          <w:rFonts w:ascii="Times New Roman" w:eastAsia="宋体"/>
          <w:szCs w:val="21"/>
        </w:rPr>
        <w:t>.2.3 阴性对照和阳性对照DNA制备</w:t>
      </w:r>
    </w:p>
    <w:p>
      <w:pPr>
        <w:spacing w:line="240" w:lineRule="auto"/>
        <w:ind w:firstLine="420" w:firstLineChars="200"/>
        <w:rPr>
          <w:rFonts w:ascii="Times New Roman" w:hAnsi="Times New Roman"/>
          <w:kern w:val="21"/>
        </w:rPr>
      </w:pPr>
      <w:r>
        <w:rPr>
          <w:rFonts w:ascii="Times New Roman" w:hAnsi="Times New Roman"/>
          <w:kern w:val="21"/>
        </w:rPr>
        <w:t>制备样品DNA时，同时使用相应材料和方法制备阳性对照DNA和阴性对照DNA。</w:t>
      </w:r>
    </w:p>
    <w:p>
      <w:pPr>
        <w:pStyle w:val="239"/>
        <w:numPr>
          <w:ilvl w:val="0"/>
          <w:numId w:val="0"/>
        </w:numPr>
        <w:spacing w:before="0" w:beforeLines="0" w:after="0" w:afterLines="0"/>
        <w:rPr>
          <w:rFonts w:ascii="Times New Roman" w:eastAsia="宋体"/>
          <w:szCs w:val="21"/>
        </w:rPr>
      </w:pPr>
      <w:r>
        <w:rPr>
          <w:rFonts w:hint="eastAsia" w:ascii="Times New Roman" w:eastAsia="宋体"/>
          <w:szCs w:val="21"/>
        </w:rPr>
        <w:t>A</w:t>
      </w:r>
      <w:r>
        <w:rPr>
          <w:rFonts w:ascii="Times New Roman" w:eastAsia="宋体"/>
          <w:szCs w:val="21"/>
        </w:rPr>
        <w:t>.2.4 模板DNA的保存</w:t>
      </w:r>
    </w:p>
    <w:p>
      <w:pPr>
        <w:spacing w:line="240" w:lineRule="auto"/>
        <w:ind w:firstLine="420" w:firstLineChars="200"/>
        <w:rPr>
          <w:rFonts w:ascii="Times New Roman" w:hAnsi="Times New Roman"/>
          <w:kern w:val="21"/>
        </w:rPr>
      </w:pPr>
      <w:r>
        <w:rPr>
          <w:rFonts w:ascii="Times New Roman" w:hAnsi="Times New Roman"/>
          <w:kern w:val="21"/>
        </w:rPr>
        <w:t>提取的模板DNA最好在24h内使用；在4℃条件下保存应不超过一周； 在-20℃冻存不超过30d, 避免反复冻融。</w:t>
      </w:r>
    </w:p>
    <w:p>
      <w:pPr>
        <w:rPr>
          <w:rFonts w:ascii="Times New Roman" w:hAnsi="Times New Roman"/>
          <w:kern w:val="21"/>
        </w:rPr>
      </w:pPr>
      <w:r>
        <w:rPr>
          <w:rFonts w:hint="eastAsia" w:ascii="黑体" w:hAnsi="黑体" w:eastAsia="黑体" w:cs="黑体"/>
          <w:kern w:val="21"/>
        </w:rPr>
        <w:t>A.3</w:t>
      </w:r>
      <w:r>
        <w:rPr>
          <w:rFonts w:hint="eastAsia" w:ascii="Times New Roman" w:hAnsi="Times New Roman"/>
          <w:kern w:val="21"/>
        </w:rPr>
        <w:t xml:space="preserve"> 检测方法</w:t>
      </w:r>
    </w:p>
    <w:p>
      <w:pPr>
        <w:rPr>
          <w:rFonts w:ascii="Times New Roman" w:hAnsi="Times New Roman"/>
          <w:kern w:val="21"/>
        </w:rPr>
      </w:pPr>
      <w:r>
        <w:rPr>
          <w:rFonts w:ascii="Times New Roman" w:hAnsi="Times New Roman"/>
          <w:kern w:val="21"/>
        </w:rPr>
        <w:t>A.3.1 特异性引物对</w:t>
      </w:r>
    </w:p>
    <w:p>
      <w:pPr>
        <w:ind w:firstLine="420" w:firstLineChars="200"/>
        <w:rPr>
          <w:rFonts w:ascii="Times New Roman" w:hAnsi="Times New Roman"/>
          <w:kern w:val="21"/>
        </w:rPr>
      </w:pPr>
      <w:r>
        <w:rPr>
          <w:rFonts w:ascii="Times New Roman" w:hAnsi="Times New Roman"/>
          <w:kern w:val="21"/>
        </w:rPr>
        <w:t>用无菌超纯水配置引物浓度为10 μM，引物序列为 Erc19F:5’-CTTGTCCAAGCACGTACC-3’/Erc19R:5’-CTGCGCAGCGAGAGTAG-3’。扩增特异性片段大小为 266 bp。</w:t>
      </w:r>
    </w:p>
    <w:p>
      <w:pPr>
        <w:rPr>
          <w:rFonts w:ascii="Times New Roman" w:hAnsi="Times New Roman"/>
          <w:kern w:val="21"/>
        </w:rPr>
      </w:pPr>
      <w:r>
        <w:rPr>
          <w:rFonts w:ascii="Times New Roman" w:hAnsi="Times New Roman"/>
          <w:kern w:val="21"/>
        </w:rPr>
        <w:t>A.3.2 PCR反应体系</w:t>
      </w:r>
    </w:p>
    <w:p>
      <w:pPr>
        <w:ind w:firstLine="420" w:firstLineChars="200"/>
        <w:rPr>
          <w:rFonts w:ascii="Times New Roman" w:hAnsi="Times New Roman"/>
          <w:kern w:val="21"/>
        </w:rPr>
      </w:pPr>
      <w:r>
        <w:rPr>
          <w:rFonts w:ascii="Times New Roman" w:hAnsi="Times New Roman"/>
          <w:kern w:val="21"/>
        </w:rPr>
        <w:t xml:space="preserve">PCR反应体系为25 μL，其中包括 </w:t>
      </w:r>
      <w:r>
        <w:rPr>
          <w:rFonts w:ascii="Times New Roman" w:hAnsi="Times New Roman"/>
        </w:rPr>
        <w:t>2 x Pro Taq Master Mix</w:t>
      </w:r>
      <w:r>
        <w:rPr>
          <w:rFonts w:hint="eastAsia" w:ascii="Times New Roman" w:hAnsi="Times New Roman"/>
        </w:rPr>
        <w:t>（</w:t>
      </w:r>
      <w:r>
        <w:rPr>
          <w:rFonts w:ascii="Times New Roman" w:hAnsi="Times New Roman"/>
        </w:rPr>
        <w:t>dye plus</w:t>
      </w:r>
      <w:r>
        <w:rPr>
          <w:rFonts w:hint="eastAsia" w:ascii="Times New Roman" w:hAnsi="Times New Roman"/>
        </w:rPr>
        <w:t>）</w:t>
      </w:r>
      <w:r>
        <w:rPr>
          <w:rFonts w:ascii="Times New Roman" w:hAnsi="Times New Roman"/>
          <w:kern w:val="21"/>
        </w:rPr>
        <w:t>12.5 μL，正反引物各 1 μL（浓度为10 μM），ddH</w:t>
      </w:r>
      <w:r>
        <w:rPr>
          <w:rFonts w:ascii="Times New Roman" w:hAnsi="Times New Roman"/>
          <w:kern w:val="21"/>
          <w:vertAlign w:val="subscript"/>
        </w:rPr>
        <w:t>2</w:t>
      </w:r>
      <w:r>
        <w:rPr>
          <w:rFonts w:ascii="Times New Roman" w:hAnsi="Times New Roman"/>
          <w:kern w:val="21"/>
        </w:rPr>
        <w:t>O 9.5 μL以及模板 DNA 1 μL。同时设置阴性对照和阳性对照。加样完成后，3000g/min 瞬时离心。</w:t>
      </w:r>
    </w:p>
    <w:p>
      <w:pPr>
        <w:rPr>
          <w:rFonts w:ascii="Times New Roman" w:hAnsi="Times New Roman"/>
          <w:kern w:val="21"/>
        </w:rPr>
      </w:pPr>
      <w:r>
        <w:rPr>
          <w:rFonts w:ascii="Times New Roman" w:hAnsi="Times New Roman"/>
          <w:kern w:val="21"/>
        </w:rPr>
        <w:t>A.3.3 扩增程序</w:t>
      </w:r>
    </w:p>
    <w:p>
      <w:pPr>
        <w:ind w:firstLine="420" w:firstLineChars="200"/>
        <w:rPr>
          <w:rFonts w:ascii="Times New Roman" w:hAnsi="Times New Roman"/>
          <w:kern w:val="21"/>
        </w:rPr>
      </w:pPr>
      <w:r>
        <w:rPr>
          <w:rFonts w:ascii="Times New Roman" w:hAnsi="Times New Roman"/>
          <w:kern w:val="21"/>
        </w:rPr>
        <w:t xml:space="preserve">PCR仪扩增程序为：94℃ </w:t>
      </w:r>
      <w:r>
        <w:rPr>
          <w:rFonts w:hint="eastAsia" w:ascii="Times New Roman" w:hAnsi="Times New Roman"/>
          <w:kern w:val="21"/>
        </w:rPr>
        <w:t>30</w:t>
      </w:r>
      <w:r>
        <w:rPr>
          <w:rFonts w:ascii="Times New Roman" w:hAnsi="Times New Roman"/>
          <w:kern w:val="21"/>
        </w:rPr>
        <w:t xml:space="preserve"> min；94℃ </w:t>
      </w:r>
      <w:r>
        <w:rPr>
          <w:rFonts w:hint="eastAsia" w:ascii="Times New Roman" w:hAnsi="Times New Roman"/>
          <w:kern w:val="21"/>
        </w:rPr>
        <w:t>1</w:t>
      </w:r>
      <w:r>
        <w:rPr>
          <w:rFonts w:ascii="Times New Roman" w:hAnsi="Times New Roman"/>
          <w:kern w:val="21"/>
        </w:rPr>
        <w:t>0 s，</w:t>
      </w:r>
      <w:r>
        <w:rPr>
          <w:rFonts w:hint="eastAsia" w:ascii="Times New Roman" w:hAnsi="Times New Roman"/>
          <w:kern w:val="21"/>
        </w:rPr>
        <w:t>61.5</w:t>
      </w:r>
      <w:r>
        <w:rPr>
          <w:rFonts w:ascii="Times New Roman" w:hAnsi="Times New Roman"/>
          <w:kern w:val="21"/>
        </w:rPr>
        <w:t xml:space="preserve">℃ </w:t>
      </w:r>
      <w:r>
        <w:rPr>
          <w:rFonts w:hint="eastAsia" w:ascii="Times New Roman" w:hAnsi="Times New Roman"/>
          <w:kern w:val="21"/>
        </w:rPr>
        <w:t>3</w:t>
      </w:r>
      <w:r>
        <w:rPr>
          <w:rFonts w:ascii="Times New Roman" w:hAnsi="Times New Roman"/>
          <w:kern w:val="21"/>
        </w:rPr>
        <w:t xml:space="preserve">0 s，72℃ </w:t>
      </w:r>
      <w:r>
        <w:rPr>
          <w:rFonts w:hint="eastAsia" w:ascii="Times New Roman" w:hAnsi="Times New Roman"/>
          <w:kern w:val="21"/>
        </w:rPr>
        <w:t>1min</w:t>
      </w:r>
      <w:r>
        <w:rPr>
          <w:rFonts w:ascii="Times New Roman" w:hAnsi="Times New Roman"/>
          <w:kern w:val="21"/>
        </w:rPr>
        <w:t>，共</w:t>
      </w:r>
      <w:r>
        <w:rPr>
          <w:rFonts w:hint="eastAsia" w:ascii="Times New Roman" w:hAnsi="Times New Roman"/>
          <w:kern w:val="21"/>
        </w:rPr>
        <w:t>35</w:t>
      </w:r>
      <w:r>
        <w:rPr>
          <w:rFonts w:ascii="Times New Roman" w:hAnsi="Times New Roman"/>
          <w:kern w:val="21"/>
        </w:rPr>
        <w:t>个循环，72℃延伸</w:t>
      </w:r>
      <w:r>
        <w:rPr>
          <w:rFonts w:hint="eastAsia" w:ascii="Times New Roman" w:hAnsi="Times New Roman"/>
          <w:kern w:val="21"/>
        </w:rPr>
        <w:t>2</w:t>
      </w:r>
      <w:r>
        <w:rPr>
          <w:rFonts w:ascii="Times New Roman" w:hAnsi="Times New Roman"/>
          <w:kern w:val="21"/>
        </w:rPr>
        <w:t xml:space="preserve"> min。最终产物保存在4℃冷藏室，采用2%的琼脂糖凝胶电泳检测。</w:t>
      </w:r>
    </w:p>
    <w:p>
      <w:pPr>
        <w:pStyle w:val="240"/>
        <w:spacing w:before="312" w:after="312"/>
        <w:rPr>
          <w:rFonts w:ascii="Times New Roman" w:eastAsia="宋体"/>
          <w:szCs w:val="21"/>
        </w:rPr>
      </w:pPr>
      <w:r>
        <w:rPr>
          <w:rFonts w:ascii="Times New Roman" w:eastAsia="宋体"/>
          <w:szCs w:val="21"/>
        </w:rPr>
        <w:t>qRT-PCR反应混合液</w:t>
      </w:r>
    </w:p>
    <w:p>
      <w:pPr>
        <w:pStyle w:val="236"/>
        <w:numPr>
          <w:ilvl w:val="0"/>
          <w:numId w:val="0"/>
        </w:numPr>
        <w:tabs>
          <w:tab w:val="left" w:pos="1140"/>
        </w:tabs>
        <w:ind w:firstLine="420" w:firstLineChars="200"/>
      </w:pPr>
      <w:r>
        <w:rPr>
          <w:rFonts w:ascii="Times New Roman"/>
        </w:rPr>
        <w:t xml:space="preserve">2 x </w:t>
      </w:r>
      <w:r>
        <w:rPr>
          <w:rFonts w:ascii="Times New Roman"/>
          <w:szCs w:val="21"/>
        </w:rPr>
        <w:t>TransStart Top Green qPCR SuperMix</w:t>
      </w:r>
      <w:r>
        <w:rPr>
          <w:rFonts w:hint="eastAsia" w:ascii="Times New Roman"/>
          <w:szCs w:val="21"/>
        </w:rPr>
        <w:t>（</w:t>
      </w:r>
      <w:r>
        <w:rPr>
          <w:rFonts w:ascii="Times New Roman"/>
          <w:szCs w:val="21"/>
        </w:rPr>
        <w:t>+DyeⅠ/+DyeⅡ</w:t>
      </w:r>
      <w:r>
        <w:rPr>
          <w:rFonts w:hint="eastAsia" w:ascii="Times New Roman"/>
          <w:szCs w:val="21"/>
        </w:rPr>
        <w:t>）</w:t>
      </w:r>
      <w:r>
        <w:rPr>
          <w:rFonts w:ascii="Times New Roman"/>
          <w:szCs w:val="21"/>
        </w:rPr>
        <w:t>（包含TransStart Top Green 聚合酶、dNTP、UNG酶、优化的反应缓冲液、ROX染料等试剂）。按市售产品要求进行。</w:t>
      </w:r>
    </w:p>
    <w:p>
      <w:pPr>
        <w:widowControl/>
        <w:numPr>
          <w:ilvl w:val="1"/>
          <w:numId w:val="5"/>
        </w:numPr>
        <w:overflowPunct w:val="0"/>
        <w:autoSpaceDE w:val="0"/>
        <w:spacing w:before="312" w:beforeLines="100" w:after="312" w:afterLines="100"/>
        <w:textAlignment w:val="baseline"/>
        <w:outlineLvl w:val="1"/>
        <w:rPr>
          <w:rFonts w:hint="eastAsia" w:ascii="宋体" w:hAnsi="宋体"/>
          <w:kern w:val="21"/>
        </w:rPr>
      </w:pPr>
      <w:r>
        <w:rPr>
          <w:rFonts w:ascii="宋体" w:hAnsi="宋体"/>
          <w:kern w:val="21"/>
        </w:rPr>
        <w:t>样品</w:t>
      </w:r>
      <w:r>
        <w:rPr>
          <w:rFonts w:hint="eastAsia" w:ascii="宋体" w:hAnsi="宋体"/>
          <w:kern w:val="21"/>
        </w:rPr>
        <w:t>制备</w:t>
      </w:r>
    </w:p>
    <w:p>
      <w:pPr>
        <w:pStyle w:val="239"/>
        <w:numPr>
          <w:ilvl w:val="2"/>
          <w:numId w:val="0"/>
        </w:numPr>
        <w:wordWrap/>
        <w:spacing w:before="156" w:after="156"/>
        <w:rPr>
          <w:rFonts w:ascii="Times New Roman" w:eastAsia="宋体"/>
          <w:szCs w:val="21"/>
        </w:rPr>
      </w:pPr>
      <w:r>
        <w:rPr>
          <w:rFonts w:ascii="Times New Roman" w:eastAsia="宋体"/>
          <w:szCs w:val="21"/>
        </w:rPr>
        <w:t>B.2.1 麦粒、麦麸或下脚料中冬孢子DNA提取见A.2.1</w:t>
      </w:r>
    </w:p>
    <w:p>
      <w:pPr>
        <w:pStyle w:val="233"/>
        <w:ind w:firstLine="0" w:firstLineChars="0"/>
        <w:rPr>
          <w:rFonts w:ascii="Times New Roman"/>
          <w:szCs w:val="21"/>
        </w:rPr>
      </w:pPr>
      <w:r>
        <w:rPr>
          <w:rFonts w:ascii="Times New Roman"/>
          <w:szCs w:val="21"/>
        </w:rPr>
        <w:t>B.2.2 小麦植株组织中菌丝体DNA提取见A.2.2</w:t>
      </w:r>
    </w:p>
    <w:p>
      <w:pPr>
        <w:pStyle w:val="239"/>
        <w:numPr>
          <w:ilvl w:val="0"/>
          <w:numId w:val="0"/>
        </w:numPr>
        <w:wordWrap/>
        <w:spacing w:before="156" w:after="156"/>
        <w:rPr>
          <w:rFonts w:ascii="Times New Roman" w:eastAsia="宋体"/>
          <w:szCs w:val="21"/>
        </w:rPr>
      </w:pPr>
      <w:r>
        <w:rPr>
          <w:rFonts w:ascii="Times New Roman" w:eastAsia="宋体"/>
          <w:kern w:val="0"/>
          <w:szCs w:val="21"/>
        </w:rPr>
        <w:t xml:space="preserve">B.2.3 </w:t>
      </w:r>
      <w:r>
        <w:rPr>
          <w:rFonts w:ascii="Times New Roman" w:eastAsia="宋体"/>
          <w:szCs w:val="21"/>
        </w:rPr>
        <w:t>阴性对照和阳性对照DNA制备</w:t>
      </w:r>
    </w:p>
    <w:p>
      <w:pPr>
        <w:pStyle w:val="233"/>
        <w:rPr>
          <w:rFonts w:ascii="Times New Roman"/>
        </w:rPr>
      </w:pPr>
      <w:r>
        <w:rPr>
          <w:rFonts w:ascii="Times New Roman"/>
          <w:szCs w:val="21"/>
        </w:rPr>
        <w:t>见A.2.3</w:t>
      </w:r>
    </w:p>
    <w:p>
      <w:pPr>
        <w:pStyle w:val="239"/>
        <w:numPr>
          <w:ilvl w:val="0"/>
          <w:numId w:val="0"/>
        </w:numPr>
        <w:wordWrap/>
        <w:spacing w:before="156" w:after="156"/>
        <w:rPr>
          <w:rFonts w:ascii="Times New Roman" w:eastAsia="宋体"/>
          <w:szCs w:val="21"/>
        </w:rPr>
      </w:pPr>
      <w:r>
        <w:rPr>
          <w:rFonts w:ascii="Times New Roman" w:eastAsia="宋体"/>
          <w:kern w:val="0"/>
          <w:szCs w:val="21"/>
        </w:rPr>
        <w:t xml:space="preserve">B.2.4 </w:t>
      </w:r>
      <w:r>
        <w:rPr>
          <w:rFonts w:ascii="Times New Roman" w:eastAsia="宋体"/>
          <w:szCs w:val="21"/>
        </w:rPr>
        <w:t>模板DNA保存</w:t>
      </w:r>
    </w:p>
    <w:p>
      <w:pPr>
        <w:pStyle w:val="233"/>
        <w:rPr>
          <w:rFonts w:ascii="Times New Roman"/>
        </w:rPr>
      </w:pPr>
      <w:r>
        <w:rPr>
          <w:rFonts w:ascii="Times New Roman"/>
          <w:szCs w:val="21"/>
        </w:rPr>
        <w:t>见A.2.4</w:t>
      </w:r>
    </w:p>
    <w:p>
      <w:pPr>
        <w:pStyle w:val="240"/>
        <w:wordWrap/>
        <w:spacing w:before="312" w:after="312"/>
        <w:rPr>
          <w:rFonts w:ascii="Times New Roman" w:eastAsia="宋体"/>
          <w:szCs w:val="21"/>
        </w:rPr>
      </w:pPr>
      <w:r>
        <w:rPr>
          <w:rFonts w:ascii="Times New Roman" w:eastAsia="宋体"/>
          <w:szCs w:val="21"/>
        </w:rPr>
        <w:t>检测方法</w:t>
      </w:r>
    </w:p>
    <w:p>
      <w:pPr>
        <w:pStyle w:val="239"/>
        <w:tabs>
          <w:tab w:val="clear" w:pos="360"/>
        </w:tabs>
        <w:wordWrap/>
        <w:spacing w:before="0" w:beforeLines="0" w:after="0" w:afterLines="0"/>
        <w:rPr>
          <w:rFonts w:ascii="Times New Roman" w:eastAsia="宋体"/>
          <w:szCs w:val="21"/>
        </w:rPr>
      </w:pPr>
      <w:r>
        <w:rPr>
          <w:rFonts w:ascii="Times New Roman" w:eastAsia="宋体"/>
          <w:szCs w:val="21"/>
        </w:rPr>
        <w:t>引物序列</w:t>
      </w:r>
    </w:p>
    <w:p>
      <w:pPr>
        <w:pStyle w:val="236"/>
        <w:numPr>
          <w:ilvl w:val="0"/>
          <w:numId w:val="0"/>
        </w:numPr>
        <w:tabs>
          <w:tab w:val="left" w:pos="1140"/>
        </w:tabs>
        <w:wordWrap w:val="0"/>
        <w:ind w:firstLine="420" w:firstLineChars="200"/>
        <w:jc w:val="left"/>
        <w:rPr>
          <w:rFonts w:ascii="Times New Roman"/>
          <w:szCs w:val="21"/>
        </w:rPr>
      </w:pPr>
      <w:r>
        <w:rPr>
          <w:rFonts w:ascii="Times New Roman"/>
          <w:szCs w:val="21"/>
        </w:rPr>
        <w:t>用无菌超纯水配置引物浓度为10 μM，引物序列为：</w:t>
      </w:r>
      <w:r>
        <w:rPr>
          <w:rFonts w:hint="eastAsia" w:ascii="Times New Roman"/>
          <w:szCs w:val="21"/>
        </w:rPr>
        <w:t>QErc</w:t>
      </w:r>
      <w:r>
        <w:rPr>
          <w:rFonts w:ascii="Times New Roman"/>
          <w:szCs w:val="21"/>
        </w:rPr>
        <w:t>F：5’</w:t>
      </w:r>
      <w:r>
        <w:rPr>
          <w:rFonts w:hint="eastAsia" w:ascii="Times New Roman"/>
          <w:szCs w:val="21"/>
        </w:rPr>
        <w:t>-</w:t>
      </w:r>
      <w:r>
        <w:rPr>
          <w:rFonts w:ascii="Times New Roman"/>
          <w:szCs w:val="21"/>
        </w:rPr>
        <w:t>GCTTTCTGTTGTTTGCTGTTGA</w:t>
      </w:r>
      <w:r>
        <w:rPr>
          <w:rFonts w:hint="eastAsia" w:ascii="Times New Roman"/>
          <w:szCs w:val="21"/>
        </w:rPr>
        <w:t>-</w:t>
      </w:r>
      <w:r>
        <w:rPr>
          <w:rFonts w:ascii="Times New Roman"/>
          <w:szCs w:val="21"/>
        </w:rPr>
        <w:t>3’/</w:t>
      </w:r>
      <w:r>
        <w:rPr>
          <w:rFonts w:hint="eastAsia" w:ascii="Times New Roman"/>
          <w:szCs w:val="21"/>
        </w:rPr>
        <w:t>QErc</w:t>
      </w:r>
      <w:r>
        <w:rPr>
          <w:rFonts w:ascii="Times New Roman"/>
          <w:szCs w:val="21"/>
        </w:rPr>
        <w:t>R：5’</w:t>
      </w:r>
      <w:r>
        <w:rPr>
          <w:rFonts w:hint="eastAsia" w:ascii="Times New Roman"/>
          <w:szCs w:val="21"/>
        </w:rPr>
        <w:t>-</w:t>
      </w:r>
      <w:r>
        <w:rPr>
          <w:rFonts w:ascii="Times New Roman"/>
          <w:szCs w:val="21"/>
        </w:rPr>
        <w:t>ATCGGCTGGCTGATGTCTATA</w:t>
      </w:r>
      <w:r>
        <w:rPr>
          <w:rFonts w:hint="eastAsia" w:ascii="Times New Roman"/>
          <w:szCs w:val="21"/>
        </w:rPr>
        <w:t>-</w:t>
      </w:r>
      <w:r>
        <w:rPr>
          <w:rFonts w:ascii="Times New Roman"/>
          <w:szCs w:val="21"/>
        </w:rPr>
        <w:t>3’。</w:t>
      </w:r>
    </w:p>
    <w:p>
      <w:pPr>
        <w:pStyle w:val="239"/>
        <w:wordWrap/>
        <w:spacing w:before="156" w:after="156"/>
        <w:rPr>
          <w:rFonts w:ascii="Times New Roman" w:eastAsia="宋体"/>
          <w:szCs w:val="21"/>
        </w:rPr>
      </w:pPr>
      <w:r>
        <w:rPr>
          <w:rFonts w:ascii="Times New Roman" w:eastAsia="宋体"/>
          <w:szCs w:val="21"/>
        </w:rPr>
        <w:t>反应体系</w:t>
      </w:r>
    </w:p>
    <w:p>
      <w:pPr>
        <w:pStyle w:val="236"/>
        <w:numPr>
          <w:ilvl w:val="0"/>
          <w:numId w:val="0"/>
        </w:numPr>
        <w:tabs>
          <w:tab w:val="left" w:pos="1140"/>
        </w:tabs>
        <w:ind w:firstLine="420" w:firstLineChars="200"/>
        <w:rPr>
          <w:rFonts w:ascii="Times New Roman"/>
          <w:szCs w:val="21"/>
        </w:rPr>
      </w:pPr>
      <w:r>
        <w:rPr>
          <w:rFonts w:ascii="Times New Roman"/>
          <w:szCs w:val="21"/>
        </w:rPr>
        <w:t>qRT-PCR反应体系为2</w:t>
      </w:r>
      <w:r>
        <w:rPr>
          <w:rFonts w:hint="eastAsia" w:ascii="Times New Roman"/>
          <w:szCs w:val="21"/>
        </w:rPr>
        <w:t>0</w:t>
      </w:r>
      <w:r>
        <w:rPr>
          <w:rFonts w:ascii="Times New Roman"/>
          <w:szCs w:val="21"/>
        </w:rPr>
        <w:t xml:space="preserve"> μL，包含</w:t>
      </w:r>
      <w:r>
        <w:rPr>
          <w:rFonts w:ascii="Times New Roman"/>
        </w:rPr>
        <w:t xml:space="preserve">2 ˟ </w:t>
      </w:r>
      <w:r>
        <w:rPr>
          <w:rFonts w:ascii="Times New Roman"/>
          <w:szCs w:val="21"/>
        </w:rPr>
        <w:t>TransStart Top Green qPCR SuperMix</w:t>
      </w:r>
      <w:r>
        <w:rPr>
          <w:rFonts w:hint="eastAsia" w:ascii="Times New Roman"/>
          <w:szCs w:val="21"/>
        </w:rPr>
        <w:t>（</w:t>
      </w:r>
      <w:r>
        <w:rPr>
          <w:rFonts w:ascii="Times New Roman"/>
          <w:szCs w:val="21"/>
        </w:rPr>
        <w:t>+DyeⅠ/+DyeⅡ</w:t>
      </w:r>
      <w:r>
        <w:rPr>
          <w:rFonts w:hint="eastAsia" w:ascii="Times New Roman"/>
          <w:szCs w:val="21"/>
        </w:rPr>
        <w:t>）</w:t>
      </w:r>
      <w:r>
        <w:rPr>
          <w:rFonts w:ascii="Times New Roman"/>
          <w:szCs w:val="21"/>
        </w:rPr>
        <w:t xml:space="preserve"> </w:t>
      </w:r>
      <w:r>
        <w:rPr>
          <w:rFonts w:ascii="Times New Roman"/>
          <w:kern w:val="21"/>
          <w:szCs w:val="21"/>
        </w:rPr>
        <w:t>1</w:t>
      </w:r>
      <w:r>
        <w:rPr>
          <w:rFonts w:hint="eastAsia" w:ascii="Times New Roman"/>
          <w:kern w:val="21"/>
          <w:szCs w:val="21"/>
        </w:rPr>
        <w:t>0</w:t>
      </w:r>
      <w:r>
        <w:rPr>
          <w:rFonts w:ascii="Times New Roman"/>
          <w:kern w:val="21"/>
          <w:szCs w:val="21"/>
        </w:rPr>
        <w:t xml:space="preserve"> </w:t>
      </w:r>
      <w:r>
        <w:rPr>
          <w:rFonts w:ascii="Times New Roman"/>
          <w:szCs w:val="21"/>
        </w:rPr>
        <w:t>μ</w:t>
      </w:r>
      <w:r>
        <w:rPr>
          <w:rFonts w:ascii="Times New Roman"/>
          <w:kern w:val="21"/>
          <w:szCs w:val="21"/>
        </w:rPr>
        <w:t>L</w:t>
      </w:r>
      <w:r>
        <w:rPr>
          <w:rFonts w:ascii="Times New Roman"/>
          <w:szCs w:val="21"/>
        </w:rPr>
        <w:t>，正反引物及探针各</w:t>
      </w:r>
      <w:r>
        <w:rPr>
          <w:rFonts w:hint="eastAsia" w:ascii="Times New Roman"/>
          <w:szCs w:val="21"/>
        </w:rPr>
        <w:t xml:space="preserve">0.4 </w:t>
      </w:r>
      <w:r>
        <w:rPr>
          <w:rFonts w:ascii="Times New Roman"/>
          <w:szCs w:val="21"/>
        </w:rPr>
        <w:t>μ</w:t>
      </w:r>
      <w:r>
        <w:rPr>
          <w:rFonts w:ascii="Times New Roman"/>
          <w:kern w:val="21"/>
          <w:szCs w:val="21"/>
        </w:rPr>
        <w:t>L（</w:t>
      </w:r>
      <w:r>
        <w:rPr>
          <w:rFonts w:ascii="Times New Roman"/>
          <w:szCs w:val="21"/>
        </w:rPr>
        <w:t>引物浓度为10 μL），模板DNA 1 μ</w:t>
      </w:r>
      <w:r>
        <w:rPr>
          <w:rFonts w:ascii="Times New Roman"/>
          <w:kern w:val="21"/>
          <w:szCs w:val="21"/>
        </w:rPr>
        <w:t>L</w:t>
      </w:r>
      <w:r>
        <w:rPr>
          <w:rFonts w:ascii="Times New Roman"/>
          <w:szCs w:val="21"/>
        </w:rPr>
        <w:t>及nuclease-free water 8.</w:t>
      </w:r>
      <w:r>
        <w:rPr>
          <w:rFonts w:hint="eastAsia" w:ascii="Times New Roman"/>
          <w:szCs w:val="21"/>
        </w:rPr>
        <w:t>2</w:t>
      </w:r>
      <w:r>
        <w:rPr>
          <w:rFonts w:ascii="Times New Roman"/>
          <w:szCs w:val="21"/>
        </w:rPr>
        <w:t xml:space="preserve"> μ</w:t>
      </w:r>
      <w:r>
        <w:rPr>
          <w:rFonts w:ascii="Times New Roman"/>
          <w:kern w:val="21"/>
          <w:szCs w:val="21"/>
        </w:rPr>
        <w:t>L</w:t>
      </w:r>
      <w:r>
        <w:rPr>
          <w:rFonts w:ascii="Times New Roman"/>
          <w:szCs w:val="21"/>
        </w:rPr>
        <w:t>。同时设置阳性对照与阴性对照。</w:t>
      </w:r>
      <w:r>
        <w:rPr>
          <w:rFonts w:ascii="Times New Roman"/>
          <w:kern w:val="21"/>
          <w:szCs w:val="21"/>
        </w:rPr>
        <w:t>加样完成后，3000g/min 瞬时离心。</w:t>
      </w:r>
    </w:p>
    <w:p>
      <w:pPr>
        <w:pStyle w:val="239"/>
        <w:wordWrap/>
        <w:spacing w:before="156" w:after="156"/>
        <w:rPr>
          <w:rFonts w:ascii="Times New Roman" w:eastAsia="宋体"/>
          <w:szCs w:val="21"/>
        </w:rPr>
      </w:pPr>
      <w:r>
        <w:rPr>
          <w:rFonts w:ascii="Times New Roman" w:eastAsia="宋体"/>
          <w:szCs w:val="21"/>
        </w:rPr>
        <w:t>扩增程序</w:t>
      </w:r>
    </w:p>
    <w:p>
      <w:pPr>
        <w:pStyle w:val="236"/>
        <w:numPr>
          <w:ilvl w:val="0"/>
          <w:numId w:val="0"/>
        </w:numPr>
        <w:tabs>
          <w:tab w:val="left" w:pos="1140"/>
        </w:tabs>
        <w:ind w:firstLine="420" w:firstLineChars="200"/>
        <w:rPr>
          <w:rFonts w:ascii="Times New Roman"/>
          <w:szCs w:val="21"/>
        </w:rPr>
      </w:pPr>
      <w:r>
        <w:rPr>
          <w:rFonts w:ascii="Times New Roman"/>
          <w:szCs w:val="21"/>
        </w:rPr>
        <w:t>qRT-PCR扩增程序为：9</w:t>
      </w:r>
      <w:r>
        <w:rPr>
          <w:rFonts w:hint="eastAsia" w:ascii="Times New Roman"/>
          <w:szCs w:val="21"/>
        </w:rPr>
        <w:t>4</w:t>
      </w:r>
      <w:r>
        <w:rPr>
          <w:rFonts w:ascii="Times New Roman"/>
          <w:szCs w:val="21"/>
        </w:rPr>
        <w:t xml:space="preserve"> ℃ </w:t>
      </w:r>
      <w:r>
        <w:rPr>
          <w:rFonts w:hint="eastAsia" w:ascii="Times New Roman"/>
          <w:szCs w:val="21"/>
        </w:rPr>
        <w:t>30 s</w:t>
      </w:r>
      <w:r>
        <w:rPr>
          <w:rFonts w:ascii="Times New Roman"/>
          <w:szCs w:val="21"/>
        </w:rPr>
        <w:t>；9</w:t>
      </w:r>
      <w:r>
        <w:rPr>
          <w:rFonts w:hint="eastAsia" w:ascii="Times New Roman"/>
          <w:szCs w:val="21"/>
        </w:rPr>
        <w:t>4</w:t>
      </w:r>
      <w:r>
        <w:rPr>
          <w:rFonts w:ascii="Times New Roman"/>
          <w:szCs w:val="21"/>
        </w:rPr>
        <w:t xml:space="preserve"> ℃ 5 s，60 ℃ </w:t>
      </w:r>
      <w:r>
        <w:rPr>
          <w:rFonts w:hint="eastAsia" w:ascii="Times New Roman"/>
          <w:szCs w:val="21"/>
        </w:rPr>
        <w:t>3</w:t>
      </w:r>
      <w:r>
        <w:rPr>
          <w:rFonts w:ascii="Times New Roman"/>
          <w:szCs w:val="21"/>
        </w:rPr>
        <w:t>0 s，共4</w:t>
      </w:r>
      <w:r>
        <w:rPr>
          <w:rFonts w:hint="eastAsia" w:ascii="Times New Roman"/>
          <w:szCs w:val="21"/>
        </w:rPr>
        <w:t>5</w:t>
      </w:r>
      <w:r>
        <w:rPr>
          <w:rFonts w:ascii="Times New Roman"/>
          <w:szCs w:val="21"/>
        </w:rPr>
        <w:t>个循环。在每个循环的60℃延伸阶段采集荧光10 s: 72 ℃, 7 min。不同qRT-PCR仪扩增程序参数可能稍有变化。</w:t>
      </w:r>
    </w:p>
    <w:p>
      <w:pPr>
        <w:pStyle w:val="236"/>
        <w:numPr>
          <w:ilvl w:val="0"/>
          <w:numId w:val="0"/>
        </w:numPr>
        <w:tabs>
          <w:tab w:val="left" w:pos="1140"/>
        </w:tabs>
        <w:ind w:firstLine="420" w:firstLineChars="200"/>
        <w:rPr>
          <w:rFonts w:ascii="Times New Roman"/>
          <w:szCs w:val="21"/>
        </w:rPr>
      </w:pPr>
    </w:p>
    <w:p>
      <w:pPr>
        <w:pStyle w:val="236"/>
        <w:numPr>
          <w:ilvl w:val="0"/>
          <w:numId w:val="0"/>
        </w:numPr>
        <w:tabs>
          <w:tab w:val="left" w:pos="1140"/>
        </w:tabs>
        <w:ind w:firstLine="420" w:firstLineChars="200"/>
        <w:rPr>
          <w:rFonts w:ascii="Times New Roman"/>
          <w:szCs w:val="21"/>
        </w:rPr>
      </w:pPr>
    </w:p>
    <w:p>
      <w:pPr>
        <w:pStyle w:val="236"/>
        <w:numPr>
          <w:ilvl w:val="0"/>
          <w:numId w:val="0"/>
        </w:numPr>
        <w:tabs>
          <w:tab w:val="left" w:pos="1140"/>
        </w:tabs>
        <w:ind w:firstLine="420" w:firstLineChars="200"/>
        <w:rPr>
          <w:rFonts w:ascii="Times New Roman"/>
          <w:szCs w:val="21"/>
        </w:rPr>
      </w:pPr>
    </w:p>
    <w:p>
      <w:pPr>
        <w:pStyle w:val="236"/>
        <w:numPr>
          <w:ilvl w:val="0"/>
          <w:numId w:val="0"/>
        </w:numPr>
        <w:tabs>
          <w:tab w:val="left" w:pos="1140"/>
        </w:tabs>
        <w:ind w:firstLine="420" w:firstLineChars="200"/>
        <w:rPr>
          <w:rFonts w:ascii="Times New Roman"/>
          <w:szCs w:val="21"/>
        </w:rPr>
      </w:pPr>
    </w:p>
    <w:p>
      <w:pPr>
        <w:pStyle w:val="236"/>
        <w:numPr>
          <w:ilvl w:val="0"/>
          <w:numId w:val="0"/>
        </w:numPr>
        <w:tabs>
          <w:tab w:val="left" w:pos="1140"/>
        </w:tabs>
        <w:ind w:firstLine="420" w:firstLineChars="200"/>
        <w:rPr>
          <w:rFonts w:ascii="Times New Roman"/>
          <w:szCs w:val="21"/>
        </w:rPr>
      </w:pPr>
    </w:p>
    <w:p>
      <w:pPr>
        <w:pStyle w:val="236"/>
        <w:numPr>
          <w:ilvl w:val="0"/>
          <w:numId w:val="0"/>
        </w:numPr>
        <w:tabs>
          <w:tab w:val="left" w:pos="1140"/>
        </w:tabs>
        <w:ind w:firstLine="420" w:firstLineChars="200"/>
        <w:rPr>
          <w:rFonts w:ascii="Times New Roman"/>
          <w:szCs w:val="21"/>
        </w:rPr>
      </w:pPr>
    </w:p>
    <w:p>
      <w:pPr>
        <w:pStyle w:val="236"/>
        <w:numPr>
          <w:ilvl w:val="0"/>
          <w:numId w:val="0"/>
        </w:numPr>
        <w:tabs>
          <w:tab w:val="left" w:pos="1140"/>
        </w:tabs>
        <w:ind w:firstLine="420" w:firstLineChars="200"/>
        <w:rPr>
          <w:rFonts w:ascii="Times New Roman"/>
          <w:szCs w:val="21"/>
        </w:rPr>
      </w:pPr>
    </w:p>
    <w:p>
      <w:pPr>
        <w:pStyle w:val="236"/>
        <w:numPr>
          <w:ilvl w:val="0"/>
          <w:numId w:val="0"/>
        </w:numPr>
        <w:tabs>
          <w:tab w:val="left" w:pos="1140"/>
        </w:tabs>
        <w:ind w:firstLine="420" w:firstLineChars="200"/>
        <w:rPr>
          <w:rFonts w:ascii="Times New Roman"/>
          <w:szCs w:val="21"/>
        </w:rPr>
      </w:pPr>
    </w:p>
    <w:p>
      <w:pPr>
        <w:pStyle w:val="236"/>
        <w:numPr>
          <w:ilvl w:val="0"/>
          <w:numId w:val="0"/>
        </w:numPr>
        <w:tabs>
          <w:tab w:val="left" w:pos="1140"/>
        </w:tabs>
        <w:ind w:firstLine="420" w:firstLineChars="200"/>
        <w:rPr>
          <w:rFonts w:ascii="Times New Roman"/>
          <w:szCs w:val="21"/>
        </w:rPr>
      </w:pPr>
    </w:p>
    <w:p>
      <w:pPr>
        <w:pStyle w:val="236"/>
        <w:numPr>
          <w:ilvl w:val="0"/>
          <w:numId w:val="0"/>
        </w:numPr>
        <w:tabs>
          <w:tab w:val="left" w:pos="1140"/>
        </w:tabs>
        <w:ind w:firstLine="420" w:firstLineChars="200"/>
        <w:rPr>
          <w:rFonts w:ascii="Times New Roman"/>
          <w:szCs w:val="21"/>
        </w:rPr>
      </w:pPr>
    </w:p>
    <w:p>
      <w:pPr>
        <w:pStyle w:val="236"/>
        <w:numPr>
          <w:ilvl w:val="0"/>
          <w:numId w:val="0"/>
        </w:numPr>
        <w:tabs>
          <w:tab w:val="left" w:pos="1140"/>
        </w:tabs>
        <w:ind w:firstLine="420" w:firstLineChars="200"/>
        <w:rPr>
          <w:rFonts w:ascii="Times New Roman"/>
          <w:szCs w:val="21"/>
        </w:rPr>
      </w:pPr>
    </w:p>
    <w:p>
      <w:pPr>
        <w:pStyle w:val="236"/>
        <w:numPr>
          <w:ilvl w:val="0"/>
          <w:numId w:val="0"/>
        </w:numPr>
        <w:tabs>
          <w:tab w:val="left" w:pos="1140"/>
        </w:tabs>
        <w:ind w:firstLine="420" w:firstLineChars="200"/>
        <w:rPr>
          <w:rFonts w:ascii="Times New Roman"/>
          <w:szCs w:val="21"/>
        </w:rPr>
      </w:pPr>
    </w:p>
    <w:p>
      <w:pPr>
        <w:pStyle w:val="236"/>
        <w:numPr>
          <w:ilvl w:val="0"/>
          <w:numId w:val="0"/>
        </w:numPr>
        <w:tabs>
          <w:tab w:val="left" w:pos="1140"/>
        </w:tabs>
        <w:ind w:firstLine="420" w:firstLineChars="200"/>
        <w:rPr>
          <w:rFonts w:ascii="Times New Roman"/>
          <w:szCs w:val="21"/>
        </w:rPr>
      </w:pPr>
    </w:p>
    <w:p>
      <w:pPr>
        <w:pStyle w:val="236"/>
        <w:numPr>
          <w:ilvl w:val="0"/>
          <w:numId w:val="0"/>
        </w:numPr>
        <w:tabs>
          <w:tab w:val="left" w:pos="1140"/>
        </w:tabs>
        <w:ind w:firstLine="420" w:firstLineChars="200"/>
        <w:rPr>
          <w:rFonts w:ascii="Times New Roman"/>
          <w:szCs w:val="21"/>
        </w:rPr>
      </w:pPr>
    </w:p>
    <w:p>
      <w:pPr>
        <w:pStyle w:val="236"/>
        <w:numPr>
          <w:ilvl w:val="0"/>
          <w:numId w:val="0"/>
        </w:numPr>
        <w:tabs>
          <w:tab w:val="left" w:pos="1140"/>
        </w:tabs>
        <w:ind w:firstLine="420" w:firstLineChars="200"/>
        <w:rPr>
          <w:rFonts w:ascii="Times New Roman"/>
          <w:szCs w:val="21"/>
        </w:rPr>
      </w:pPr>
    </w:p>
    <w:p>
      <w:pPr>
        <w:pStyle w:val="236"/>
        <w:numPr>
          <w:ilvl w:val="0"/>
          <w:numId w:val="0"/>
        </w:numPr>
        <w:tabs>
          <w:tab w:val="left" w:pos="1140"/>
        </w:tabs>
        <w:ind w:firstLine="420" w:firstLineChars="200"/>
        <w:rPr>
          <w:rFonts w:ascii="Times New Roman"/>
          <w:szCs w:val="21"/>
        </w:rPr>
      </w:pPr>
    </w:p>
    <w:p>
      <w:pPr>
        <w:pStyle w:val="236"/>
        <w:numPr>
          <w:ilvl w:val="0"/>
          <w:numId w:val="0"/>
        </w:numPr>
        <w:tabs>
          <w:tab w:val="left" w:pos="1140"/>
        </w:tabs>
        <w:ind w:firstLine="420" w:firstLineChars="200"/>
        <w:rPr>
          <w:rFonts w:ascii="Times New Roman"/>
          <w:szCs w:val="21"/>
        </w:rPr>
      </w:pPr>
    </w:p>
    <w:p>
      <w:pPr>
        <w:pStyle w:val="236"/>
        <w:numPr>
          <w:ilvl w:val="0"/>
          <w:numId w:val="0"/>
        </w:numPr>
        <w:tabs>
          <w:tab w:val="left" w:pos="1140"/>
        </w:tabs>
        <w:ind w:firstLine="420" w:firstLineChars="200"/>
        <w:rPr>
          <w:rFonts w:ascii="Times New Roman"/>
          <w:szCs w:val="21"/>
        </w:rPr>
      </w:pPr>
    </w:p>
    <w:p>
      <w:pPr>
        <w:pStyle w:val="236"/>
        <w:numPr>
          <w:ilvl w:val="0"/>
          <w:numId w:val="0"/>
        </w:numPr>
        <w:tabs>
          <w:tab w:val="left" w:pos="1140"/>
        </w:tabs>
        <w:ind w:firstLine="420" w:firstLineChars="200"/>
        <w:rPr>
          <w:rFonts w:ascii="Times New Roman"/>
          <w:szCs w:val="21"/>
        </w:rPr>
      </w:pPr>
    </w:p>
    <w:p>
      <w:pPr>
        <w:pStyle w:val="236"/>
        <w:numPr>
          <w:ilvl w:val="0"/>
          <w:numId w:val="0"/>
        </w:numPr>
        <w:tabs>
          <w:tab w:val="left" w:pos="1140"/>
        </w:tabs>
        <w:ind w:firstLine="420" w:firstLineChars="200"/>
        <w:rPr>
          <w:rFonts w:ascii="Times New Roman"/>
          <w:szCs w:val="21"/>
        </w:rPr>
      </w:pPr>
    </w:p>
    <w:p>
      <w:pPr>
        <w:pStyle w:val="236"/>
        <w:numPr>
          <w:ilvl w:val="0"/>
          <w:numId w:val="0"/>
        </w:numPr>
        <w:tabs>
          <w:tab w:val="left" w:pos="1140"/>
        </w:tabs>
        <w:ind w:firstLine="420" w:firstLineChars="200"/>
        <w:rPr>
          <w:rFonts w:ascii="Times New Roman"/>
          <w:szCs w:val="21"/>
        </w:rPr>
      </w:pPr>
    </w:p>
    <w:p>
      <w:pPr>
        <w:pStyle w:val="236"/>
        <w:numPr>
          <w:ilvl w:val="0"/>
          <w:numId w:val="0"/>
        </w:numPr>
        <w:tabs>
          <w:tab w:val="left" w:pos="1140"/>
        </w:tabs>
        <w:ind w:firstLine="420" w:firstLineChars="200"/>
        <w:rPr>
          <w:rFonts w:ascii="Times New Roman"/>
          <w:szCs w:val="21"/>
        </w:rPr>
      </w:pPr>
    </w:p>
    <w:p>
      <w:pPr>
        <w:pStyle w:val="236"/>
        <w:numPr>
          <w:ilvl w:val="0"/>
          <w:numId w:val="0"/>
        </w:numPr>
        <w:tabs>
          <w:tab w:val="left" w:pos="1140"/>
        </w:tabs>
        <w:ind w:firstLine="420" w:firstLineChars="200"/>
        <w:rPr>
          <w:rFonts w:ascii="Times New Roman"/>
          <w:szCs w:val="21"/>
        </w:rPr>
      </w:pPr>
    </w:p>
    <w:p>
      <w:pPr>
        <w:pStyle w:val="236"/>
        <w:numPr>
          <w:ilvl w:val="0"/>
          <w:numId w:val="0"/>
        </w:numPr>
        <w:tabs>
          <w:tab w:val="left" w:pos="1140"/>
        </w:tabs>
        <w:ind w:firstLine="420" w:firstLineChars="200"/>
        <w:rPr>
          <w:rFonts w:ascii="Times New Roman"/>
          <w:szCs w:val="21"/>
        </w:rPr>
      </w:pPr>
    </w:p>
    <w:p>
      <w:pPr>
        <w:pStyle w:val="238"/>
        <w:rPr>
          <w:rFonts w:hint="eastAsia" w:hAnsi="黑体"/>
          <w:szCs w:val="21"/>
        </w:rPr>
      </w:pPr>
      <w:r>
        <w:br w:type="textWrapping"/>
      </w:r>
      <w:r>
        <w:rPr>
          <w:rFonts w:hint="eastAsia"/>
        </w:rPr>
        <w:t>（</w:t>
      </w:r>
      <w:r>
        <w:rPr>
          <w:rFonts w:hint="eastAsia" w:hAnsi="黑体"/>
          <w:szCs w:val="21"/>
        </w:rPr>
        <w:t>推荐</w:t>
      </w:r>
      <w:r>
        <w:rPr>
          <w:rFonts w:hAnsi="黑体"/>
          <w:szCs w:val="21"/>
        </w:rPr>
        <w:t>性附录</w:t>
      </w:r>
      <w:r>
        <w:rPr>
          <w:rFonts w:hint="eastAsia"/>
        </w:rPr>
        <w:t>）</w:t>
      </w:r>
      <w:r>
        <w:br w:type="textWrapping"/>
      </w:r>
      <w:r>
        <w:rPr>
          <w:rFonts w:hint="eastAsia" w:hAnsi="黑体"/>
          <w:szCs w:val="21"/>
        </w:rPr>
        <w:t>参考文献</w:t>
      </w:r>
    </w:p>
    <w:p>
      <w:pPr>
        <w:pStyle w:val="236"/>
        <w:numPr>
          <w:ilvl w:val="0"/>
          <w:numId w:val="0"/>
        </w:numPr>
        <w:tabs>
          <w:tab w:val="left" w:pos="1140"/>
        </w:tabs>
        <w:ind w:firstLine="420" w:firstLineChars="200"/>
        <w:rPr>
          <w:rFonts w:hint="eastAsia"/>
        </w:rPr>
      </w:pPr>
      <w:r>
        <w:rPr>
          <w:rFonts w:ascii="Times New Roman"/>
          <w:highlight w:val="yellow"/>
        </w:rPr>
        <w:t>Ren ZY, Chen RZ, Muhae-Ud-Din G, Fang MK, Li TY, Yang YZ, Chen WQ, Gao L*. Development of real-time PCR and droplet digital PCR based marker for the detection of Tilletia caries inciting common bunt of wheat. Frontiers in Plant Science, 2022, 13, 1031611</w:t>
      </w:r>
    </w:p>
    <w:bookmarkEnd w:id="33"/>
    <w:p>
      <w:pPr>
        <w:pStyle w:val="200"/>
        <w:jc w:val="both"/>
        <w:rPr>
          <w:rFonts w:hint="eastAsia"/>
          <w:vanish w:val="0"/>
        </w:rPr>
      </w:pPr>
    </w:p>
    <w:sectPr>
      <w:pgSz w:w="11906" w:h="16838"/>
      <w:pgMar w:top="567"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fldChar w:fldCharType="begin"/>
    </w:r>
    <w:r>
      <w:instrText xml:space="preserve">PAGE   \* MERGEFORMAT</w:instrText>
    </w:r>
    <w:r>
      <w:fldChar w:fldCharType="separate"/>
    </w:r>
    <w:r>
      <w:rPr>
        <w:lang w:val="zh-CN"/>
      </w:rPr>
      <w:t>I</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rPr>
        <w:rFonts w:hint="eastAsia"/>
      </w:rPr>
    </w:pPr>
    <w:r>
      <w:fldChar w:fldCharType="begin"/>
    </w:r>
    <w:r>
      <w:instrText xml:space="preserve"> STYLEREF  标准文件_文件编号  \* MERGEFORMAT </w:instrText>
    </w:r>
    <w:r>
      <w:fldChar w:fldCharType="separate"/>
    </w:r>
    <w:r>
      <w:rPr>
        <w:rFonts w:hint="eastAsia"/>
      </w:rPr>
      <w:t>DB 65/T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lang w:val="fr-FR"/>
      </w:rPr>
    </w:pPr>
    <w:r>
      <w:fldChar w:fldCharType="begin"/>
    </w:r>
    <w:r>
      <w:instrText xml:space="preserve"> STYLEREF  标准文件_文件编号  \* MERGEFORMAT </w:instrText>
    </w:r>
    <w:r>
      <w:fldChar w:fldCharType="separate"/>
    </w:r>
    <w:r>
      <w:t>DB 65/T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4"/>
      <w:suff w:val="nothing"/>
      <w:lvlText w:val="%1.%2　"/>
      <w:lvlJc w:val="left"/>
      <w:pPr>
        <w:ind w:left="283"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237"/>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2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238"/>
      <w:suff w:val="nothing"/>
      <w:lvlText w:val="附录%1"/>
      <w:lvlJc w:val="left"/>
      <w:pPr>
        <w:ind w:left="0" w:firstLine="0"/>
      </w:pPr>
      <w:rPr>
        <w:rFonts w:hint="eastAsia"/>
        <w:spacing w:val="100"/>
      </w:rPr>
    </w:lvl>
    <w:lvl w:ilvl="1" w:tentative="0">
      <w:start w:val="1"/>
      <w:numFmt w:val="decimal"/>
      <w:pStyle w:val="240"/>
      <w:suff w:val="nothing"/>
      <w:lvlText w:val="%1.%2　"/>
      <w:lvlJc w:val="left"/>
      <w:pPr>
        <w:ind w:left="0" w:firstLine="0"/>
      </w:pPr>
      <w:rPr>
        <w:rFonts w:hint="default" w:ascii="黑体" w:hAnsi="黑体" w:eastAsia="黑体" w:cs="黑体"/>
        <w:b w:val="0"/>
        <w:i w:val="0"/>
        <w:sz w:val="21"/>
      </w:rPr>
    </w:lvl>
    <w:lvl w:ilvl="2" w:tentative="0">
      <w:start w:val="1"/>
      <w:numFmt w:val="decimal"/>
      <w:pStyle w:val="239"/>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19"/>
  </w:num>
  <w:num w:numId="5">
    <w:abstractNumId w:val="24"/>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31"/>
  </w:num>
  <w:num w:numId="22">
    <w:abstractNumId w:val="21"/>
  </w:num>
  <w:num w:numId="23">
    <w:abstractNumId w:val="6"/>
  </w:num>
  <w:num w:numId="24">
    <w:abstractNumId w:val="11"/>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MyNGM3ODg2NDViMDllYWVmMGY2NGJmZmJmZmZiNzYifQ=="/>
  </w:docVars>
  <w:rsids>
    <w:rsidRoot w:val="006F5D7C"/>
    <w:rsid w:val="0000040A"/>
    <w:rsid w:val="00000A94"/>
    <w:rsid w:val="00001972"/>
    <w:rsid w:val="00001D9A"/>
    <w:rsid w:val="0000423B"/>
    <w:rsid w:val="00007B3A"/>
    <w:rsid w:val="000107E0"/>
    <w:rsid w:val="00011FDE"/>
    <w:rsid w:val="00012FFD"/>
    <w:rsid w:val="00014162"/>
    <w:rsid w:val="00014340"/>
    <w:rsid w:val="00016A9C"/>
    <w:rsid w:val="00022184"/>
    <w:rsid w:val="00022762"/>
    <w:rsid w:val="000238E0"/>
    <w:rsid w:val="000249DB"/>
    <w:rsid w:val="0002569B"/>
    <w:rsid w:val="0002595E"/>
    <w:rsid w:val="000303C3"/>
    <w:rsid w:val="000331D3"/>
    <w:rsid w:val="000346A5"/>
    <w:rsid w:val="000359C3"/>
    <w:rsid w:val="00035A7D"/>
    <w:rsid w:val="000365ED"/>
    <w:rsid w:val="0004249A"/>
    <w:rsid w:val="00043282"/>
    <w:rsid w:val="00043E44"/>
    <w:rsid w:val="00044286"/>
    <w:rsid w:val="00047F28"/>
    <w:rsid w:val="000503AA"/>
    <w:rsid w:val="000506A1"/>
    <w:rsid w:val="000515DD"/>
    <w:rsid w:val="0005265A"/>
    <w:rsid w:val="000539DD"/>
    <w:rsid w:val="00053BD3"/>
    <w:rsid w:val="000556ED"/>
    <w:rsid w:val="00055FE2"/>
    <w:rsid w:val="0005616F"/>
    <w:rsid w:val="000609CF"/>
    <w:rsid w:val="00060C2E"/>
    <w:rsid w:val="00061033"/>
    <w:rsid w:val="000619E9"/>
    <w:rsid w:val="000622D4"/>
    <w:rsid w:val="0006357D"/>
    <w:rsid w:val="00065BA4"/>
    <w:rsid w:val="00067F1E"/>
    <w:rsid w:val="00071CC0"/>
    <w:rsid w:val="00073C8C"/>
    <w:rsid w:val="00074E62"/>
    <w:rsid w:val="00077B64"/>
    <w:rsid w:val="00080A1C"/>
    <w:rsid w:val="00082317"/>
    <w:rsid w:val="00083D2C"/>
    <w:rsid w:val="00086AA1"/>
    <w:rsid w:val="00087657"/>
    <w:rsid w:val="00087A77"/>
    <w:rsid w:val="00090CA6"/>
    <w:rsid w:val="00092B8A"/>
    <w:rsid w:val="00092FB0"/>
    <w:rsid w:val="000934C5"/>
    <w:rsid w:val="00093D25"/>
    <w:rsid w:val="00093DAB"/>
    <w:rsid w:val="00094D73"/>
    <w:rsid w:val="00096D63"/>
    <w:rsid w:val="000A0B60"/>
    <w:rsid w:val="000A0EB8"/>
    <w:rsid w:val="000A19FC"/>
    <w:rsid w:val="000A296B"/>
    <w:rsid w:val="000A6E7B"/>
    <w:rsid w:val="000A7311"/>
    <w:rsid w:val="000B02EE"/>
    <w:rsid w:val="000B060F"/>
    <w:rsid w:val="000B1592"/>
    <w:rsid w:val="000B1FF2"/>
    <w:rsid w:val="000B2908"/>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04FF"/>
    <w:rsid w:val="000E4C9E"/>
    <w:rsid w:val="000E6FD7"/>
    <w:rsid w:val="000E7C6B"/>
    <w:rsid w:val="000F06E1"/>
    <w:rsid w:val="000F0E3C"/>
    <w:rsid w:val="000F19D5"/>
    <w:rsid w:val="000F4AEA"/>
    <w:rsid w:val="000F633F"/>
    <w:rsid w:val="000F67E9"/>
    <w:rsid w:val="00104926"/>
    <w:rsid w:val="0010606E"/>
    <w:rsid w:val="00110CE8"/>
    <w:rsid w:val="00113B1E"/>
    <w:rsid w:val="0011711C"/>
    <w:rsid w:val="0012059C"/>
    <w:rsid w:val="00124E4F"/>
    <w:rsid w:val="001260B7"/>
    <w:rsid w:val="001265CB"/>
    <w:rsid w:val="00131944"/>
    <w:rsid w:val="001321C6"/>
    <w:rsid w:val="001325C4"/>
    <w:rsid w:val="00133010"/>
    <w:rsid w:val="001338EE"/>
    <w:rsid w:val="00133AAE"/>
    <w:rsid w:val="00135323"/>
    <w:rsid w:val="001356C4"/>
    <w:rsid w:val="001356F6"/>
    <w:rsid w:val="00141114"/>
    <w:rsid w:val="00141341"/>
    <w:rsid w:val="00142969"/>
    <w:rsid w:val="00143DC8"/>
    <w:rsid w:val="001446C2"/>
    <w:rsid w:val="001457E7"/>
    <w:rsid w:val="00145D9D"/>
    <w:rsid w:val="00146388"/>
    <w:rsid w:val="001529E5"/>
    <w:rsid w:val="00152FFC"/>
    <w:rsid w:val="00153C7E"/>
    <w:rsid w:val="00156B25"/>
    <w:rsid w:val="00156E1A"/>
    <w:rsid w:val="00157894"/>
    <w:rsid w:val="00157B55"/>
    <w:rsid w:val="001602FF"/>
    <w:rsid w:val="001642FA"/>
    <w:rsid w:val="001649EB"/>
    <w:rsid w:val="00164BAF"/>
    <w:rsid w:val="00164FA8"/>
    <w:rsid w:val="00165065"/>
    <w:rsid w:val="00165434"/>
    <w:rsid w:val="0016580B"/>
    <w:rsid w:val="00165F49"/>
    <w:rsid w:val="00166B88"/>
    <w:rsid w:val="0016770A"/>
    <w:rsid w:val="00170142"/>
    <w:rsid w:val="00170804"/>
    <w:rsid w:val="001708E9"/>
    <w:rsid w:val="0017340B"/>
    <w:rsid w:val="00173FB1"/>
    <w:rsid w:val="00174959"/>
    <w:rsid w:val="00176DFD"/>
    <w:rsid w:val="00183007"/>
    <w:rsid w:val="001852C9"/>
    <w:rsid w:val="0018779C"/>
    <w:rsid w:val="00190087"/>
    <w:rsid w:val="001913C4"/>
    <w:rsid w:val="0019348F"/>
    <w:rsid w:val="00193A07"/>
    <w:rsid w:val="00194A55"/>
    <w:rsid w:val="00194C95"/>
    <w:rsid w:val="0019534C"/>
    <w:rsid w:val="00195C34"/>
    <w:rsid w:val="00196EF5"/>
    <w:rsid w:val="001A1A53"/>
    <w:rsid w:val="001A234A"/>
    <w:rsid w:val="001A4CF3"/>
    <w:rsid w:val="001B06E8"/>
    <w:rsid w:val="001B71D0"/>
    <w:rsid w:val="001B71EE"/>
    <w:rsid w:val="001C04A8"/>
    <w:rsid w:val="001C2C03"/>
    <w:rsid w:val="001C344E"/>
    <w:rsid w:val="001C42F7"/>
    <w:rsid w:val="001C49E5"/>
    <w:rsid w:val="001C538D"/>
    <w:rsid w:val="001C680C"/>
    <w:rsid w:val="001C7FEA"/>
    <w:rsid w:val="001D0499"/>
    <w:rsid w:val="001D0A20"/>
    <w:rsid w:val="001D0BBE"/>
    <w:rsid w:val="001D0ED4"/>
    <w:rsid w:val="001D212F"/>
    <w:rsid w:val="001D29D7"/>
    <w:rsid w:val="001D2DE7"/>
    <w:rsid w:val="001D411C"/>
    <w:rsid w:val="001E1796"/>
    <w:rsid w:val="001E1B6A"/>
    <w:rsid w:val="001E2484"/>
    <w:rsid w:val="001E2D18"/>
    <w:rsid w:val="001E3CC4"/>
    <w:rsid w:val="001E4882"/>
    <w:rsid w:val="001E73AB"/>
    <w:rsid w:val="001F092D"/>
    <w:rsid w:val="001F143A"/>
    <w:rsid w:val="001F1605"/>
    <w:rsid w:val="001F2508"/>
    <w:rsid w:val="001F4816"/>
    <w:rsid w:val="001F4EE9"/>
    <w:rsid w:val="001F5471"/>
    <w:rsid w:val="001F69B4"/>
    <w:rsid w:val="001F77C7"/>
    <w:rsid w:val="00200183"/>
    <w:rsid w:val="00200333"/>
    <w:rsid w:val="0020107D"/>
    <w:rsid w:val="00202AA4"/>
    <w:rsid w:val="002031F7"/>
    <w:rsid w:val="002040E6"/>
    <w:rsid w:val="0020527B"/>
    <w:rsid w:val="00205F2C"/>
    <w:rsid w:val="0021005B"/>
    <w:rsid w:val="00210B15"/>
    <w:rsid w:val="002142EA"/>
    <w:rsid w:val="00217204"/>
    <w:rsid w:val="002204BB"/>
    <w:rsid w:val="00220C51"/>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279"/>
    <w:rsid w:val="002515C2"/>
    <w:rsid w:val="0025194F"/>
    <w:rsid w:val="00255AED"/>
    <w:rsid w:val="00260BEF"/>
    <w:rsid w:val="0026148A"/>
    <w:rsid w:val="00262696"/>
    <w:rsid w:val="002638DC"/>
    <w:rsid w:val="00263D25"/>
    <w:rsid w:val="002643C3"/>
    <w:rsid w:val="00264A0C"/>
    <w:rsid w:val="00266538"/>
    <w:rsid w:val="00266EEB"/>
    <w:rsid w:val="0026781E"/>
    <w:rsid w:val="00267EF4"/>
    <w:rsid w:val="00270CB8"/>
    <w:rsid w:val="00272B08"/>
    <w:rsid w:val="00281BB8"/>
    <w:rsid w:val="00281E9E"/>
    <w:rsid w:val="00282230"/>
    <w:rsid w:val="00282405"/>
    <w:rsid w:val="00285170"/>
    <w:rsid w:val="00285361"/>
    <w:rsid w:val="002875DF"/>
    <w:rsid w:val="00287B30"/>
    <w:rsid w:val="00292D60"/>
    <w:rsid w:val="00293B30"/>
    <w:rsid w:val="00294D34"/>
    <w:rsid w:val="00294E3B"/>
    <w:rsid w:val="00295F3C"/>
    <w:rsid w:val="00296193"/>
    <w:rsid w:val="00296C66"/>
    <w:rsid w:val="00296EBE"/>
    <w:rsid w:val="002974E3"/>
    <w:rsid w:val="002A084B"/>
    <w:rsid w:val="002A0CDB"/>
    <w:rsid w:val="002A1260"/>
    <w:rsid w:val="002A1589"/>
    <w:rsid w:val="002A1608"/>
    <w:rsid w:val="002A25BF"/>
    <w:rsid w:val="002A25DC"/>
    <w:rsid w:val="002A3AAB"/>
    <w:rsid w:val="002A4CEA"/>
    <w:rsid w:val="002A5977"/>
    <w:rsid w:val="002A5A13"/>
    <w:rsid w:val="002A757F"/>
    <w:rsid w:val="002A7F44"/>
    <w:rsid w:val="002B09DE"/>
    <w:rsid w:val="002B0C40"/>
    <w:rsid w:val="002B1966"/>
    <w:rsid w:val="002B4508"/>
    <w:rsid w:val="002B5779"/>
    <w:rsid w:val="002B7332"/>
    <w:rsid w:val="002B7F51"/>
    <w:rsid w:val="002C09E7"/>
    <w:rsid w:val="002C1E06"/>
    <w:rsid w:val="002C1E1C"/>
    <w:rsid w:val="002C3F07"/>
    <w:rsid w:val="002C5278"/>
    <w:rsid w:val="002C59FA"/>
    <w:rsid w:val="002C7EBB"/>
    <w:rsid w:val="002D06C1"/>
    <w:rsid w:val="002D1693"/>
    <w:rsid w:val="002D42B5"/>
    <w:rsid w:val="002D4F1A"/>
    <w:rsid w:val="002D6EC6"/>
    <w:rsid w:val="002D79AC"/>
    <w:rsid w:val="002E039D"/>
    <w:rsid w:val="002E4D5A"/>
    <w:rsid w:val="002E6326"/>
    <w:rsid w:val="002F1917"/>
    <w:rsid w:val="002F2509"/>
    <w:rsid w:val="002F30E0"/>
    <w:rsid w:val="002F35E4"/>
    <w:rsid w:val="002F3730"/>
    <w:rsid w:val="002F38E1"/>
    <w:rsid w:val="002F6CFE"/>
    <w:rsid w:val="002F7AF6"/>
    <w:rsid w:val="002F7FF5"/>
    <w:rsid w:val="00300E63"/>
    <w:rsid w:val="00302847"/>
    <w:rsid w:val="00302F5F"/>
    <w:rsid w:val="00303595"/>
    <w:rsid w:val="0030441D"/>
    <w:rsid w:val="00306063"/>
    <w:rsid w:val="00313B85"/>
    <w:rsid w:val="00315149"/>
    <w:rsid w:val="00317856"/>
    <w:rsid w:val="00317988"/>
    <w:rsid w:val="003221B4"/>
    <w:rsid w:val="0032258D"/>
    <w:rsid w:val="00322E62"/>
    <w:rsid w:val="00324D13"/>
    <w:rsid w:val="00324D2A"/>
    <w:rsid w:val="00324EDD"/>
    <w:rsid w:val="003331E4"/>
    <w:rsid w:val="00336C64"/>
    <w:rsid w:val="00336F1D"/>
    <w:rsid w:val="00337162"/>
    <w:rsid w:val="0034194F"/>
    <w:rsid w:val="00344605"/>
    <w:rsid w:val="00345484"/>
    <w:rsid w:val="00347235"/>
    <w:rsid w:val="003474A9"/>
    <w:rsid w:val="003474AA"/>
    <w:rsid w:val="00350D1D"/>
    <w:rsid w:val="00352C83"/>
    <w:rsid w:val="00353629"/>
    <w:rsid w:val="003615D2"/>
    <w:rsid w:val="0036429C"/>
    <w:rsid w:val="00364A53"/>
    <w:rsid w:val="003654CB"/>
    <w:rsid w:val="00365AA9"/>
    <w:rsid w:val="00365F86"/>
    <w:rsid w:val="00365F87"/>
    <w:rsid w:val="00366D3B"/>
    <w:rsid w:val="00366E89"/>
    <w:rsid w:val="003705F4"/>
    <w:rsid w:val="00370D58"/>
    <w:rsid w:val="00371316"/>
    <w:rsid w:val="003736C5"/>
    <w:rsid w:val="00376713"/>
    <w:rsid w:val="00380689"/>
    <w:rsid w:val="00381382"/>
    <w:rsid w:val="00381815"/>
    <w:rsid w:val="003819AF"/>
    <w:rsid w:val="003820E9"/>
    <w:rsid w:val="00382DE7"/>
    <w:rsid w:val="00383CF0"/>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7B6E"/>
    <w:rsid w:val="003B09AD"/>
    <w:rsid w:val="003B1F18"/>
    <w:rsid w:val="003B5BF0"/>
    <w:rsid w:val="003B60BF"/>
    <w:rsid w:val="003B6BE3"/>
    <w:rsid w:val="003C010C"/>
    <w:rsid w:val="003C0A6C"/>
    <w:rsid w:val="003C14F8"/>
    <w:rsid w:val="003C5A43"/>
    <w:rsid w:val="003C5E3D"/>
    <w:rsid w:val="003D0519"/>
    <w:rsid w:val="003D0FF6"/>
    <w:rsid w:val="003D262C"/>
    <w:rsid w:val="003D6D61"/>
    <w:rsid w:val="003D7632"/>
    <w:rsid w:val="003E091D"/>
    <w:rsid w:val="003E104F"/>
    <w:rsid w:val="003E1C53"/>
    <w:rsid w:val="003E2A69"/>
    <w:rsid w:val="003E2D49"/>
    <w:rsid w:val="003E2FD4"/>
    <w:rsid w:val="003E3FA2"/>
    <w:rsid w:val="003E49F6"/>
    <w:rsid w:val="003E660F"/>
    <w:rsid w:val="003F00B6"/>
    <w:rsid w:val="003F03AC"/>
    <w:rsid w:val="003F0841"/>
    <w:rsid w:val="003F11F2"/>
    <w:rsid w:val="003F23D3"/>
    <w:rsid w:val="003F3F08"/>
    <w:rsid w:val="003F49F1"/>
    <w:rsid w:val="003F6272"/>
    <w:rsid w:val="00400E72"/>
    <w:rsid w:val="00401400"/>
    <w:rsid w:val="004025F8"/>
    <w:rsid w:val="00404869"/>
    <w:rsid w:val="00405884"/>
    <w:rsid w:val="00407D39"/>
    <w:rsid w:val="0041477A"/>
    <w:rsid w:val="004148E2"/>
    <w:rsid w:val="004167A3"/>
    <w:rsid w:val="00417B57"/>
    <w:rsid w:val="004231CA"/>
    <w:rsid w:val="00431310"/>
    <w:rsid w:val="00432DAA"/>
    <w:rsid w:val="00434305"/>
    <w:rsid w:val="0043458A"/>
    <w:rsid w:val="00435DF7"/>
    <w:rsid w:val="0044083F"/>
    <w:rsid w:val="00441AE7"/>
    <w:rsid w:val="00441CC8"/>
    <w:rsid w:val="00442B38"/>
    <w:rsid w:val="004443B3"/>
    <w:rsid w:val="00445574"/>
    <w:rsid w:val="004467FB"/>
    <w:rsid w:val="00452D6B"/>
    <w:rsid w:val="00454484"/>
    <w:rsid w:val="00454940"/>
    <w:rsid w:val="0045517B"/>
    <w:rsid w:val="00463B77"/>
    <w:rsid w:val="00463C7B"/>
    <w:rsid w:val="0046448C"/>
    <w:rsid w:val="004644A6"/>
    <w:rsid w:val="004659BD"/>
    <w:rsid w:val="00470775"/>
    <w:rsid w:val="004746B1"/>
    <w:rsid w:val="0047583F"/>
    <w:rsid w:val="00475DE8"/>
    <w:rsid w:val="00481C44"/>
    <w:rsid w:val="00484936"/>
    <w:rsid w:val="00485209"/>
    <w:rsid w:val="00485C89"/>
    <w:rsid w:val="00486BE3"/>
    <w:rsid w:val="004905E4"/>
    <w:rsid w:val="00490A89"/>
    <w:rsid w:val="00490AB4"/>
    <w:rsid w:val="00492F02"/>
    <w:rsid w:val="004939AE"/>
    <w:rsid w:val="004A12DF"/>
    <w:rsid w:val="004A17E6"/>
    <w:rsid w:val="004A1BA8"/>
    <w:rsid w:val="004A1CB0"/>
    <w:rsid w:val="004A4B57"/>
    <w:rsid w:val="004A63FA"/>
    <w:rsid w:val="004B0272"/>
    <w:rsid w:val="004B2701"/>
    <w:rsid w:val="004B2E1B"/>
    <w:rsid w:val="004B3AA8"/>
    <w:rsid w:val="004B3E93"/>
    <w:rsid w:val="004B71A3"/>
    <w:rsid w:val="004C1FBC"/>
    <w:rsid w:val="004C2255"/>
    <w:rsid w:val="004C3F1D"/>
    <w:rsid w:val="004C458D"/>
    <w:rsid w:val="004C7296"/>
    <w:rsid w:val="004C7556"/>
    <w:rsid w:val="004C7E8B"/>
    <w:rsid w:val="004C7E9D"/>
    <w:rsid w:val="004C7F67"/>
    <w:rsid w:val="004D076D"/>
    <w:rsid w:val="004D0EF1"/>
    <w:rsid w:val="004D2253"/>
    <w:rsid w:val="004D4406"/>
    <w:rsid w:val="004D5183"/>
    <w:rsid w:val="004D52D0"/>
    <w:rsid w:val="004D7C42"/>
    <w:rsid w:val="004E0465"/>
    <w:rsid w:val="004E127B"/>
    <w:rsid w:val="004E1C0A"/>
    <w:rsid w:val="004E2247"/>
    <w:rsid w:val="004E2B06"/>
    <w:rsid w:val="004E30C5"/>
    <w:rsid w:val="004E4AA5"/>
    <w:rsid w:val="004E4AEE"/>
    <w:rsid w:val="004E59E3"/>
    <w:rsid w:val="004E67C0"/>
    <w:rsid w:val="004F391A"/>
    <w:rsid w:val="004F3CFB"/>
    <w:rsid w:val="004F6456"/>
    <w:rsid w:val="004F696E"/>
    <w:rsid w:val="004F6C71"/>
    <w:rsid w:val="004F7074"/>
    <w:rsid w:val="00501139"/>
    <w:rsid w:val="005028EF"/>
    <w:rsid w:val="0050363E"/>
    <w:rsid w:val="005039BC"/>
    <w:rsid w:val="005043BB"/>
    <w:rsid w:val="00504A3D"/>
    <w:rsid w:val="00505767"/>
    <w:rsid w:val="005063A4"/>
    <w:rsid w:val="00507103"/>
    <w:rsid w:val="005073F0"/>
    <w:rsid w:val="00510A7B"/>
    <w:rsid w:val="005127FC"/>
    <w:rsid w:val="00512F6E"/>
    <w:rsid w:val="00513038"/>
    <w:rsid w:val="00514174"/>
    <w:rsid w:val="00516088"/>
    <w:rsid w:val="00516B0B"/>
    <w:rsid w:val="005220EC"/>
    <w:rsid w:val="00523F95"/>
    <w:rsid w:val="005248C1"/>
    <w:rsid w:val="00524D65"/>
    <w:rsid w:val="00525B16"/>
    <w:rsid w:val="005262FB"/>
    <w:rsid w:val="00533D04"/>
    <w:rsid w:val="00534804"/>
    <w:rsid w:val="00534BDF"/>
    <w:rsid w:val="005354EA"/>
    <w:rsid w:val="0053585F"/>
    <w:rsid w:val="00535EC4"/>
    <w:rsid w:val="00535ED9"/>
    <w:rsid w:val="0053692B"/>
    <w:rsid w:val="00537EC7"/>
    <w:rsid w:val="00541853"/>
    <w:rsid w:val="00543BDA"/>
    <w:rsid w:val="005441CC"/>
    <w:rsid w:val="00545E46"/>
    <w:rsid w:val="00546DF8"/>
    <w:rsid w:val="005479DA"/>
    <w:rsid w:val="00547BCC"/>
    <w:rsid w:val="0055013B"/>
    <w:rsid w:val="00551F6F"/>
    <w:rsid w:val="00555044"/>
    <w:rsid w:val="00555CFB"/>
    <w:rsid w:val="00561475"/>
    <w:rsid w:val="0056487B"/>
    <w:rsid w:val="00564FB9"/>
    <w:rsid w:val="00566A1C"/>
    <w:rsid w:val="00566C3E"/>
    <w:rsid w:val="00573D9E"/>
    <w:rsid w:val="005801E3"/>
    <w:rsid w:val="00581802"/>
    <w:rsid w:val="00581DFD"/>
    <w:rsid w:val="005836A8"/>
    <w:rsid w:val="0058409C"/>
    <w:rsid w:val="00584262"/>
    <w:rsid w:val="00584CC5"/>
    <w:rsid w:val="00586630"/>
    <w:rsid w:val="00587ADD"/>
    <w:rsid w:val="0059144A"/>
    <w:rsid w:val="00596160"/>
    <w:rsid w:val="005966E2"/>
    <w:rsid w:val="00597007"/>
    <w:rsid w:val="005A0966"/>
    <w:rsid w:val="005A11B7"/>
    <w:rsid w:val="005A260B"/>
    <w:rsid w:val="005A4A1B"/>
    <w:rsid w:val="005A7830"/>
    <w:rsid w:val="005A7FCE"/>
    <w:rsid w:val="005B0F3F"/>
    <w:rsid w:val="005B1288"/>
    <w:rsid w:val="005B4903"/>
    <w:rsid w:val="005B51CE"/>
    <w:rsid w:val="005B5885"/>
    <w:rsid w:val="005B5CD7"/>
    <w:rsid w:val="005B6146"/>
    <w:rsid w:val="005B6CF6"/>
    <w:rsid w:val="005B7422"/>
    <w:rsid w:val="005C29B8"/>
    <w:rsid w:val="005C5F21"/>
    <w:rsid w:val="005C7156"/>
    <w:rsid w:val="005D0AEF"/>
    <w:rsid w:val="005D0C75"/>
    <w:rsid w:val="005D20BB"/>
    <w:rsid w:val="005D4171"/>
    <w:rsid w:val="005D6A95"/>
    <w:rsid w:val="005D6B2C"/>
    <w:rsid w:val="005D6D9C"/>
    <w:rsid w:val="005E2335"/>
    <w:rsid w:val="005E34CA"/>
    <w:rsid w:val="005E3C18"/>
    <w:rsid w:val="005E6812"/>
    <w:rsid w:val="005E7881"/>
    <w:rsid w:val="005E78E0"/>
    <w:rsid w:val="005F0D9C"/>
    <w:rsid w:val="005F284E"/>
    <w:rsid w:val="005F4712"/>
    <w:rsid w:val="00600AC6"/>
    <w:rsid w:val="006015CE"/>
    <w:rsid w:val="00603A02"/>
    <w:rsid w:val="00603DE4"/>
    <w:rsid w:val="00604439"/>
    <w:rsid w:val="00604784"/>
    <w:rsid w:val="00606419"/>
    <w:rsid w:val="00607D29"/>
    <w:rsid w:val="00612952"/>
    <w:rsid w:val="00614CC1"/>
    <w:rsid w:val="00614CE0"/>
    <w:rsid w:val="00615A9D"/>
    <w:rsid w:val="0061636A"/>
    <w:rsid w:val="00617387"/>
    <w:rsid w:val="006205D6"/>
    <w:rsid w:val="00621CA9"/>
    <w:rsid w:val="00625284"/>
    <w:rsid w:val="006252D8"/>
    <w:rsid w:val="006259BC"/>
    <w:rsid w:val="0062636B"/>
    <w:rsid w:val="00632182"/>
    <w:rsid w:val="00632AE0"/>
    <w:rsid w:val="00633C17"/>
    <w:rsid w:val="00634D9E"/>
    <w:rsid w:val="00636E3E"/>
    <w:rsid w:val="006379F7"/>
    <w:rsid w:val="00637B44"/>
    <w:rsid w:val="00637E4D"/>
    <w:rsid w:val="00640620"/>
    <w:rsid w:val="00641A1F"/>
    <w:rsid w:val="00641BB6"/>
    <w:rsid w:val="00645904"/>
    <w:rsid w:val="00647CA8"/>
    <w:rsid w:val="00651ACB"/>
    <w:rsid w:val="00651C47"/>
    <w:rsid w:val="00652AB2"/>
    <w:rsid w:val="00653FED"/>
    <w:rsid w:val="00654421"/>
    <w:rsid w:val="00654EC0"/>
    <w:rsid w:val="0065525B"/>
    <w:rsid w:val="00655D4F"/>
    <w:rsid w:val="00656D29"/>
    <w:rsid w:val="006640E5"/>
    <w:rsid w:val="006646F1"/>
    <w:rsid w:val="00664929"/>
    <w:rsid w:val="00664F62"/>
    <w:rsid w:val="006655E1"/>
    <w:rsid w:val="00666377"/>
    <w:rsid w:val="00670C98"/>
    <w:rsid w:val="00672060"/>
    <w:rsid w:val="00672BFD"/>
    <w:rsid w:val="006770F4"/>
    <w:rsid w:val="00677A84"/>
    <w:rsid w:val="0068026D"/>
    <w:rsid w:val="00680A27"/>
    <w:rsid w:val="006816A4"/>
    <w:rsid w:val="006819B8"/>
    <w:rsid w:val="006829C2"/>
    <w:rsid w:val="006840A6"/>
    <w:rsid w:val="006850CD"/>
    <w:rsid w:val="00685AAB"/>
    <w:rsid w:val="00685CBE"/>
    <w:rsid w:val="00691D6D"/>
    <w:rsid w:val="00697AC9"/>
    <w:rsid w:val="006A07AA"/>
    <w:rsid w:val="006A2307"/>
    <w:rsid w:val="006A25E5"/>
    <w:rsid w:val="006A2B46"/>
    <w:rsid w:val="006A336D"/>
    <w:rsid w:val="006A37B9"/>
    <w:rsid w:val="006A7AF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E6978"/>
    <w:rsid w:val="006F03A8"/>
    <w:rsid w:val="006F062C"/>
    <w:rsid w:val="006F2ACA"/>
    <w:rsid w:val="006F2ADC"/>
    <w:rsid w:val="006F2BFE"/>
    <w:rsid w:val="006F31E9"/>
    <w:rsid w:val="006F364B"/>
    <w:rsid w:val="006F3F19"/>
    <w:rsid w:val="006F5D7C"/>
    <w:rsid w:val="006F6284"/>
    <w:rsid w:val="006F6ABA"/>
    <w:rsid w:val="007002C5"/>
    <w:rsid w:val="00704387"/>
    <w:rsid w:val="00707669"/>
    <w:rsid w:val="00710368"/>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2FD"/>
    <w:rsid w:val="00750D61"/>
    <w:rsid w:val="00750EE1"/>
    <w:rsid w:val="00752B4D"/>
    <w:rsid w:val="00755402"/>
    <w:rsid w:val="00756B26"/>
    <w:rsid w:val="00756EDF"/>
    <w:rsid w:val="007600E3"/>
    <w:rsid w:val="00763256"/>
    <w:rsid w:val="00765C43"/>
    <w:rsid w:val="00765EFB"/>
    <w:rsid w:val="007671CA"/>
    <w:rsid w:val="00767C61"/>
    <w:rsid w:val="0077008A"/>
    <w:rsid w:val="00770AF1"/>
    <w:rsid w:val="00773B85"/>
    <w:rsid w:val="00773C1F"/>
    <w:rsid w:val="00774DA4"/>
    <w:rsid w:val="00776599"/>
    <w:rsid w:val="0078114B"/>
    <w:rsid w:val="00781C27"/>
    <w:rsid w:val="00781DD2"/>
    <w:rsid w:val="00783ECF"/>
    <w:rsid w:val="0078413A"/>
    <w:rsid w:val="00787FF7"/>
    <w:rsid w:val="00793564"/>
    <w:rsid w:val="00793BDC"/>
    <w:rsid w:val="007959E8"/>
    <w:rsid w:val="00795E9C"/>
    <w:rsid w:val="007A0521"/>
    <w:rsid w:val="007A10B4"/>
    <w:rsid w:val="007A2E12"/>
    <w:rsid w:val="007A3475"/>
    <w:rsid w:val="007A3F72"/>
    <w:rsid w:val="007A41C8"/>
    <w:rsid w:val="007A424F"/>
    <w:rsid w:val="007A4D48"/>
    <w:rsid w:val="007A54CE"/>
    <w:rsid w:val="007A6FD9"/>
    <w:rsid w:val="007A7FFA"/>
    <w:rsid w:val="007B04EB"/>
    <w:rsid w:val="007B0D4F"/>
    <w:rsid w:val="007B5A3D"/>
    <w:rsid w:val="007B5B95"/>
    <w:rsid w:val="007B68E3"/>
    <w:rsid w:val="007B68EA"/>
    <w:rsid w:val="007B7453"/>
    <w:rsid w:val="007C1E8B"/>
    <w:rsid w:val="007C2D89"/>
    <w:rsid w:val="007C3634"/>
    <w:rsid w:val="007C4593"/>
    <w:rsid w:val="007C5309"/>
    <w:rsid w:val="007C6069"/>
    <w:rsid w:val="007C63A1"/>
    <w:rsid w:val="007D06C4"/>
    <w:rsid w:val="007D1352"/>
    <w:rsid w:val="007D2508"/>
    <w:rsid w:val="007D2D63"/>
    <w:rsid w:val="007D346A"/>
    <w:rsid w:val="007D6518"/>
    <w:rsid w:val="007D76BD"/>
    <w:rsid w:val="007E0BF1"/>
    <w:rsid w:val="007E6757"/>
    <w:rsid w:val="007E73DC"/>
    <w:rsid w:val="007F0ED8"/>
    <w:rsid w:val="007F0F63"/>
    <w:rsid w:val="007F2FBD"/>
    <w:rsid w:val="007F75CE"/>
    <w:rsid w:val="008013A4"/>
    <w:rsid w:val="008027CE"/>
    <w:rsid w:val="00802F42"/>
    <w:rsid w:val="00803C9E"/>
    <w:rsid w:val="00804383"/>
    <w:rsid w:val="00804BB7"/>
    <w:rsid w:val="00804D41"/>
    <w:rsid w:val="00810257"/>
    <w:rsid w:val="008104F5"/>
    <w:rsid w:val="00811072"/>
    <w:rsid w:val="00811369"/>
    <w:rsid w:val="00814FEC"/>
    <w:rsid w:val="00815419"/>
    <w:rsid w:val="008163C8"/>
    <w:rsid w:val="008164A1"/>
    <w:rsid w:val="00817308"/>
    <w:rsid w:val="00817325"/>
    <w:rsid w:val="008209E6"/>
    <w:rsid w:val="00822795"/>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0541"/>
    <w:rsid w:val="0085173A"/>
    <w:rsid w:val="00856316"/>
    <w:rsid w:val="008564DF"/>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87307"/>
    <w:rsid w:val="0089049D"/>
    <w:rsid w:val="008928C9"/>
    <w:rsid w:val="008930CB"/>
    <w:rsid w:val="008938DC"/>
    <w:rsid w:val="00893FD1"/>
    <w:rsid w:val="00894836"/>
    <w:rsid w:val="00894856"/>
    <w:rsid w:val="00895172"/>
    <w:rsid w:val="00895680"/>
    <w:rsid w:val="00896DFF"/>
    <w:rsid w:val="0089762C"/>
    <w:rsid w:val="008A1893"/>
    <w:rsid w:val="008A1C31"/>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176"/>
    <w:rsid w:val="008E0C9D"/>
    <w:rsid w:val="008E1648"/>
    <w:rsid w:val="008E1B3E"/>
    <w:rsid w:val="008E2319"/>
    <w:rsid w:val="008E2D31"/>
    <w:rsid w:val="008E4BB6"/>
    <w:rsid w:val="008E5518"/>
    <w:rsid w:val="008E6A84"/>
    <w:rsid w:val="008F0CDC"/>
    <w:rsid w:val="008F17A3"/>
    <w:rsid w:val="008F1ED3"/>
    <w:rsid w:val="008F23A5"/>
    <w:rsid w:val="008F4C29"/>
    <w:rsid w:val="008F70BD"/>
    <w:rsid w:val="008F788F"/>
    <w:rsid w:val="008F7EA2"/>
    <w:rsid w:val="009002C4"/>
    <w:rsid w:val="00902722"/>
    <w:rsid w:val="009027BC"/>
    <w:rsid w:val="00905065"/>
    <w:rsid w:val="009062E6"/>
    <w:rsid w:val="00911BE5"/>
    <w:rsid w:val="00913CA9"/>
    <w:rsid w:val="009145AE"/>
    <w:rsid w:val="009146CE"/>
    <w:rsid w:val="00914CA7"/>
    <w:rsid w:val="00915C3E"/>
    <w:rsid w:val="009161A8"/>
    <w:rsid w:val="009212A5"/>
    <w:rsid w:val="00922CEE"/>
    <w:rsid w:val="009245F5"/>
    <w:rsid w:val="009249EC"/>
    <w:rsid w:val="009273B3"/>
    <w:rsid w:val="009305B5"/>
    <w:rsid w:val="00931C8B"/>
    <w:rsid w:val="00937AE0"/>
    <w:rsid w:val="009429D5"/>
    <w:rsid w:val="00942BF1"/>
    <w:rsid w:val="00945180"/>
    <w:rsid w:val="00945428"/>
    <w:rsid w:val="0094607B"/>
    <w:rsid w:val="00953604"/>
    <w:rsid w:val="0095496B"/>
    <w:rsid w:val="00955857"/>
    <w:rsid w:val="009610DC"/>
    <w:rsid w:val="00961490"/>
    <w:rsid w:val="0096381A"/>
    <w:rsid w:val="00965E04"/>
    <w:rsid w:val="009674AD"/>
    <w:rsid w:val="00967D25"/>
    <w:rsid w:val="00970CDC"/>
    <w:rsid w:val="009728EF"/>
    <w:rsid w:val="009732E5"/>
    <w:rsid w:val="00977010"/>
    <w:rsid w:val="00977D02"/>
    <w:rsid w:val="009809BB"/>
    <w:rsid w:val="0098364B"/>
    <w:rsid w:val="00986CD4"/>
    <w:rsid w:val="009906CA"/>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833"/>
    <w:rsid w:val="009B09E0"/>
    <w:rsid w:val="009B0BC5"/>
    <w:rsid w:val="009B1247"/>
    <w:rsid w:val="009B298B"/>
    <w:rsid w:val="009B6029"/>
    <w:rsid w:val="009B6971"/>
    <w:rsid w:val="009C27F1"/>
    <w:rsid w:val="009C3152"/>
    <w:rsid w:val="009C4CFA"/>
    <w:rsid w:val="009C4D90"/>
    <w:rsid w:val="009C5070"/>
    <w:rsid w:val="009C51D9"/>
    <w:rsid w:val="009D112C"/>
    <w:rsid w:val="009D47FA"/>
    <w:rsid w:val="009D4C5B"/>
    <w:rsid w:val="009D50D2"/>
    <w:rsid w:val="009D6B42"/>
    <w:rsid w:val="009D6BCA"/>
    <w:rsid w:val="009E0F62"/>
    <w:rsid w:val="009E4A58"/>
    <w:rsid w:val="009E5A2D"/>
    <w:rsid w:val="009E5AB2"/>
    <w:rsid w:val="009E6219"/>
    <w:rsid w:val="009F03B3"/>
    <w:rsid w:val="009F15F1"/>
    <w:rsid w:val="00A0096C"/>
    <w:rsid w:val="00A01757"/>
    <w:rsid w:val="00A028C0"/>
    <w:rsid w:val="00A02BAE"/>
    <w:rsid w:val="00A06A6B"/>
    <w:rsid w:val="00A07E47"/>
    <w:rsid w:val="00A129D0"/>
    <w:rsid w:val="00A12C33"/>
    <w:rsid w:val="00A138BA"/>
    <w:rsid w:val="00A14C8E"/>
    <w:rsid w:val="00A150B0"/>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843"/>
    <w:rsid w:val="00A44E69"/>
    <w:rsid w:val="00A4661E"/>
    <w:rsid w:val="00A55BD6"/>
    <w:rsid w:val="00A55D50"/>
    <w:rsid w:val="00A57142"/>
    <w:rsid w:val="00A613FF"/>
    <w:rsid w:val="00A648CD"/>
    <w:rsid w:val="00A6537A"/>
    <w:rsid w:val="00A67866"/>
    <w:rsid w:val="00A67BC1"/>
    <w:rsid w:val="00A70B07"/>
    <w:rsid w:val="00A723F8"/>
    <w:rsid w:val="00A77CCB"/>
    <w:rsid w:val="00A804B7"/>
    <w:rsid w:val="00A805F8"/>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188B"/>
    <w:rsid w:val="00AB41D5"/>
    <w:rsid w:val="00AB6309"/>
    <w:rsid w:val="00AB66C5"/>
    <w:rsid w:val="00AB6C5F"/>
    <w:rsid w:val="00AB7129"/>
    <w:rsid w:val="00AC27A6"/>
    <w:rsid w:val="00AC30F7"/>
    <w:rsid w:val="00AC3A5A"/>
    <w:rsid w:val="00AC4D95"/>
    <w:rsid w:val="00AC5DF4"/>
    <w:rsid w:val="00AC6C48"/>
    <w:rsid w:val="00AD0AEF"/>
    <w:rsid w:val="00AD0F53"/>
    <w:rsid w:val="00AD11B7"/>
    <w:rsid w:val="00AD1A94"/>
    <w:rsid w:val="00AD1C05"/>
    <w:rsid w:val="00AD4126"/>
    <w:rsid w:val="00AD421C"/>
    <w:rsid w:val="00AD44FA"/>
    <w:rsid w:val="00AE070A"/>
    <w:rsid w:val="00AE101C"/>
    <w:rsid w:val="00AE37E5"/>
    <w:rsid w:val="00AE4455"/>
    <w:rsid w:val="00AE5EB4"/>
    <w:rsid w:val="00AF0836"/>
    <w:rsid w:val="00AF0C18"/>
    <w:rsid w:val="00AF1A74"/>
    <w:rsid w:val="00AF47C5"/>
    <w:rsid w:val="00AF5398"/>
    <w:rsid w:val="00AF67AD"/>
    <w:rsid w:val="00B01DA2"/>
    <w:rsid w:val="00B049AF"/>
    <w:rsid w:val="00B07242"/>
    <w:rsid w:val="00B10534"/>
    <w:rsid w:val="00B113DB"/>
    <w:rsid w:val="00B116B2"/>
    <w:rsid w:val="00B11D8A"/>
    <w:rsid w:val="00B12981"/>
    <w:rsid w:val="00B147DD"/>
    <w:rsid w:val="00B156FD"/>
    <w:rsid w:val="00B21F61"/>
    <w:rsid w:val="00B261F1"/>
    <w:rsid w:val="00B265BC"/>
    <w:rsid w:val="00B271AA"/>
    <w:rsid w:val="00B30762"/>
    <w:rsid w:val="00B31FB1"/>
    <w:rsid w:val="00B33952"/>
    <w:rsid w:val="00B33C5E"/>
    <w:rsid w:val="00B342F4"/>
    <w:rsid w:val="00B34369"/>
    <w:rsid w:val="00B34DC2"/>
    <w:rsid w:val="00B378E5"/>
    <w:rsid w:val="00B37CEA"/>
    <w:rsid w:val="00B4346D"/>
    <w:rsid w:val="00B440F4"/>
    <w:rsid w:val="00B447A5"/>
    <w:rsid w:val="00B4654C"/>
    <w:rsid w:val="00B47293"/>
    <w:rsid w:val="00B47FE1"/>
    <w:rsid w:val="00B50E50"/>
    <w:rsid w:val="00B52120"/>
    <w:rsid w:val="00B54ABC"/>
    <w:rsid w:val="00B54DDE"/>
    <w:rsid w:val="00B553DB"/>
    <w:rsid w:val="00B56FBE"/>
    <w:rsid w:val="00B60ACF"/>
    <w:rsid w:val="00B62B58"/>
    <w:rsid w:val="00B65149"/>
    <w:rsid w:val="00B66567"/>
    <w:rsid w:val="00B66F52"/>
    <w:rsid w:val="00B66FE5"/>
    <w:rsid w:val="00B71590"/>
    <w:rsid w:val="00B72880"/>
    <w:rsid w:val="00B758BF"/>
    <w:rsid w:val="00B77EC8"/>
    <w:rsid w:val="00B827A6"/>
    <w:rsid w:val="00B82E63"/>
    <w:rsid w:val="00B831CE"/>
    <w:rsid w:val="00B85719"/>
    <w:rsid w:val="00B86677"/>
    <w:rsid w:val="00B87131"/>
    <w:rsid w:val="00B87D3E"/>
    <w:rsid w:val="00B9254B"/>
    <w:rsid w:val="00B939B1"/>
    <w:rsid w:val="00B96D40"/>
    <w:rsid w:val="00B97386"/>
    <w:rsid w:val="00BA263B"/>
    <w:rsid w:val="00BA42B2"/>
    <w:rsid w:val="00BA58D4"/>
    <w:rsid w:val="00BA5B9E"/>
    <w:rsid w:val="00BA7C9A"/>
    <w:rsid w:val="00BB3B62"/>
    <w:rsid w:val="00BB5F8F"/>
    <w:rsid w:val="00BB657A"/>
    <w:rsid w:val="00BB7CF5"/>
    <w:rsid w:val="00BC1A4E"/>
    <w:rsid w:val="00BC526E"/>
    <w:rsid w:val="00BC5DC7"/>
    <w:rsid w:val="00BC6B8B"/>
    <w:rsid w:val="00BC73D8"/>
    <w:rsid w:val="00BD2140"/>
    <w:rsid w:val="00BD52D7"/>
    <w:rsid w:val="00BD5AD2"/>
    <w:rsid w:val="00BD7233"/>
    <w:rsid w:val="00BE22F3"/>
    <w:rsid w:val="00BE5B52"/>
    <w:rsid w:val="00BE7B8D"/>
    <w:rsid w:val="00BE7EE3"/>
    <w:rsid w:val="00BF0993"/>
    <w:rsid w:val="00BF10A9"/>
    <w:rsid w:val="00BF1703"/>
    <w:rsid w:val="00BF1B83"/>
    <w:rsid w:val="00BF22A3"/>
    <w:rsid w:val="00BF231C"/>
    <w:rsid w:val="00BF51E5"/>
    <w:rsid w:val="00BF74A6"/>
    <w:rsid w:val="00C013AD"/>
    <w:rsid w:val="00C04904"/>
    <w:rsid w:val="00C04ADB"/>
    <w:rsid w:val="00C056B3"/>
    <w:rsid w:val="00C103E5"/>
    <w:rsid w:val="00C13319"/>
    <w:rsid w:val="00C13EE9"/>
    <w:rsid w:val="00C20318"/>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37EF"/>
    <w:rsid w:val="00C643F9"/>
    <w:rsid w:val="00C64E95"/>
    <w:rsid w:val="00C71372"/>
    <w:rsid w:val="00C72410"/>
    <w:rsid w:val="00C7287F"/>
    <w:rsid w:val="00C76023"/>
    <w:rsid w:val="00C80B2D"/>
    <w:rsid w:val="00C80CB8"/>
    <w:rsid w:val="00C819F8"/>
    <w:rsid w:val="00C8248C"/>
    <w:rsid w:val="00C843A5"/>
    <w:rsid w:val="00C84E33"/>
    <w:rsid w:val="00C86D6F"/>
    <w:rsid w:val="00C905FC"/>
    <w:rsid w:val="00C90DDF"/>
    <w:rsid w:val="00C92D03"/>
    <w:rsid w:val="00C9319C"/>
    <w:rsid w:val="00C9435D"/>
    <w:rsid w:val="00C94DF2"/>
    <w:rsid w:val="00C96741"/>
    <w:rsid w:val="00CA2D1B"/>
    <w:rsid w:val="00CA375D"/>
    <w:rsid w:val="00CA662A"/>
    <w:rsid w:val="00CA6D17"/>
    <w:rsid w:val="00CA7AFD"/>
    <w:rsid w:val="00CA7C3C"/>
    <w:rsid w:val="00CB0189"/>
    <w:rsid w:val="00CB0791"/>
    <w:rsid w:val="00CB0BA2"/>
    <w:rsid w:val="00CB1A42"/>
    <w:rsid w:val="00CB1B0C"/>
    <w:rsid w:val="00CB2C0B"/>
    <w:rsid w:val="00CB517D"/>
    <w:rsid w:val="00CC038D"/>
    <w:rsid w:val="00CC08DB"/>
    <w:rsid w:val="00CC1263"/>
    <w:rsid w:val="00CC39FF"/>
    <w:rsid w:val="00CC3C2F"/>
    <w:rsid w:val="00CC4AC8"/>
    <w:rsid w:val="00CC5233"/>
    <w:rsid w:val="00CC5DE6"/>
    <w:rsid w:val="00CC60BF"/>
    <w:rsid w:val="00CC6E4E"/>
    <w:rsid w:val="00CC6FE8"/>
    <w:rsid w:val="00CC7202"/>
    <w:rsid w:val="00CD2808"/>
    <w:rsid w:val="00CD28BF"/>
    <w:rsid w:val="00CD4092"/>
    <w:rsid w:val="00CD4A20"/>
    <w:rsid w:val="00CD50A1"/>
    <w:rsid w:val="00CD519E"/>
    <w:rsid w:val="00CE0C4F"/>
    <w:rsid w:val="00CE30EA"/>
    <w:rsid w:val="00CE3A38"/>
    <w:rsid w:val="00CE4170"/>
    <w:rsid w:val="00CF048A"/>
    <w:rsid w:val="00CF155A"/>
    <w:rsid w:val="00CF2947"/>
    <w:rsid w:val="00CF2CD9"/>
    <w:rsid w:val="00CF686F"/>
    <w:rsid w:val="00CF6E60"/>
    <w:rsid w:val="00CF7BCA"/>
    <w:rsid w:val="00D008FD"/>
    <w:rsid w:val="00D0321C"/>
    <w:rsid w:val="00D035EC"/>
    <w:rsid w:val="00D0569F"/>
    <w:rsid w:val="00D06AB1"/>
    <w:rsid w:val="00D072ED"/>
    <w:rsid w:val="00D07A16"/>
    <w:rsid w:val="00D1067E"/>
    <w:rsid w:val="00D10F50"/>
    <w:rsid w:val="00D11272"/>
    <w:rsid w:val="00D126F5"/>
    <w:rsid w:val="00D12B1C"/>
    <w:rsid w:val="00D139D3"/>
    <w:rsid w:val="00D1489E"/>
    <w:rsid w:val="00D20737"/>
    <w:rsid w:val="00D20EC5"/>
    <w:rsid w:val="00D21AD3"/>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0309"/>
    <w:rsid w:val="00D70A94"/>
    <w:rsid w:val="00D70FFB"/>
    <w:rsid w:val="00D71F25"/>
    <w:rsid w:val="00D72A9C"/>
    <w:rsid w:val="00D77031"/>
    <w:rsid w:val="00D8073D"/>
    <w:rsid w:val="00D813DE"/>
    <w:rsid w:val="00D83208"/>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1C17"/>
    <w:rsid w:val="00DB38EE"/>
    <w:rsid w:val="00DB498B"/>
    <w:rsid w:val="00DB66CA"/>
    <w:rsid w:val="00DB6BCA"/>
    <w:rsid w:val="00DB73F7"/>
    <w:rsid w:val="00DC0321"/>
    <w:rsid w:val="00DC3067"/>
    <w:rsid w:val="00DC370B"/>
    <w:rsid w:val="00DC3E26"/>
    <w:rsid w:val="00DC5B90"/>
    <w:rsid w:val="00DD00FF"/>
    <w:rsid w:val="00DD0619"/>
    <w:rsid w:val="00DD07FB"/>
    <w:rsid w:val="00DD0A00"/>
    <w:rsid w:val="00DD25C6"/>
    <w:rsid w:val="00DD4FE5"/>
    <w:rsid w:val="00DD54B0"/>
    <w:rsid w:val="00DD57EE"/>
    <w:rsid w:val="00DD6BCC"/>
    <w:rsid w:val="00DD6E4F"/>
    <w:rsid w:val="00DE0A4B"/>
    <w:rsid w:val="00DE2410"/>
    <w:rsid w:val="00DE2939"/>
    <w:rsid w:val="00DE6E81"/>
    <w:rsid w:val="00DE703F"/>
    <w:rsid w:val="00DE7595"/>
    <w:rsid w:val="00DF163B"/>
    <w:rsid w:val="00DF1961"/>
    <w:rsid w:val="00DF44DE"/>
    <w:rsid w:val="00DF53C9"/>
    <w:rsid w:val="00DF5420"/>
    <w:rsid w:val="00DF5F11"/>
    <w:rsid w:val="00DF7063"/>
    <w:rsid w:val="00E00A07"/>
    <w:rsid w:val="00E01138"/>
    <w:rsid w:val="00E02610"/>
    <w:rsid w:val="00E02DFB"/>
    <w:rsid w:val="00E030F9"/>
    <w:rsid w:val="00E0311A"/>
    <w:rsid w:val="00E03138"/>
    <w:rsid w:val="00E06404"/>
    <w:rsid w:val="00E11A85"/>
    <w:rsid w:val="00E12495"/>
    <w:rsid w:val="00E15CCD"/>
    <w:rsid w:val="00E202EF"/>
    <w:rsid w:val="00E2048E"/>
    <w:rsid w:val="00E210B5"/>
    <w:rsid w:val="00E23D99"/>
    <w:rsid w:val="00E2552F"/>
    <w:rsid w:val="00E3137A"/>
    <w:rsid w:val="00E32CCF"/>
    <w:rsid w:val="00E34A98"/>
    <w:rsid w:val="00E35D1E"/>
    <w:rsid w:val="00E364F9"/>
    <w:rsid w:val="00E365FA"/>
    <w:rsid w:val="00E36789"/>
    <w:rsid w:val="00E36D24"/>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85E"/>
    <w:rsid w:val="00E70F92"/>
    <w:rsid w:val="00E7273F"/>
    <w:rsid w:val="00E74C54"/>
    <w:rsid w:val="00E77A03"/>
    <w:rsid w:val="00E822E8"/>
    <w:rsid w:val="00E82554"/>
    <w:rsid w:val="00E82606"/>
    <w:rsid w:val="00E846C8"/>
    <w:rsid w:val="00E84957"/>
    <w:rsid w:val="00E84A55"/>
    <w:rsid w:val="00E85BFF"/>
    <w:rsid w:val="00E87816"/>
    <w:rsid w:val="00E90391"/>
    <w:rsid w:val="00E906C2"/>
    <w:rsid w:val="00E9311F"/>
    <w:rsid w:val="00E934D1"/>
    <w:rsid w:val="00E94AF0"/>
    <w:rsid w:val="00E95D13"/>
    <w:rsid w:val="00E95DD3"/>
    <w:rsid w:val="00E969D5"/>
    <w:rsid w:val="00EA58D1"/>
    <w:rsid w:val="00EA61BC"/>
    <w:rsid w:val="00EA65EC"/>
    <w:rsid w:val="00EA681A"/>
    <w:rsid w:val="00EA735B"/>
    <w:rsid w:val="00EB17DE"/>
    <w:rsid w:val="00EB1E69"/>
    <w:rsid w:val="00EB2086"/>
    <w:rsid w:val="00EB5EDF"/>
    <w:rsid w:val="00EB60FE"/>
    <w:rsid w:val="00EB74DB"/>
    <w:rsid w:val="00EC5359"/>
    <w:rsid w:val="00EC562A"/>
    <w:rsid w:val="00ED067A"/>
    <w:rsid w:val="00ED2B50"/>
    <w:rsid w:val="00ED4EDA"/>
    <w:rsid w:val="00EE0350"/>
    <w:rsid w:val="00EE0719"/>
    <w:rsid w:val="00EE0E80"/>
    <w:rsid w:val="00EE54A6"/>
    <w:rsid w:val="00EE613F"/>
    <w:rsid w:val="00EE7295"/>
    <w:rsid w:val="00EE7869"/>
    <w:rsid w:val="00EF054A"/>
    <w:rsid w:val="00EF3235"/>
    <w:rsid w:val="00EF7E72"/>
    <w:rsid w:val="00F03B28"/>
    <w:rsid w:val="00F06D37"/>
    <w:rsid w:val="00F078DD"/>
    <w:rsid w:val="00F07B9D"/>
    <w:rsid w:val="00F11586"/>
    <w:rsid w:val="00F1183B"/>
    <w:rsid w:val="00F11AD2"/>
    <w:rsid w:val="00F11C9F"/>
    <w:rsid w:val="00F12263"/>
    <w:rsid w:val="00F1409D"/>
    <w:rsid w:val="00F14214"/>
    <w:rsid w:val="00F157A9"/>
    <w:rsid w:val="00F238CB"/>
    <w:rsid w:val="00F24003"/>
    <w:rsid w:val="00F25BB6"/>
    <w:rsid w:val="00F26B7E"/>
    <w:rsid w:val="00F27A3B"/>
    <w:rsid w:val="00F33817"/>
    <w:rsid w:val="00F36F0D"/>
    <w:rsid w:val="00F420D5"/>
    <w:rsid w:val="00F451EA"/>
    <w:rsid w:val="00F45447"/>
    <w:rsid w:val="00F456C6"/>
    <w:rsid w:val="00F4577B"/>
    <w:rsid w:val="00F46496"/>
    <w:rsid w:val="00F474D0"/>
    <w:rsid w:val="00F4771E"/>
    <w:rsid w:val="00F50179"/>
    <w:rsid w:val="00F515EE"/>
    <w:rsid w:val="00F546EA"/>
    <w:rsid w:val="00F561B4"/>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87B12"/>
    <w:rsid w:val="00F9108B"/>
    <w:rsid w:val="00F91349"/>
    <w:rsid w:val="00F918B5"/>
    <w:rsid w:val="00F93A8A"/>
    <w:rsid w:val="00F95248"/>
    <w:rsid w:val="00F956A9"/>
    <w:rsid w:val="00F963ED"/>
    <w:rsid w:val="00F966CF"/>
    <w:rsid w:val="00F96CAE"/>
    <w:rsid w:val="00F97C99"/>
    <w:rsid w:val="00FA4DAC"/>
    <w:rsid w:val="00FA662D"/>
    <w:rsid w:val="00FA6A11"/>
    <w:rsid w:val="00FA73B1"/>
    <w:rsid w:val="00FB0CB9"/>
    <w:rsid w:val="00FB231D"/>
    <w:rsid w:val="00FB45F1"/>
    <w:rsid w:val="00FB4A72"/>
    <w:rsid w:val="00FB54E8"/>
    <w:rsid w:val="00FB7054"/>
    <w:rsid w:val="00FC17B7"/>
    <w:rsid w:val="00FC2814"/>
    <w:rsid w:val="00FC2CB7"/>
    <w:rsid w:val="00FC3819"/>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151D"/>
    <w:rsid w:val="00FF3E7D"/>
    <w:rsid w:val="00FF5B99"/>
    <w:rsid w:val="00FF730C"/>
    <w:rsid w:val="00FF73F4"/>
    <w:rsid w:val="00FF7CE4"/>
    <w:rsid w:val="00FF7E39"/>
    <w:rsid w:val="01280DE2"/>
    <w:rsid w:val="019A1C8D"/>
    <w:rsid w:val="05C958AB"/>
    <w:rsid w:val="0A841F54"/>
    <w:rsid w:val="109778DB"/>
    <w:rsid w:val="182A4A78"/>
    <w:rsid w:val="1B840C31"/>
    <w:rsid w:val="1E5B7F7C"/>
    <w:rsid w:val="27223969"/>
    <w:rsid w:val="2AF25618"/>
    <w:rsid w:val="2D4D618A"/>
    <w:rsid w:val="2D8D1B8B"/>
    <w:rsid w:val="30422770"/>
    <w:rsid w:val="30D472A2"/>
    <w:rsid w:val="32C950CD"/>
    <w:rsid w:val="35F165C9"/>
    <w:rsid w:val="39ED1F78"/>
    <w:rsid w:val="41B43655"/>
    <w:rsid w:val="41C40B82"/>
    <w:rsid w:val="43554919"/>
    <w:rsid w:val="43FF2659"/>
    <w:rsid w:val="45B54699"/>
    <w:rsid w:val="48A56114"/>
    <w:rsid w:val="48CC7F68"/>
    <w:rsid w:val="4A9F6AE4"/>
    <w:rsid w:val="4B1E32E8"/>
    <w:rsid w:val="4FC94575"/>
    <w:rsid w:val="504B5B83"/>
    <w:rsid w:val="526E0F69"/>
    <w:rsid w:val="53E126F6"/>
    <w:rsid w:val="5D581725"/>
    <w:rsid w:val="62FE1D6B"/>
    <w:rsid w:val="64593189"/>
    <w:rsid w:val="671F2D41"/>
    <w:rsid w:val="68F53398"/>
    <w:rsid w:val="6B7542DF"/>
    <w:rsid w:val="6ECC4D0C"/>
    <w:rsid w:val="72240CA3"/>
    <w:rsid w:val="7256200D"/>
    <w:rsid w:val="77CB1DE5"/>
    <w:rsid w:val="79C30A2C"/>
    <w:rsid w:val="7B247E92"/>
    <w:rsid w:val="7FBF4449"/>
    <w:rsid w:val="A5FB279C"/>
    <w:rsid w:val="FCFE25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7">
    <w:name w:val="Default Paragraph Font"/>
    <w:semiHidden/>
    <w:unhideWhenUsed/>
    <w:uiPriority w:val="1"/>
  </w:style>
  <w:style w:type="table" w:default="1" w:styleId="34">
    <w:name w:val="Normal Table"/>
    <w:semiHidden/>
    <w:unhideWhenUsed/>
    <w:uiPriority w:val="99"/>
    <w:tblPr>
      <w:tblLayout w:type="fixed"/>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semiHidden/>
    <w:unhideWhenUsed/>
    <w:qFormat/>
    <w:uiPriority w:val="99"/>
    <w:pPr>
      <w:jc w:val="left"/>
    </w:pPr>
  </w:style>
  <w:style w:type="paragraph" w:styleId="14">
    <w:name w:val="Body Text"/>
    <w:basedOn w:val="1"/>
    <w:link w:val="88"/>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7"/>
    <w:semiHidden/>
    <w:unhideWhenUsed/>
    <w:qFormat/>
    <w:uiPriority w:val="99"/>
    <w:rPr>
      <w:sz w:val="18"/>
      <w:szCs w:val="18"/>
    </w:rPr>
  </w:style>
  <w:style w:type="paragraph" w:styleId="18">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5"/>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character" w:styleId="28">
    <w:name w:val="Strong"/>
    <w:qFormat/>
    <w:uiPriority w:val="22"/>
    <w:rPr>
      <w:b/>
      <w:bCs/>
    </w:rPr>
  </w:style>
  <w:style w:type="character" w:styleId="29">
    <w:name w:val="page number"/>
    <w:qFormat/>
    <w:uiPriority w:val="0"/>
    <w:rPr>
      <w:rFonts w:ascii="宋体" w:hAnsi="Times New Roman" w:eastAsia="宋体"/>
      <w:sz w:val="18"/>
    </w:rPr>
  </w:style>
  <w:style w:type="character" w:styleId="30">
    <w:name w:val="Emphasis"/>
    <w:qFormat/>
    <w:uiPriority w:val="20"/>
    <w:rPr>
      <w:i/>
      <w:iCs/>
    </w:rPr>
  </w:style>
  <w:style w:type="character" w:styleId="31">
    <w:name w:val="Hyperlink"/>
    <w:qFormat/>
    <w:uiPriority w:val="99"/>
    <w:rPr>
      <w:rFonts w:ascii="宋体" w:hAnsi="Times New Roman" w:eastAsia="宋体"/>
      <w:color w:val="auto"/>
      <w:spacing w:val="0"/>
      <w:w w:val="100"/>
      <w:position w:val="0"/>
      <w:sz w:val="21"/>
      <w:u w:val="none"/>
      <w:vertAlign w:val="baseline"/>
    </w:rPr>
  </w:style>
  <w:style w:type="character" w:styleId="32">
    <w:name w:val="annotation reference"/>
    <w:basedOn w:val="27"/>
    <w:semiHidden/>
    <w:unhideWhenUsed/>
    <w:qFormat/>
    <w:uiPriority w:val="99"/>
    <w:rPr>
      <w:sz w:val="21"/>
      <w:szCs w:val="21"/>
    </w:rPr>
  </w:style>
  <w:style w:type="character" w:styleId="33">
    <w:name w:val="footnote reference"/>
    <w:semiHidden/>
    <w:qFormat/>
    <w:uiPriority w:val="0"/>
    <w:rPr>
      <w:rFonts w:ascii="宋体" w:hAnsi="宋体" w:eastAsia="宋体" w:cs="Times New Roman"/>
      <w:spacing w:val="0"/>
      <w:sz w:val="18"/>
      <w:vertAlign w:val="superscript"/>
    </w:rPr>
  </w:style>
  <w:style w:type="table" w:styleId="35">
    <w:name w:val="Table Grid"/>
    <w:basedOn w:val="3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6">
    <w:name w:val="标题 1 字符"/>
    <w:link w:val="2"/>
    <w:qFormat/>
    <w:uiPriority w:val="0"/>
    <w:rPr>
      <w:rFonts w:ascii="Times New Roman" w:hAnsi="Times New Roman" w:eastAsia="宋体" w:cs="Times New Roman"/>
      <w:b/>
      <w:bCs/>
      <w:kern w:val="44"/>
      <w:sz w:val="44"/>
      <w:szCs w:val="44"/>
    </w:rPr>
  </w:style>
  <w:style w:type="character" w:customStyle="1" w:styleId="37">
    <w:name w:val="标题 2 字符"/>
    <w:link w:val="3"/>
    <w:qFormat/>
    <w:uiPriority w:val="0"/>
    <w:rPr>
      <w:rFonts w:ascii="Arial" w:hAnsi="Arial" w:eastAsia="黑体" w:cs="Times New Roman"/>
      <w:b/>
      <w:bCs/>
      <w:sz w:val="32"/>
      <w:szCs w:val="32"/>
    </w:rPr>
  </w:style>
  <w:style w:type="character" w:customStyle="1" w:styleId="38">
    <w:name w:val="标题 3 字符"/>
    <w:link w:val="4"/>
    <w:qFormat/>
    <w:uiPriority w:val="0"/>
    <w:rPr>
      <w:rFonts w:ascii="Times New Roman" w:hAnsi="Times New Roman" w:eastAsia="宋体" w:cs="Times New Roman"/>
      <w:b/>
      <w:bCs/>
      <w:sz w:val="32"/>
      <w:szCs w:val="32"/>
    </w:rPr>
  </w:style>
  <w:style w:type="character" w:customStyle="1" w:styleId="39">
    <w:name w:val="标题 4 字符"/>
    <w:link w:val="5"/>
    <w:qFormat/>
    <w:uiPriority w:val="0"/>
    <w:rPr>
      <w:rFonts w:ascii="Arial" w:hAnsi="Arial" w:eastAsia="黑体" w:cs="Times New Roman"/>
      <w:b/>
      <w:bCs/>
      <w:sz w:val="28"/>
      <w:szCs w:val="28"/>
    </w:rPr>
  </w:style>
  <w:style w:type="character" w:customStyle="1" w:styleId="40">
    <w:name w:val="标题 5 字符"/>
    <w:link w:val="6"/>
    <w:qFormat/>
    <w:uiPriority w:val="0"/>
    <w:rPr>
      <w:rFonts w:ascii="Times New Roman" w:hAnsi="Times New Roman" w:eastAsia="宋体" w:cs="Times New Roman"/>
      <w:b/>
      <w:bCs/>
      <w:sz w:val="28"/>
      <w:szCs w:val="28"/>
    </w:rPr>
  </w:style>
  <w:style w:type="character" w:customStyle="1" w:styleId="41">
    <w:name w:val="标题 6 字符"/>
    <w:link w:val="7"/>
    <w:qFormat/>
    <w:uiPriority w:val="0"/>
    <w:rPr>
      <w:rFonts w:ascii="Arial" w:hAnsi="Arial" w:eastAsia="黑体" w:cs="Times New Roman"/>
      <w:b/>
      <w:bCs/>
      <w:sz w:val="24"/>
      <w:szCs w:val="24"/>
    </w:rPr>
  </w:style>
  <w:style w:type="character" w:customStyle="1" w:styleId="42">
    <w:name w:val="标题 7 字符"/>
    <w:link w:val="8"/>
    <w:qFormat/>
    <w:uiPriority w:val="0"/>
    <w:rPr>
      <w:rFonts w:ascii="Times New Roman" w:hAnsi="Times New Roman" w:eastAsia="宋体" w:cs="Times New Roman"/>
      <w:b/>
      <w:bCs/>
      <w:sz w:val="24"/>
      <w:szCs w:val="24"/>
    </w:rPr>
  </w:style>
  <w:style w:type="character" w:customStyle="1" w:styleId="43">
    <w:name w:val="标题 8 字符"/>
    <w:link w:val="9"/>
    <w:qFormat/>
    <w:uiPriority w:val="0"/>
    <w:rPr>
      <w:rFonts w:ascii="Arial" w:hAnsi="Arial" w:eastAsia="黑体" w:cs="Times New Roman"/>
      <w:sz w:val="24"/>
      <w:szCs w:val="24"/>
    </w:rPr>
  </w:style>
  <w:style w:type="character" w:customStyle="1" w:styleId="44">
    <w:name w:val="标题 9 字符"/>
    <w:link w:val="10"/>
    <w:qFormat/>
    <w:uiPriority w:val="0"/>
    <w:rPr>
      <w:rFonts w:ascii="Arial" w:hAnsi="Arial" w:eastAsia="黑体" w:cs="Times New Roman"/>
      <w:szCs w:val="21"/>
    </w:rPr>
  </w:style>
  <w:style w:type="character" w:customStyle="1" w:styleId="45">
    <w:name w:val="页眉 字符"/>
    <w:link w:val="19"/>
    <w:qFormat/>
    <w:uiPriority w:val="99"/>
    <w:rPr>
      <w:rFonts w:ascii="Times New Roman" w:hAnsi="Times New Roman" w:eastAsia="宋体" w:cs="Times New Roman"/>
      <w:sz w:val="18"/>
      <w:szCs w:val="18"/>
    </w:rPr>
  </w:style>
  <w:style w:type="character" w:customStyle="1" w:styleId="46">
    <w:name w:val="页脚 字符"/>
    <w:link w:val="18"/>
    <w:qFormat/>
    <w:uiPriority w:val="99"/>
    <w:rPr>
      <w:rFonts w:ascii="宋体" w:hAnsi="Times New Roman" w:eastAsia="宋体" w:cs="Times New Roman"/>
      <w:sz w:val="18"/>
      <w:szCs w:val="18"/>
    </w:rPr>
  </w:style>
  <w:style w:type="character" w:customStyle="1" w:styleId="47">
    <w:name w:val="批注框文本 字符"/>
    <w:link w:val="17"/>
    <w:semiHidden/>
    <w:qFormat/>
    <w:uiPriority w:val="99"/>
    <w:rPr>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rPr>
  </w:style>
  <w:style w:type="character" w:customStyle="1" w:styleId="50">
    <w:name w:val="标题 字符"/>
    <w:link w:val="26"/>
    <w:qFormat/>
    <w:uiPriority w:val="0"/>
    <w:rPr>
      <w:rFonts w:ascii="Arial" w:hAnsi="Arial" w:eastAsia="宋体" w:cs="Arial"/>
      <w:b/>
      <w:bCs/>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4"/>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spacing w:beforeLines="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5"/>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5"/>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5"/>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4"/>
    <w:qFormat/>
    <w:uiPriority w:val="0"/>
    <w:rPr>
      <w:rFonts w:ascii="Times New Roman" w:hAnsi="Times New Roman" w:eastAsia="宋体" w:cs="Times New Roman"/>
      <w:szCs w:val="20"/>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pPr>
  </w:style>
  <w:style w:type="paragraph" w:customStyle="1" w:styleId="93">
    <w:name w:val="标准文件_目录标题"/>
    <w:basedOn w:val="1"/>
    <w:qFormat/>
    <w:uiPriority w:val="0"/>
    <w:pPr>
      <w:spacing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ind w:left="0" w:firstLine="200"/>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2"/>
    <w:semiHidden/>
    <w:qFormat/>
    <w:uiPriority w:val="0"/>
    <w:rPr>
      <w:rFonts w:ascii="宋体" w:hAnsi="Times New Roman" w:eastAsia="宋体" w:cs="Times New Roman"/>
      <w:sz w:val="18"/>
      <w:szCs w:val="18"/>
    </w:rPr>
  </w:style>
  <w:style w:type="paragraph" w:customStyle="1" w:styleId="102">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Lines="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tabs>
        <w:tab w:val="left" w:pos="851"/>
      </w:tabs>
      <w:ind w:left="851" w:hanging="426"/>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1"/>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semiHidden/>
    <w:qFormat/>
    <w:uiPriority w:val="0"/>
    <w:pPr>
      <w:adjustRightInd/>
      <w:spacing w:line="240" w:lineRule="auto"/>
      <w:jc w:val="left"/>
    </w:pPr>
    <w:rPr>
      <w:bCs/>
      <w:iCs/>
    </w:rPr>
  </w:style>
  <w:style w:type="paragraph" w:customStyle="1" w:styleId="145">
    <w:name w:val="目录 31"/>
    <w:basedOn w:val="1"/>
    <w:next w:val="1"/>
    <w:semiHidden/>
    <w:qFormat/>
    <w:uiPriority w:val="0"/>
    <w:pPr>
      <w:spacing w:line="240" w:lineRule="auto"/>
    </w:pPr>
    <w:rPr>
      <w:rFonts w:ascii="宋体" w:hAnsi="宋体"/>
      <w:iCs/>
    </w:rPr>
  </w:style>
  <w:style w:type="paragraph" w:customStyle="1" w:styleId="146">
    <w:name w:val="目录 41"/>
    <w:basedOn w:val="1"/>
    <w:next w:val="1"/>
    <w:semiHidden/>
    <w:qFormat/>
    <w:uiPriority w:val="0"/>
    <w:pPr>
      <w:adjustRightInd/>
      <w:spacing w:line="240" w:lineRule="auto"/>
      <w:jc w:val="left"/>
    </w:pPr>
  </w:style>
  <w:style w:type="paragraph" w:customStyle="1" w:styleId="147">
    <w:name w:val="目录 51"/>
    <w:basedOn w:val="1"/>
    <w:next w:val="1"/>
    <w:semiHidden/>
    <w:qFormat/>
    <w:uiPriority w:val="0"/>
    <w:pPr>
      <w:spacing w:line="240" w:lineRule="auto"/>
    </w:pPr>
    <w:rPr>
      <w:rFonts w:ascii="宋体" w:hAnsi="宋体"/>
    </w:rPr>
  </w:style>
  <w:style w:type="paragraph" w:customStyle="1" w:styleId="148">
    <w:name w:val="目录 61"/>
    <w:basedOn w:val="1"/>
    <w:next w:val="1"/>
    <w:semiHidden/>
    <w:qFormat/>
    <w:uiPriority w:val="0"/>
    <w:pPr>
      <w:adjustRightInd/>
      <w:spacing w:line="240" w:lineRule="auto"/>
      <w:jc w:val="left"/>
    </w:pPr>
  </w:style>
  <w:style w:type="paragraph" w:customStyle="1" w:styleId="149">
    <w:name w:val="目录 71"/>
    <w:basedOn w:val="148"/>
    <w:semiHidden/>
    <w:qFormat/>
    <w:uiPriority w:val="0"/>
    <w:pPr>
      <w:ind w:left="1260"/>
    </w:pPr>
  </w:style>
  <w:style w:type="paragraph" w:customStyle="1" w:styleId="150">
    <w:name w:val="目录 81"/>
    <w:basedOn w:val="149"/>
    <w:semiHidden/>
    <w:qFormat/>
    <w:uiPriority w:val="0"/>
    <w:pPr>
      <w:ind w:left="1470"/>
    </w:pPr>
  </w:style>
  <w:style w:type="paragraph" w:customStyle="1" w:styleId="151">
    <w:name w:val="目录 91"/>
    <w:basedOn w:val="150"/>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spacing w:line="0" w:lineRule="atLeast"/>
    </w:pPr>
    <w:rPr>
      <w:rFonts w:ascii="黑体" w:eastAsia="黑体"/>
      <w:b w:val="0"/>
    </w:rPr>
  </w:style>
  <w:style w:type="paragraph" w:customStyle="1" w:styleId="154">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xAlign="right"/>
      <w:jc w:val="right"/>
    </w:pPr>
  </w:style>
  <w:style w:type="paragraph" w:customStyle="1" w:styleId="15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qFormat/>
    <w:uiPriority w:val="0"/>
    <w:pPr>
      <w:jc w:val="both"/>
    </w:pPr>
    <w:rPr>
      <w:rFonts w:ascii="宋体" w:hAnsi="宋体" w:eastAsia="宋体" w:cs="Times New Roman"/>
      <w:sz w:val="21"/>
      <w:lang w:val="en-US" w:eastAsia="zh-CN" w:bidi="ar-SA"/>
    </w:rPr>
  </w:style>
  <w:style w:type="paragraph" w:customStyle="1" w:styleId="160">
    <w:name w:val="五级无标题条"/>
    <w:basedOn w:val="1"/>
    <w:qFormat/>
    <w:uiPriority w:val="0"/>
    <w:pPr>
      <w:numPr>
        <w:ilvl w:val="6"/>
        <w:numId w:val="20"/>
      </w:numPr>
      <w:adjustRightInd/>
    </w:pPr>
    <w:rPr>
      <w:szCs w:val="24"/>
    </w:rPr>
  </w:style>
  <w:style w:type="paragraph" w:customStyle="1" w:styleId="16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2">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Lines="0" w:afterLines="0"/>
      <w:outlineLvl w:val="9"/>
    </w:pPr>
    <w:rPr>
      <w:rFonts w:ascii="宋体" w:eastAsia="宋体"/>
    </w:rPr>
  </w:style>
  <w:style w:type="paragraph" w:customStyle="1" w:styleId="165">
    <w:name w:val="标准文件_五级无标题"/>
    <w:basedOn w:val="105"/>
    <w:qFormat/>
    <w:uiPriority w:val="0"/>
    <w:pPr>
      <w:spacing w:beforeLines="0" w:afterLines="0"/>
      <w:outlineLvl w:val="9"/>
    </w:pPr>
    <w:rPr>
      <w:rFonts w:ascii="宋体" w:eastAsia="宋体"/>
    </w:rPr>
  </w:style>
  <w:style w:type="paragraph" w:customStyle="1" w:styleId="166">
    <w:name w:val="标准文件_三级无标题"/>
    <w:basedOn w:val="96"/>
    <w:qFormat/>
    <w:uiPriority w:val="0"/>
    <w:pPr>
      <w:spacing w:beforeLines="0" w:afterLines="0"/>
      <w:outlineLvl w:val="9"/>
    </w:pPr>
    <w:rPr>
      <w:rFonts w:ascii="宋体" w:eastAsia="宋体"/>
    </w:rPr>
  </w:style>
  <w:style w:type="paragraph" w:customStyle="1" w:styleId="167">
    <w:name w:val="标准文件_二级无标题"/>
    <w:basedOn w:val="67"/>
    <w:qFormat/>
    <w:uiPriority w:val="0"/>
    <w:pPr>
      <w:spacing w:beforeLines="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Lines="0" w:afterLines="0"/>
      <w:outlineLvl w:val="9"/>
    </w:pPr>
    <w:rPr>
      <w:rFonts w:ascii="宋体" w:hAnsi="黑体" w:eastAsia="宋体"/>
      <w:szCs w:val="52"/>
    </w:rPr>
  </w:style>
  <w:style w:type="paragraph" w:customStyle="1" w:styleId="170">
    <w:name w:val="标准文件_大写罗马数字编号列项"/>
    <w:basedOn w:val="58"/>
    <w:qFormat/>
    <w:uiPriority w:val="0"/>
    <w:pPr>
      <w:numPr>
        <w:ilvl w:val="0"/>
        <w:numId w:val="22"/>
      </w:numPr>
      <w:ind w:firstLine="0" w:firstLineChars="0"/>
    </w:pPr>
    <w:rPr>
      <w:rFonts w:ascii="Times New Roman" w:cs="Arial"/>
      <w:szCs w:val="28"/>
    </w:rPr>
  </w:style>
  <w:style w:type="paragraph" w:customStyle="1" w:styleId="171">
    <w:name w:val="标准文件_小写罗马数字编号列项"/>
    <w:basedOn w:val="58"/>
    <w:qFormat/>
    <w:uiPriority w:val="0"/>
    <w:pPr>
      <w:numPr>
        <w:ilvl w:val="0"/>
        <w:numId w:val="23"/>
      </w:numPr>
      <w:ind w:firstLine="0" w:firstLineChars="0"/>
    </w:pPr>
    <w:rPr>
      <w:rFonts w:cs="Arial"/>
      <w:szCs w:val="28"/>
    </w:rPr>
  </w:style>
  <w:style w:type="paragraph" w:customStyle="1" w:styleId="172">
    <w:name w:val="标准文件_附录标题"/>
    <w:basedOn w:val="78"/>
    <w:qFormat/>
    <w:uiPriority w:val="0"/>
    <w:p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4"/>
      </w:numPr>
      <w:spacing w:line="536870612" w:lineRule="auto"/>
    </w:pPr>
    <w:rPr>
      <w:rFonts w:ascii="Times New Roman" w:hAnsi="Times New Roman"/>
    </w:rPr>
  </w:style>
  <w:style w:type="paragraph" w:customStyle="1" w:styleId="175">
    <w:name w:val="图表脚注说明"/>
    <w:basedOn w:val="1"/>
    <w:next w:val="58"/>
    <w:qFormat/>
    <w:uiPriority w:val="0"/>
    <w:pPr>
      <w:numPr>
        <w:ilvl w:val="0"/>
        <w:numId w:val="25"/>
      </w:numPr>
      <w:adjustRightInd/>
      <w:spacing w:line="240" w:lineRule="auto"/>
      <w:ind w:left="783"/>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7"/>
    <w:semiHidden/>
    <w:qFormat/>
    <w:uiPriority w:val="99"/>
    <w:rPr>
      <w:color w:val="808080"/>
    </w:rPr>
  </w:style>
  <w:style w:type="paragraph" w:customStyle="1" w:styleId="189">
    <w:name w:val="标准文件_二级项2"/>
    <w:basedOn w:val="58"/>
    <w:qFormat/>
    <w:uiPriority w:val="0"/>
    <w:pPr>
      <w:numPr>
        <w:ilvl w:val="1"/>
        <w:numId w:val="24"/>
      </w:numPr>
      <w:ind w:left="1271" w:hanging="420" w:firstLineChars="0"/>
    </w:pPr>
  </w:style>
  <w:style w:type="paragraph" w:customStyle="1" w:styleId="190">
    <w:name w:val="标准文件_三级项2"/>
    <w:basedOn w:val="58"/>
    <w:qFormat/>
    <w:uiPriority w:val="0"/>
    <w:pPr>
      <w:numPr>
        <w:ilvl w:val="0"/>
        <w:numId w:val="30"/>
      </w:numPr>
      <w:spacing w:line="300" w:lineRule="exact"/>
      <w:ind w:left="1276" w:hanging="425" w:firstLineChars="0"/>
    </w:pPr>
    <w:rPr>
      <w:rFonts w:ascii="Times New Roman"/>
    </w:rPr>
  </w:style>
  <w:style w:type="paragraph" w:customStyle="1" w:styleId="191">
    <w:name w:val="标准文件_一级项2"/>
    <w:basedOn w:val="58"/>
    <w:qFormat/>
    <w:uiPriority w:val="0"/>
    <w:pPr>
      <w:numPr>
        <w:ilvl w:val="0"/>
        <w:numId w:val="31"/>
      </w:numPr>
      <w:spacing w:line="300" w:lineRule="exact"/>
      <w:ind w:left="1271" w:hanging="420"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7"/>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qFormat/>
    <w:uiPriority w:val="0"/>
    <w:pPr>
      <w:framePr w:w="3997" w:h="471" w:hRule="exact" w:hSpace="0" w:vSpace="181" w:vAnchor="page" w:hAnchor="page" w:x="1419" w:y="14097"/>
    </w:pPr>
  </w:style>
  <w:style w:type="paragraph" w:customStyle="1" w:styleId="196">
    <w:name w:val="其他实施日期"/>
    <w:basedOn w:val="156"/>
    <w:qFormat/>
    <w:uiPriority w:val="0"/>
    <w:pPr>
      <w:framePr w:w="3997" w:h="471" w:hRule="exact" w:vSpace="181" w:vAnchor="page" w:hAnchor="page" w:x="7089" w:y="14097"/>
    </w:pPr>
  </w:style>
  <w:style w:type="paragraph" w:customStyle="1" w:styleId="197">
    <w:name w:val="标准文件_文件编号"/>
    <w:basedOn w:val="58"/>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framePr/>
      <w:spacing w:before="57"/>
    </w:pPr>
    <w:rPr>
      <w:sz w:val="21"/>
    </w:rPr>
  </w:style>
  <w:style w:type="paragraph" w:customStyle="1" w:styleId="199">
    <w:name w:val="标准文件_文件名称"/>
    <w:basedOn w:val="58"/>
    <w:next w:val="5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4"/>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Lines="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Lines="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Lines="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Lines="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Lines="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Lines="0" w:afterLines="0" w:line="276" w:lineRule="auto"/>
      <w:outlineLvl w:val="9"/>
    </w:pPr>
    <w:rPr>
      <w:rFonts w:ascii="宋体" w:eastAsia="宋体"/>
    </w:rPr>
  </w:style>
  <w:style w:type="paragraph" w:customStyle="1" w:styleId="214">
    <w:name w:val="标准文件_附录二级无标题"/>
    <w:basedOn w:val="81"/>
    <w:qFormat/>
    <w:uiPriority w:val="0"/>
    <w:pPr>
      <w:spacing w:beforeLines="0" w:afterLines="0" w:line="276" w:lineRule="auto"/>
      <w:outlineLvl w:val="9"/>
    </w:pPr>
    <w:rPr>
      <w:rFonts w:ascii="宋体" w:eastAsia="宋体"/>
    </w:rPr>
  </w:style>
  <w:style w:type="paragraph" w:customStyle="1" w:styleId="215">
    <w:name w:val="标准文件_附录三级无标题"/>
    <w:basedOn w:val="83"/>
    <w:qFormat/>
    <w:uiPriority w:val="0"/>
    <w:pPr>
      <w:spacing w:beforeLines="0" w:afterLines="0" w:line="276" w:lineRule="auto"/>
      <w:outlineLvl w:val="9"/>
    </w:pPr>
    <w:rPr>
      <w:rFonts w:ascii="宋体" w:eastAsia="宋体"/>
    </w:rPr>
  </w:style>
  <w:style w:type="paragraph" w:customStyle="1" w:styleId="216">
    <w:name w:val="标准文件_附录四级无标题"/>
    <w:basedOn w:val="84"/>
    <w:qFormat/>
    <w:uiPriority w:val="0"/>
    <w:pPr>
      <w:spacing w:beforeLines="0" w:afterLines="0" w:line="276" w:lineRule="auto"/>
      <w:outlineLvl w:val="9"/>
    </w:pPr>
    <w:rPr>
      <w:rFonts w:ascii="宋体" w:eastAsia="宋体"/>
    </w:rPr>
  </w:style>
  <w:style w:type="paragraph" w:customStyle="1" w:styleId="217">
    <w:name w:val="标准文件_附录五级无标题"/>
    <w:basedOn w:val="86"/>
    <w:qFormat/>
    <w:uiPriority w:val="0"/>
    <w:pPr>
      <w:spacing w:beforeLines="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Lines="0" w:afterLines="0" w:line="276" w:lineRule="auto"/>
    </w:pPr>
    <w:rPr>
      <w:rFonts w:ascii="宋体" w:eastAsia="宋体"/>
    </w:rPr>
  </w:style>
  <w:style w:type="paragraph" w:customStyle="1" w:styleId="219">
    <w:name w:val="标准文件_引言二级无标题"/>
    <w:basedOn w:val="203"/>
    <w:next w:val="58"/>
    <w:qFormat/>
    <w:uiPriority w:val="0"/>
    <w:pPr>
      <w:spacing w:beforeLines="0" w:afterLines="0" w:line="276" w:lineRule="auto"/>
    </w:pPr>
    <w:rPr>
      <w:rFonts w:ascii="宋体" w:eastAsia="宋体"/>
    </w:rPr>
  </w:style>
  <w:style w:type="paragraph" w:customStyle="1" w:styleId="220">
    <w:name w:val="标准文件_引言三级无标题"/>
    <w:basedOn w:val="204"/>
    <w:next w:val="58"/>
    <w:qFormat/>
    <w:uiPriority w:val="0"/>
    <w:pPr>
      <w:spacing w:beforeLines="0" w:afterLines="0" w:line="276" w:lineRule="auto"/>
    </w:pPr>
    <w:rPr>
      <w:rFonts w:ascii="宋体" w:eastAsia="宋体"/>
    </w:rPr>
  </w:style>
  <w:style w:type="paragraph" w:customStyle="1" w:styleId="221">
    <w:name w:val="标准文件_引言四级无标题"/>
    <w:basedOn w:val="205"/>
    <w:next w:val="58"/>
    <w:qFormat/>
    <w:uiPriority w:val="0"/>
    <w:pPr>
      <w:spacing w:beforeLines="0" w:afterLines="0" w:line="276" w:lineRule="auto"/>
    </w:pPr>
    <w:rPr>
      <w:rFonts w:ascii="宋体" w:eastAsia="宋体"/>
    </w:rPr>
  </w:style>
  <w:style w:type="paragraph" w:customStyle="1" w:styleId="222">
    <w:name w:val="标准文件_引言五级无标题"/>
    <w:basedOn w:val="206"/>
    <w:next w:val="58"/>
    <w:qFormat/>
    <w:uiPriority w:val="0"/>
    <w:pPr>
      <w:spacing w:beforeLines="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7"/>
    <w:qFormat/>
    <w:uiPriority w:val="0"/>
    <w:rPr>
      <w:rFonts w:ascii="黑体" w:eastAsia="黑体"/>
      <w:spacing w:val="85"/>
      <w:w w:val="100"/>
      <w:position w:val="3"/>
      <w:sz w:val="28"/>
      <w:szCs w:val="28"/>
    </w:rPr>
  </w:style>
  <w:style w:type="paragraph" w:customStyle="1" w:styleId="232">
    <w:name w:val="修订1"/>
    <w:hidden/>
    <w:unhideWhenUsed/>
    <w:qFormat/>
    <w:uiPriority w:val="99"/>
    <w:rPr>
      <w:rFonts w:ascii="Calibri" w:hAnsi="Calibri" w:eastAsia="宋体" w:cs="Times New Roman"/>
      <w:kern w:val="2"/>
      <w:sz w:val="21"/>
      <w:szCs w:val="21"/>
      <w:lang w:val="en-US" w:eastAsia="zh-CN" w:bidi="ar-SA"/>
    </w:rPr>
  </w:style>
  <w:style w:type="paragraph" w:customStyle="1" w:styleId="23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4">
    <w:name w:val="一级条标题"/>
    <w:next w:val="233"/>
    <w:qFormat/>
    <w:uiPriority w:val="0"/>
    <w:pPr>
      <w:numPr>
        <w:ilvl w:val="1"/>
        <w:numId w:val="32"/>
      </w:numPr>
      <w:spacing w:before="156" w:beforeLines="50" w:after="156" w:afterLines="50"/>
      <w:ind w:left="0"/>
      <w:outlineLvl w:val="2"/>
    </w:pPr>
    <w:rPr>
      <w:rFonts w:ascii="黑体" w:hAnsi="Times New Roman" w:eastAsia="黑体" w:cs="Times New Roman"/>
      <w:sz w:val="21"/>
      <w:szCs w:val="21"/>
      <w:lang w:val="en-US" w:eastAsia="zh-CN" w:bidi="ar-SA"/>
    </w:rPr>
  </w:style>
  <w:style w:type="paragraph" w:customStyle="1" w:styleId="235">
    <w:name w:val="章标题"/>
    <w:next w:val="233"/>
    <w:qFormat/>
    <w:uiPriority w:val="0"/>
    <w:pPr>
      <w:numPr>
        <w:ilvl w:val="0"/>
        <w:numId w:val="3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6">
    <w:name w:val="列项——（一级）"/>
    <w:qFormat/>
    <w:uiPriority w:val="0"/>
    <w:pPr>
      <w:widowControl w:val="0"/>
      <w:numPr>
        <w:ilvl w:val="0"/>
        <w:numId w:val="24"/>
      </w:numPr>
      <w:jc w:val="both"/>
    </w:pPr>
    <w:rPr>
      <w:rFonts w:ascii="宋体" w:hAnsi="Times New Roman" w:eastAsia="宋体" w:cs="Times New Roman"/>
      <w:sz w:val="21"/>
      <w:lang w:val="en-US" w:eastAsia="zh-CN" w:bidi="ar-SA"/>
    </w:rPr>
  </w:style>
  <w:style w:type="paragraph" w:customStyle="1" w:styleId="237">
    <w:name w:val="二级条标题"/>
    <w:basedOn w:val="234"/>
    <w:next w:val="233"/>
    <w:qFormat/>
    <w:uiPriority w:val="0"/>
    <w:pPr>
      <w:numPr>
        <w:ilvl w:val="2"/>
      </w:numPr>
      <w:spacing w:before="50" w:after="50"/>
      <w:outlineLvl w:val="3"/>
    </w:pPr>
  </w:style>
  <w:style w:type="paragraph" w:customStyle="1" w:styleId="238">
    <w:name w:val="附录标识"/>
    <w:basedOn w:val="1"/>
    <w:next w:val="233"/>
    <w:qFormat/>
    <w:uiPriority w:val="0"/>
    <w:pPr>
      <w:keepNext/>
      <w:widowControl/>
      <w:numPr>
        <w:ilvl w:val="0"/>
        <w:numId w:val="5"/>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239">
    <w:name w:val="附录一级条标题"/>
    <w:basedOn w:val="240"/>
    <w:next w:val="233"/>
    <w:qFormat/>
    <w:uiPriority w:val="0"/>
    <w:pPr>
      <w:numPr>
        <w:ilvl w:val="2"/>
      </w:numPr>
      <w:tabs>
        <w:tab w:val="left" w:pos="360"/>
      </w:tabs>
      <w:autoSpaceDN w:val="0"/>
      <w:spacing w:before="50" w:beforeLines="50" w:after="50" w:afterLines="50"/>
      <w:outlineLvl w:val="2"/>
    </w:pPr>
  </w:style>
  <w:style w:type="paragraph" w:customStyle="1" w:styleId="240">
    <w:name w:val="附录章标题"/>
    <w:next w:val="233"/>
    <w:qFormat/>
    <w:uiPriority w:val="0"/>
    <w:pPr>
      <w:numPr>
        <w:ilvl w:val="1"/>
        <w:numId w:val="5"/>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glossaryDocument" Target="glossary/document.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26D482D811A4E8CA8BA3C05B0FD4B7D"/>
        <w:style w:val=""/>
        <w:category>
          <w:name w:val="常规"/>
          <w:gallery w:val="placeholder"/>
        </w:category>
        <w:types>
          <w:type w:val="bbPlcHdr"/>
        </w:types>
        <w:behaviors>
          <w:behavior w:val="content"/>
        </w:behaviors>
        <w:description w:val=""/>
        <w:guid w:val="{8D7990B7-FDDF-48BB-A0D1-E633B763ED9A}"/>
      </w:docPartPr>
      <w:docPartBody>
        <w:p>
          <w:pPr>
            <w:pStyle w:val="5"/>
            <w:rPr>
              <w:rFonts w:hint="eastAsia"/>
            </w:rPr>
          </w:pPr>
          <w:r>
            <w:rPr>
              <w:rStyle w:val="4"/>
              <w:rFonts w:hint="eastAsia"/>
            </w:rPr>
            <w:t>单击或点击此处输入文字。</w:t>
          </w:r>
        </w:p>
      </w:docPartBody>
    </w:docPart>
    <w:docPart>
      <w:docPartPr>
        <w:name w:val="2E4F30BE217C40ECAA237312A9BF0BAF"/>
        <w:style w:val=""/>
        <w:category>
          <w:name w:val="常规"/>
          <w:gallery w:val="placeholder"/>
        </w:category>
        <w:types>
          <w:type w:val="bbPlcHdr"/>
        </w:types>
        <w:behaviors>
          <w:behavior w:val="content"/>
        </w:behaviors>
        <w:description w:val=""/>
        <w:guid w:val="{1374451A-FFD7-4D3C-BFC7-8A3DFD1FB05D}"/>
      </w:docPartPr>
      <w:docPartBody>
        <w:p>
          <w:pPr>
            <w:pStyle w:val="6"/>
            <w:rPr>
              <w:rFonts w:hint="eastAsia"/>
            </w:rPr>
          </w:pPr>
          <w:r>
            <w:rPr>
              <w:rStyle w:val="4"/>
              <w:rFonts w:hint="eastAsia"/>
            </w:rPr>
            <w:t>选择一项。</w:t>
          </w:r>
        </w:p>
      </w:docPartBody>
    </w:docPart>
    <w:docPart>
      <w:docPartPr>
        <w:name w:val="9D271C2E4BA1412B950141E97380CA59"/>
        <w:style w:val=""/>
        <w:category>
          <w:name w:val="常规"/>
          <w:gallery w:val="placeholder"/>
        </w:category>
        <w:types>
          <w:type w:val="bbPlcHdr"/>
        </w:types>
        <w:behaviors>
          <w:behavior w:val="content"/>
        </w:behaviors>
        <w:description w:val=""/>
        <w:guid w:val="{4E888188-C0A0-4E3D-B262-C3E8D9EDAD3C}"/>
      </w:docPartPr>
      <w:docPartBody>
        <w:p>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28D"/>
    <w:rsid w:val="000066FE"/>
    <w:rsid w:val="0006054E"/>
    <w:rsid w:val="0009228D"/>
    <w:rsid w:val="000A702D"/>
    <w:rsid w:val="000B574E"/>
    <w:rsid w:val="00144383"/>
    <w:rsid w:val="001B6336"/>
    <w:rsid w:val="002D12E4"/>
    <w:rsid w:val="003266F3"/>
    <w:rsid w:val="00327D50"/>
    <w:rsid w:val="0038366F"/>
    <w:rsid w:val="00384655"/>
    <w:rsid w:val="005441C2"/>
    <w:rsid w:val="00566735"/>
    <w:rsid w:val="00590913"/>
    <w:rsid w:val="005C07B2"/>
    <w:rsid w:val="005C7853"/>
    <w:rsid w:val="005F0E6C"/>
    <w:rsid w:val="006217E3"/>
    <w:rsid w:val="00667F08"/>
    <w:rsid w:val="006B199F"/>
    <w:rsid w:val="006D1F7F"/>
    <w:rsid w:val="006D7A01"/>
    <w:rsid w:val="006E28E3"/>
    <w:rsid w:val="00706A62"/>
    <w:rsid w:val="007B3342"/>
    <w:rsid w:val="007C597E"/>
    <w:rsid w:val="007C5E11"/>
    <w:rsid w:val="007D777A"/>
    <w:rsid w:val="007F4D4E"/>
    <w:rsid w:val="0085625A"/>
    <w:rsid w:val="008D4E45"/>
    <w:rsid w:val="009868BD"/>
    <w:rsid w:val="009C31C8"/>
    <w:rsid w:val="009E439D"/>
    <w:rsid w:val="00A67BC1"/>
    <w:rsid w:val="00A838D3"/>
    <w:rsid w:val="00AC7E8B"/>
    <w:rsid w:val="00BB031A"/>
    <w:rsid w:val="00C36008"/>
    <w:rsid w:val="00C7273A"/>
    <w:rsid w:val="00C74AC9"/>
    <w:rsid w:val="00C8222A"/>
    <w:rsid w:val="00C9491A"/>
    <w:rsid w:val="00CC33B4"/>
    <w:rsid w:val="00D63D38"/>
    <w:rsid w:val="00D75114"/>
    <w:rsid w:val="00E10189"/>
    <w:rsid w:val="00E109D1"/>
    <w:rsid w:val="00E422D6"/>
    <w:rsid w:val="00ED71AF"/>
    <w:rsid w:val="00F06F19"/>
    <w:rsid w:val="00F570CE"/>
    <w:rsid w:val="00F956BD"/>
    <w:rsid w:val="00FA0376"/>
    <w:rsid w:val="00FD54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26D482D811A4E8CA8BA3C05B0FD4B7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E4F30BE217C40ECAA237312A9BF0BA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9D271C2E4BA1412B950141E97380CA5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9</Pages>
  <Words>1085</Words>
  <Characters>6185</Characters>
  <Lines>51</Lines>
  <Paragraphs>14</Paragraphs>
  <TotalTime>4</TotalTime>
  <ScaleCrop>false</ScaleCrop>
  <LinksUpToDate>false</LinksUpToDate>
  <CharactersWithSpaces>7256</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2024-10-31T03:32:00Z</dcterms:created>
  <dc:creator>NKY</dc:creator>
  <cp:lastModifiedBy>Administrator</cp:lastModifiedBy>
  <cp:lastPrinted>2023-08-02T05:11:00Z</cp:lastPrinted>
  <dcterms:modified xsi:type="dcterms:W3CDTF">2024-11-13T02:36:05Z</dcterms:modified>
  <dc:title>地方标准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2052-11.1.0.8214</vt:lpwstr>
  </property>
  <property fmtid="{D5CDD505-2E9C-101B-9397-08002B2CF9AE}" pid="15" name="ICV">
    <vt:lpwstr>A7F8921D2406409BB4423C49F9788E08_13</vt:lpwstr>
  </property>
</Properties>
</file>