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5"/>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w:t>
            </w:r>
            <w:r>
              <w:rPr>
                <w:rFonts w:ascii="黑体" w:hAnsi="黑体" w:eastAsia="黑体"/>
                <w:sz w:val="21"/>
                <w:szCs w:val="21"/>
              </w:rPr>
              <w:t>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 xml:space="preserve"> 20</w:t>
            </w:r>
            <w:r>
              <w:rPr>
                <w:rFonts w:ascii="黑体" w:hAnsi="黑体" w:eastAsia="黑体"/>
                <w:sz w:val="21"/>
                <w:szCs w:val="21"/>
              </w:rPr>
              <w:fldChar w:fldCharType="end"/>
            </w:r>
            <w:bookmarkEnd w:id="1"/>
          </w:p>
        </w:tc>
      </w:tr>
    </w:tbl>
    <w:tbl>
      <w:tblPr>
        <w:tblStyle w:val="35"/>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65</w:t>
            </w:r>
            <w:r>
              <w:rPr>
                <w:rFonts w:hint="eastAsia"/>
                <w:lang w:val="en-US" w:eastAsia="zh-CN"/>
              </w:rPr>
              <w:t>40</w:t>
            </w:r>
            <w:r>
              <w:fldChar w:fldCharType="end"/>
            </w:r>
            <w:bookmarkEnd w:id="3"/>
          </w:p>
        </w:tc>
      </w:tr>
    </w:tbl>
    <w:p>
      <w:pPr>
        <w:pStyle w:val="52"/>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新疆维吾尔自治区</w:t>
      </w:r>
      <w:r>
        <w:rPr>
          <w:rFonts w:hint="eastAsia" w:ascii="黑体" w:eastAsia="黑体"/>
          <w:b w:val="0"/>
          <w:w w:val="100"/>
          <w:sz w:val="48"/>
          <w:lang w:eastAsia="zh-CN"/>
        </w:rPr>
        <w:t>伊犁哈萨克自治州</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6540</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     </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eastAsia="zh-CN"/>
        </w:rPr>
        <w:t>2</w:t>
      </w:r>
      <w:r>
        <w:rPr>
          <w:rFonts w:hint="eastAsia"/>
          <w:lang w:val="en-US" w:eastAsia="zh-CN"/>
        </w:rPr>
        <w:t>024</w:t>
      </w:r>
      <w:r>
        <w:fldChar w:fldCharType="end"/>
      </w:r>
      <w:bookmarkEnd w:id="7"/>
    </w:p>
    <w:p>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2"/>
        <w:framePr w:w="9639" w:h="6976" w:hRule="exact" w:hSpace="0" w:vSpace="0" w:hAnchor="page" w:y="6408"/>
        <w:jc w:val="center"/>
        <w:rPr>
          <w:rFonts w:ascii="黑体" w:hAnsi="黑体" w:eastAsia="黑体"/>
          <w:b w:val="0"/>
          <w:bCs w:val="0"/>
          <w:w w:val="100"/>
        </w:rPr>
      </w:pPr>
    </w:p>
    <w:p>
      <w:pPr>
        <w:pStyle w:val="199"/>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甘蓝型双低春油菜全程机械化生产技术规程</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standard operation technical for Whole-process Mechanized Production of Brassica Napus</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伊犁哈萨克自治州</w:t>
      </w:r>
      <w:r>
        <w:rPr>
          <w:rFonts w:hint="eastAsia" w:hAnsi="黑体"/>
          <w:w w:val="100"/>
          <w:sz w:val="28"/>
        </w:rPr>
        <w:t>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3"/>
        <w:spacing w:after="468"/>
        <w:rPr>
          <w:rFonts w:hint="eastAsia" w:eastAsia="黑体"/>
          <w:lang w:eastAsia="zh-CN"/>
        </w:rPr>
      </w:pPr>
      <w:bookmarkStart w:id="21" w:name="BookMark1"/>
      <w:r>
        <w:rPr>
          <w:spacing w:val="320"/>
        </w:rPr>
        <w:t>目</w:t>
      </w:r>
      <w:r>
        <w:rPr>
          <w:rFonts w:hint="eastAsia"/>
          <w:spacing w:val="320"/>
          <w:lang w:eastAsia="zh-CN"/>
        </w:rPr>
        <w:t>录</w:t>
      </w:r>
      <w:bookmarkStart w:id="174" w:name="_GoBack"/>
      <w:bookmarkEnd w:id="174"/>
    </w:p>
    <w:p>
      <w:pPr>
        <w:pStyle w:val="21"/>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"_Toc64557418" </w:instrText>
      </w:r>
      <w:r>
        <w:fldChar w:fldCharType="separate"/>
      </w:r>
      <w:r>
        <w:rPr>
          <w:rStyle w:val="32"/>
        </w:rPr>
        <w:t>1  范围</w:t>
      </w:r>
      <w:r>
        <w:tab/>
      </w:r>
      <w:r>
        <w:fldChar w:fldCharType="begin"/>
      </w:r>
      <w:r>
        <w:instrText xml:space="preserve"> PAGEREF _Toc64557418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"_Toc64557419" </w:instrText>
      </w:r>
      <w:r>
        <w:fldChar w:fldCharType="separate"/>
      </w:r>
      <w:r>
        <w:rPr>
          <w:rStyle w:val="32"/>
        </w:rPr>
        <w:t>2  规范性引用文件</w:t>
      </w:r>
      <w:r>
        <w:tab/>
      </w:r>
      <w:r>
        <w:fldChar w:fldCharType="begin"/>
      </w:r>
      <w:r>
        <w:instrText xml:space="preserve"> PAGEREF _Toc64557419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"_Toc64557420" </w:instrText>
      </w:r>
      <w:r>
        <w:fldChar w:fldCharType="separate"/>
      </w:r>
      <w:r>
        <w:rPr>
          <w:rStyle w:val="32"/>
        </w:rPr>
        <w:t>3  术语和定义</w:t>
      </w:r>
      <w:r>
        <w:tab/>
      </w:r>
      <w:r>
        <w:fldChar w:fldCharType="begin"/>
      </w:r>
      <w:r>
        <w:instrText xml:space="preserve"> PAGEREF _Toc64557420 \h </w:instrText>
      </w:r>
      <w:r>
        <w:fldChar w:fldCharType="separate"/>
      </w:r>
      <w:r>
        <w:t>1</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"_Toc64557421" </w:instrText>
      </w:r>
      <w:r>
        <w:fldChar w:fldCharType="separate"/>
      </w:r>
      <w:r>
        <w:rPr>
          <w:rStyle w:val="32"/>
          <w14:scene3d>
            <w14:lightRig w14:rig="threePt" w14:dir="t">
              <w14:rot w14:lat="0" w14:lon="0" w14:rev="0"/>
            </w14:lightRig>
          </w14:scene3d>
        </w:rPr>
        <w:t xml:space="preserve">3.1 </w:t>
      </w:r>
      <w:r>
        <w:rPr>
          <w:rStyle w:val="32"/>
        </w:rPr>
        <w:t xml:space="preserve"> 土壤封闭除草</w:t>
      </w:r>
      <w:r>
        <w:tab/>
      </w:r>
      <w:r>
        <w:fldChar w:fldCharType="begin"/>
      </w:r>
      <w:r>
        <w:instrText xml:space="preserve"> PAGEREF _Toc64557421 \h </w:instrText>
      </w:r>
      <w:r>
        <w:fldChar w:fldCharType="separate"/>
      </w:r>
      <w:r>
        <w:t>1</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"_Toc64557422" </w:instrText>
      </w:r>
      <w:r>
        <w:fldChar w:fldCharType="separate"/>
      </w:r>
      <w:r>
        <w:rPr>
          <w:rStyle w:val="32"/>
          <w14:scene3d>
            <w14:lightRig w14:rig="threePt" w14:dir="t">
              <w14:rot w14:lat="0" w14:lon="0" w14:rev="0"/>
            </w14:lightRig>
          </w14:scene3d>
        </w:rPr>
        <w:t xml:space="preserve">3.2 </w:t>
      </w:r>
      <w:r>
        <w:rPr>
          <w:rStyle w:val="32"/>
        </w:rPr>
        <w:t xml:space="preserve"> 缓释施肥</w:t>
      </w:r>
      <w:r>
        <w:tab/>
      </w:r>
      <w:r>
        <w:fldChar w:fldCharType="begin"/>
      </w:r>
      <w:r>
        <w:instrText xml:space="preserve"> PAGEREF _Toc64557422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"_Toc64557423" </w:instrText>
      </w:r>
      <w:r>
        <w:fldChar w:fldCharType="separate"/>
      </w:r>
      <w:r>
        <w:rPr>
          <w:rStyle w:val="32"/>
        </w:rPr>
        <w:t>4  播前准备</w:t>
      </w:r>
      <w:r>
        <w:tab/>
      </w:r>
      <w:r>
        <w:fldChar w:fldCharType="begin"/>
      </w:r>
      <w:r>
        <w:instrText xml:space="preserve"> PAGEREF _Toc64557423 \h </w:instrText>
      </w:r>
      <w:r>
        <w:fldChar w:fldCharType="separate"/>
      </w:r>
      <w:r>
        <w:t>1</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"_Toc64557424" </w:instrText>
      </w:r>
      <w:r>
        <w:fldChar w:fldCharType="separate"/>
      </w:r>
      <w:r>
        <w:rPr>
          <w:rStyle w:val="32"/>
          <w14:scene3d>
            <w14:lightRig w14:rig="threePt" w14:dir="t">
              <w14:rot w14:lat="0" w14:lon="0" w14:rev="0"/>
            </w14:lightRig>
          </w14:scene3d>
        </w:rPr>
        <w:t xml:space="preserve">4.1 </w:t>
      </w:r>
      <w:r>
        <w:rPr>
          <w:rStyle w:val="32"/>
        </w:rPr>
        <w:t xml:space="preserve"> 土地选择</w:t>
      </w:r>
      <w:r>
        <w:tab/>
      </w:r>
      <w:r>
        <w:fldChar w:fldCharType="begin"/>
      </w:r>
      <w:r>
        <w:instrText xml:space="preserve"> PAGEREF _Toc64557424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"_Toc64557425" </w:instrText>
      </w:r>
      <w:r>
        <w:fldChar w:fldCharType="separate"/>
      </w:r>
      <w:r>
        <w:rPr>
          <w:rStyle w:val="32"/>
          <w14:scene3d>
            <w14:lightRig w14:rig="threePt" w14:dir="t">
              <w14:rot w14:lat="0" w14:lon="0" w14:rev="0"/>
            </w14:lightRig>
          </w14:scene3d>
        </w:rPr>
        <w:t xml:space="preserve">4.2 </w:t>
      </w:r>
      <w:r>
        <w:rPr>
          <w:rStyle w:val="32"/>
        </w:rPr>
        <w:t xml:space="preserve"> 土地耕整</w:t>
      </w:r>
      <w:r>
        <w:tab/>
      </w:r>
      <w:r>
        <w:fldChar w:fldCharType="begin"/>
      </w:r>
      <w:r>
        <w:instrText xml:space="preserve"> PAGEREF _Toc64557425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"_Toc64557426" </w:instrText>
      </w:r>
      <w:r>
        <w:fldChar w:fldCharType="separate"/>
      </w:r>
      <w:r>
        <w:rPr>
          <w:rStyle w:val="32"/>
          <w14:scene3d>
            <w14:lightRig w14:rig="threePt" w14:dir="t">
              <w14:rot w14:lat="0" w14:lon="0" w14:rev="0"/>
            </w14:lightRig>
          </w14:scene3d>
        </w:rPr>
        <w:t xml:space="preserve">4.3 </w:t>
      </w:r>
      <w:r>
        <w:rPr>
          <w:rStyle w:val="32"/>
        </w:rPr>
        <w:t xml:space="preserve"> 品种选择</w:t>
      </w:r>
      <w:r>
        <w:tab/>
      </w:r>
      <w:r>
        <w:fldChar w:fldCharType="begin"/>
      </w:r>
      <w:r>
        <w:instrText xml:space="preserve"> PAGEREF _Toc64557426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"_Toc64557427" </w:instrText>
      </w:r>
      <w:r>
        <w:fldChar w:fldCharType="separate"/>
      </w:r>
      <w:r>
        <w:rPr>
          <w:rStyle w:val="32"/>
          <w14:scene3d>
            <w14:lightRig w14:rig="threePt" w14:dir="t">
              <w14:rot w14:lat="0" w14:lon="0" w14:rev="0"/>
            </w14:lightRig>
          </w14:scene3d>
        </w:rPr>
        <w:t xml:space="preserve">4.4 </w:t>
      </w:r>
      <w:r>
        <w:rPr>
          <w:rStyle w:val="32"/>
        </w:rPr>
        <w:t xml:space="preserve"> 种子包衣</w:t>
      </w:r>
      <w:r>
        <w:tab/>
      </w:r>
      <w:r>
        <w:fldChar w:fldCharType="begin"/>
      </w:r>
      <w:r>
        <w:instrText xml:space="preserve"> PAGEREF _Toc64557427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"_Toc64557428" </w:instrText>
      </w:r>
      <w:r>
        <w:fldChar w:fldCharType="separate"/>
      </w:r>
      <w:r>
        <w:rPr>
          <w:rStyle w:val="32"/>
          <w14:scene3d>
            <w14:lightRig w14:rig="threePt" w14:dir="t">
              <w14:rot w14:lat="0" w14:lon="0" w14:rev="0"/>
            </w14:lightRig>
          </w14:scene3d>
        </w:rPr>
        <w:t xml:space="preserve">4.5 </w:t>
      </w:r>
      <w:r>
        <w:rPr>
          <w:rStyle w:val="32"/>
        </w:rPr>
        <w:t xml:space="preserve"> 机械调试</w:t>
      </w:r>
      <w:r>
        <w:tab/>
      </w:r>
      <w:r>
        <w:fldChar w:fldCharType="begin"/>
      </w:r>
      <w:r>
        <w:instrText xml:space="preserve"> PAGEREF _Toc64557428 \h </w:instrText>
      </w:r>
      <w:r>
        <w:fldChar w:fldCharType="separate"/>
      </w:r>
      <w:r>
        <w:t>2</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"_Toc64557429" </w:instrText>
      </w:r>
      <w:r>
        <w:fldChar w:fldCharType="separate"/>
      </w:r>
      <w:r>
        <w:rPr>
          <w:rStyle w:val="32"/>
        </w:rPr>
        <w:t>5  机械化播种</w:t>
      </w:r>
      <w:r>
        <w:tab/>
      </w:r>
      <w:r>
        <w:fldChar w:fldCharType="begin"/>
      </w:r>
      <w:r>
        <w:instrText xml:space="preserve"> PAGEREF _Toc64557429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"_Toc64557430" </w:instrText>
      </w:r>
      <w:r>
        <w:fldChar w:fldCharType="separate"/>
      </w:r>
      <w:r>
        <w:rPr>
          <w:rStyle w:val="32"/>
          <w14:scene3d>
            <w14:lightRig w14:rig="threePt" w14:dir="t">
              <w14:rot w14:lat="0" w14:lon="0" w14:rev="0"/>
            </w14:lightRig>
          </w14:scene3d>
        </w:rPr>
        <w:t xml:space="preserve">5.1 </w:t>
      </w:r>
      <w:r>
        <w:rPr>
          <w:rStyle w:val="32"/>
        </w:rPr>
        <w:t xml:space="preserve"> 缓释施肥</w:t>
      </w:r>
      <w:r>
        <w:tab/>
      </w:r>
      <w:r>
        <w:fldChar w:fldCharType="begin"/>
      </w:r>
      <w:r>
        <w:instrText xml:space="preserve"> PAGEREF _Toc64557430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"_Toc64557431" </w:instrText>
      </w:r>
      <w:r>
        <w:fldChar w:fldCharType="separate"/>
      </w:r>
      <w:r>
        <w:rPr>
          <w:rStyle w:val="32"/>
          <w14:scene3d>
            <w14:lightRig w14:rig="threePt" w14:dir="t">
              <w14:rot w14:lat="0" w14:lon="0" w14:rev="0"/>
            </w14:lightRig>
          </w14:scene3d>
        </w:rPr>
        <w:t xml:space="preserve">5.2 </w:t>
      </w:r>
      <w:r>
        <w:rPr>
          <w:rStyle w:val="32"/>
        </w:rPr>
        <w:t xml:space="preserve"> 适期播种</w:t>
      </w:r>
      <w:r>
        <w:tab/>
      </w:r>
      <w:r>
        <w:fldChar w:fldCharType="begin"/>
      </w:r>
      <w:r>
        <w:instrText xml:space="preserve"> PAGEREF _Toc64557431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"_Toc64557432" </w:instrText>
      </w:r>
      <w:r>
        <w:fldChar w:fldCharType="separate"/>
      </w:r>
      <w:r>
        <w:rPr>
          <w:rStyle w:val="32"/>
          <w14:scene3d>
            <w14:lightRig w14:rig="threePt" w14:dir="t">
              <w14:rot w14:lat="0" w14:lon="0" w14:rev="0"/>
            </w14:lightRig>
          </w14:scene3d>
        </w:rPr>
        <w:t xml:space="preserve">5.3 </w:t>
      </w:r>
      <w:r>
        <w:rPr>
          <w:rStyle w:val="32"/>
        </w:rPr>
        <w:t xml:space="preserve"> 播种方式</w:t>
      </w:r>
      <w:r>
        <w:tab/>
      </w:r>
      <w:r>
        <w:fldChar w:fldCharType="begin"/>
      </w:r>
      <w:r>
        <w:instrText xml:space="preserve"> PAGEREF _Toc64557432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"_Toc64557433" </w:instrText>
      </w:r>
      <w:r>
        <w:fldChar w:fldCharType="separate"/>
      </w:r>
      <w:r>
        <w:rPr>
          <w:rStyle w:val="32"/>
          <w14:scene3d>
            <w14:lightRig w14:rig="threePt" w14:dir="t">
              <w14:rot w14:lat="0" w14:lon="0" w14:rev="0"/>
            </w14:lightRig>
          </w14:scene3d>
        </w:rPr>
        <w:t xml:space="preserve">5.4 </w:t>
      </w:r>
      <w:r>
        <w:rPr>
          <w:rStyle w:val="32"/>
        </w:rPr>
        <w:t xml:space="preserve"> 播种密度</w:t>
      </w:r>
      <w:r>
        <w:tab/>
      </w:r>
      <w:r>
        <w:fldChar w:fldCharType="begin"/>
      </w:r>
      <w:r>
        <w:instrText xml:space="preserve"> PAGEREF _Toc64557433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"_Toc64557434" </w:instrText>
      </w:r>
      <w:r>
        <w:fldChar w:fldCharType="separate"/>
      </w:r>
      <w:r>
        <w:rPr>
          <w:rStyle w:val="32"/>
          <w14:scene3d>
            <w14:lightRig w14:rig="threePt" w14:dir="t">
              <w14:rot w14:lat="0" w14:lon="0" w14:rev="0"/>
            </w14:lightRig>
          </w14:scene3d>
        </w:rPr>
        <w:t xml:space="preserve">5.5 </w:t>
      </w:r>
      <w:r>
        <w:rPr>
          <w:rStyle w:val="32"/>
        </w:rPr>
        <w:t xml:space="preserve"> 播种质量</w:t>
      </w:r>
      <w:r>
        <w:tab/>
      </w:r>
      <w:r>
        <w:fldChar w:fldCharType="begin"/>
      </w:r>
      <w:r>
        <w:instrText xml:space="preserve"> PAGEREF _Toc64557434 \h </w:instrText>
      </w:r>
      <w:r>
        <w:fldChar w:fldCharType="separate"/>
      </w:r>
      <w:r>
        <w:t>3</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"_Toc64557435" </w:instrText>
      </w:r>
      <w:r>
        <w:fldChar w:fldCharType="separate"/>
      </w:r>
      <w:r>
        <w:rPr>
          <w:rStyle w:val="32"/>
        </w:rPr>
        <w:t>6  适度管理</w:t>
      </w:r>
      <w:r>
        <w:tab/>
      </w:r>
      <w:r>
        <w:fldChar w:fldCharType="begin"/>
      </w:r>
      <w:r>
        <w:instrText xml:space="preserve"> PAGEREF _Toc64557435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"_Toc64557436" </w:instrText>
      </w:r>
      <w:r>
        <w:fldChar w:fldCharType="separate"/>
      </w:r>
      <w:r>
        <w:rPr>
          <w:rStyle w:val="32"/>
          <w14:scene3d>
            <w14:lightRig w14:rig="threePt" w14:dir="t">
              <w14:rot w14:lat="0" w14:lon="0" w14:rev="0"/>
            </w14:lightRig>
          </w14:scene3d>
        </w:rPr>
        <w:t xml:space="preserve">6.1 </w:t>
      </w:r>
      <w:r>
        <w:rPr>
          <w:rStyle w:val="32"/>
        </w:rPr>
        <w:t xml:space="preserve"> 杂草管理</w:t>
      </w:r>
      <w:r>
        <w:tab/>
      </w:r>
      <w:r>
        <w:fldChar w:fldCharType="begin"/>
      </w:r>
      <w:r>
        <w:instrText xml:space="preserve"> PAGEREF _Toc64557436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"_Toc64557437" </w:instrText>
      </w:r>
      <w:r>
        <w:fldChar w:fldCharType="separate"/>
      </w:r>
      <w:r>
        <w:rPr>
          <w:rStyle w:val="32"/>
          <w14:scene3d>
            <w14:lightRig w14:rig="threePt" w14:dir="t">
              <w14:rot w14:lat="0" w14:lon="0" w14:rev="0"/>
            </w14:lightRig>
          </w14:scene3d>
        </w:rPr>
        <w:t xml:space="preserve">6.2 </w:t>
      </w:r>
      <w:r>
        <w:rPr>
          <w:rStyle w:val="32"/>
        </w:rPr>
        <w:t xml:space="preserve"> 病虫害管理</w:t>
      </w:r>
      <w:r>
        <w:tab/>
      </w:r>
      <w:r>
        <w:fldChar w:fldCharType="begin"/>
      </w:r>
      <w:r>
        <w:instrText xml:space="preserve"> PAGEREF _Toc64557437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"_Toc64557438" </w:instrText>
      </w:r>
      <w:r>
        <w:fldChar w:fldCharType="separate"/>
      </w:r>
      <w:r>
        <w:rPr>
          <w:rStyle w:val="32"/>
          <w14:scene3d>
            <w14:lightRig w14:rig="threePt" w14:dir="t">
              <w14:rot w14:lat="0" w14:lon="0" w14:rev="0"/>
            </w14:lightRig>
          </w14:scene3d>
        </w:rPr>
        <w:t xml:space="preserve">6.3 </w:t>
      </w:r>
      <w:r>
        <w:rPr>
          <w:rStyle w:val="32"/>
        </w:rPr>
        <w:t xml:space="preserve"> 抗倒伏管理</w:t>
      </w:r>
      <w:r>
        <w:tab/>
      </w:r>
      <w:r>
        <w:fldChar w:fldCharType="begin"/>
      </w:r>
      <w:r>
        <w:instrText xml:space="preserve"> PAGEREF _Toc64557438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"_Toc64557439" </w:instrText>
      </w:r>
      <w:r>
        <w:fldChar w:fldCharType="separate"/>
      </w:r>
      <w:r>
        <w:rPr>
          <w:rStyle w:val="32"/>
          <w14:scene3d>
            <w14:lightRig w14:rig="threePt" w14:dir="t">
              <w14:rot w14:lat="0" w14:lon="0" w14:rev="0"/>
            </w14:lightRig>
          </w14:scene3d>
        </w:rPr>
        <w:t xml:space="preserve">6.4 </w:t>
      </w:r>
      <w:r>
        <w:rPr>
          <w:rStyle w:val="32"/>
        </w:rPr>
        <w:t xml:space="preserve"> 生长调控管理</w:t>
      </w:r>
      <w:r>
        <w:tab/>
      </w:r>
      <w:r>
        <w:fldChar w:fldCharType="begin"/>
      </w:r>
      <w:r>
        <w:instrText xml:space="preserve"> PAGEREF _Toc64557439 \h </w:instrText>
      </w:r>
      <w:r>
        <w:fldChar w:fldCharType="separate"/>
      </w:r>
      <w:r>
        <w:t>4</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"_Toc64557440" </w:instrText>
      </w:r>
      <w:r>
        <w:fldChar w:fldCharType="separate"/>
      </w:r>
      <w:r>
        <w:rPr>
          <w:rStyle w:val="32"/>
        </w:rPr>
        <w:t>7  机械化收获</w:t>
      </w:r>
      <w:r>
        <w:tab/>
      </w:r>
      <w:r>
        <w:fldChar w:fldCharType="begin"/>
      </w:r>
      <w:r>
        <w:instrText xml:space="preserve"> PAGEREF _Toc64557440 \h </w:instrText>
      </w:r>
      <w:r>
        <w:fldChar w:fldCharType="separate"/>
      </w:r>
      <w:r>
        <w:t>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"_Toc64557441" </w:instrText>
      </w:r>
      <w:r>
        <w:fldChar w:fldCharType="separate"/>
      </w:r>
      <w:r>
        <w:rPr>
          <w:rStyle w:val="32"/>
          <w14:scene3d>
            <w14:lightRig w14:rig="threePt" w14:dir="t">
              <w14:rot w14:lat="0" w14:lon="0" w14:rev="0"/>
            </w14:lightRig>
          </w14:scene3d>
        </w:rPr>
        <w:t xml:space="preserve">7.1 </w:t>
      </w:r>
      <w:r>
        <w:rPr>
          <w:rStyle w:val="32"/>
        </w:rPr>
        <w:t xml:space="preserve"> 机械收获</w:t>
      </w:r>
      <w:r>
        <w:tab/>
      </w:r>
      <w:r>
        <w:fldChar w:fldCharType="begin"/>
      </w:r>
      <w:r>
        <w:instrText xml:space="preserve"> PAGEREF _Toc64557441 \h </w:instrText>
      </w:r>
      <w:r>
        <w:fldChar w:fldCharType="separate"/>
      </w:r>
      <w:r>
        <w:t>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"_Toc64557442" </w:instrText>
      </w:r>
      <w:r>
        <w:fldChar w:fldCharType="separate"/>
      </w:r>
      <w:r>
        <w:rPr>
          <w:rStyle w:val="32"/>
          <w14:scene3d>
            <w14:lightRig w14:rig="threePt" w14:dir="t">
              <w14:rot w14:lat="0" w14:lon="0" w14:rev="0"/>
            </w14:lightRig>
          </w14:scene3d>
        </w:rPr>
        <w:t xml:space="preserve">7.2 </w:t>
      </w:r>
      <w:r>
        <w:rPr>
          <w:rStyle w:val="32"/>
        </w:rPr>
        <w:t xml:space="preserve"> 清选入库</w:t>
      </w:r>
      <w:r>
        <w:tab/>
      </w:r>
      <w:r>
        <w:fldChar w:fldCharType="begin"/>
      </w:r>
      <w:r>
        <w:instrText xml:space="preserve"> PAGEREF _Toc64557442 \h </w:instrText>
      </w:r>
      <w:r>
        <w:fldChar w:fldCharType="separate"/>
      </w:r>
      <w:r>
        <w:t>4</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"_Toc64557443" </w:instrText>
      </w:r>
      <w:r>
        <w:fldChar w:fldCharType="separate"/>
      </w:r>
      <w:r>
        <w:rPr>
          <w:rStyle w:val="32"/>
        </w:rPr>
        <w:t>附录A（资料性）  甘蓝型双低春油菜全程机械化生产技术规程</w:t>
      </w:r>
      <w:r>
        <w:tab/>
      </w:r>
      <w:r>
        <w:fldChar w:fldCharType="begin"/>
      </w:r>
      <w:r>
        <w:instrText xml:space="preserve"> PAGEREF _Toc64557443 \h </w:instrText>
      </w:r>
      <w:r>
        <w:fldChar w:fldCharType="separate"/>
      </w:r>
      <w:r>
        <w:t>5</w:t>
      </w:r>
      <w:r>
        <w:fldChar w:fldCharType="end"/>
      </w:r>
      <w:r>
        <w:fldChar w:fldCharType="end"/>
      </w:r>
    </w:p>
    <w:p>
      <w:pPr>
        <w:pStyle w:val="93"/>
        <w:spacing w:after="468"/>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pPr>
        <w:pStyle w:val="91"/>
        <w:spacing w:after="468"/>
      </w:pPr>
      <w:bookmarkStart w:id="22" w:name="BookMark2"/>
      <w:r>
        <w:rPr>
          <w:spacing w:val="320"/>
        </w:rPr>
        <w:t>前</w:t>
      </w:r>
      <w:r>
        <w:t>言</w:t>
      </w:r>
    </w:p>
    <w:p>
      <w:pPr>
        <w:pStyle w:val="58"/>
        <w:ind w:firstLine="420"/>
        <w:rPr>
          <w:rFonts w:hint="eastAsia"/>
        </w:rPr>
      </w:pPr>
      <w:r>
        <w:rPr>
          <w:rFonts w:hint="eastAsia"/>
        </w:rPr>
        <w:t>本文件按照GB/T 1.1—2020《标准化工作导则  第1部分：标准化文件的结构和起草规则》的规定起草。</w:t>
      </w:r>
    </w:p>
    <w:p>
      <w:pPr>
        <w:pStyle w:val="58"/>
        <w:ind w:firstLine="420"/>
      </w:pPr>
      <w:r>
        <w:rPr>
          <w:rFonts w:hint="eastAsia"/>
        </w:rPr>
        <w:t>本文件由新疆维吾尔自治区农业农村厅提出。</w:t>
      </w:r>
    </w:p>
    <w:p>
      <w:pPr>
        <w:pStyle w:val="58"/>
        <w:ind w:firstLine="420"/>
      </w:pPr>
      <w:r>
        <w:rPr>
          <w:rFonts w:hint="eastAsia"/>
        </w:rPr>
        <w:t>本文件由新疆维吾尔自治区农业标委会归口。</w:t>
      </w:r>
    </w:p>
    <w:p>
      <w:pPr>
        <w:pStyle w:val="58"/>
        <w:ind w:firstLine="420"/>
      </w:pPr>
      <w:r>
        <w:rPr>
          <w:rFonts w:hint="eastAsia"/>
        </w:rPr>
        <w:t>本文件起草单位：</w:t>
      </w:r>
      <w:r>
        <w:rPr>
          <w:rFonts w:hint="eastAsia"/>
          <w:lang w:val="en-US" w:eastAsia="zh-CN"/>
        </w:rPr>
        <w:t>昭苏县农业技术推广站、</w:t>
      </w:r>
      <w:r>
        <w:rPr>
          <w:rFonts w:hint="eastAsia"/>
        </w:rPr>
        <w:t>新疆农业科学院经济作物研究所</w:t>
      </w:r>
    </w:p>
    <w:p>
      <w:pPr>
        <w:pStyle w:val="58"/>
        <w:ind w:firstLine="420"/>
        <w:rPr>
          <w:rFonts w:hint="eastAsia"/>
        </w:rPr>
      </w:pPr>
      <w:r>
        <w:rPr>
          <w:rFonts w:hint="eastAsia"/>
        </w:rPr>
        <w:t>本文件主要起草人：</w:t>
      </w:r>
      <w:r>
        <w:rPr>
          <w:rFonts w:hint="eastAsia"/>
          <w:lang w:val="en-US" w:eastAsia="zh-CN"/>
        </w:rPr>
        <w:t>赵卫芳、贾东海、</w:t>
      </w:r>
      <w:r>
        <w:rPr>
          <w:rFonts w:hint="eastAsia"/>
        </w:rPr>
        <w:t>董爱云、顾元国、侯献飞、苗昊翠、李强、</w:t>
      </w:r>
      <w:r>
        <w:rPr>
          <w:rFonts w:hint="eastAsia"/>
          <w:lang w:val="en-US" w:eastAsia="zh-CN"/>
        </w:rPr>
        <w:t>侍丽君、李国志、张冬梅、艾合买提·哈里克、李丽、王晓春</w:t>
      </w:r>
      <w:r>
        <w:rPr>
          <w:rFonts w:hint="eastAsia"/>
        </w:rPr>
        <w:t>。</w:t>
      </w:r>
    </w:p>
    <w:p>
      <w:pPr>
        <w:pStyle w:val="58"/>
        <w:ind w:firstLine="420"/>
        <w:sectPr>
          <w:pgSz w:w="11906" w:h="16838"/>
          <w:pgMar w:top="567" w:right="1134" w:bottom="1134" w:left="1134" w:header="1418" w:footer="1134" w:gutter="284"/>
          <w:pgNumType w:fmt="upperRoman"/>
          <w:cols w:space="425" w:num="1"/>
          <w:formProt w:val="0"/>
          <w:docGrid w:type="lines" w:linePitch="312" w:charSpace="0"/>
        </w:sectPr>
      </w:pPr>
      <w:r>
        <w:rPr>
          <w:rFonts w:hint="eastAsia"/>
        </w:rPr>
        <w:t>本文件实施应用中的疑问，请咨询新疆农业科学院经济作物研究所。对本文件的修改意见建议，请反馈至新疆维吾尔自治区市场监督管理局（乌鲁木齐市新华南路167号）、新疆农业科学院经济作物研究所（乌鲁木齐市南昌路403号）。新疆维吾尔自治区市场监督管理局</w:t>
      </w:r>
      <w:r>
        <w:rPr>
          <w:rFonts w:hint="eastAsia"/>
          <w:lang w:eastAsia="zh-CN"/>
        </w:rPr>
        <w:t>，</w:t>
      </w:r>
      <w:r>
        <w:rPr>
          <w:rFonts w:hint="eastAsia"/>
        </w:rPr>
        <w:t>联系电话：0991-2817197；传真0991-2311250；邮编830004。新疆农业科学院经济作物研究所 联系电话：0991-4599291；传真：0991-4599291；邮编：830091。</w:t>
      </w:r>
    </w:p>
    <w:bookmarkEnd w:id="22"/>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lock w:val="sdtLocked"/>
        <w:placeholder>
          <w:docPart w:val="2E8E722CD6294E64811DC18D36E9A7B7"/>
        </w:placeholder>
      </w:sdtPr>
      <w:sdtContent>
        <w:p>
          <w:pPr>
            <w:pStyle w:val="179"/>
            <w:spacing w:before="312" w:beforeLines="100" w:after="686" w:afterLines="220"/>
          </w:pPr>
          <w:bookmarkStart w:id="24" w:name="NEW_STAND_NAME"/>
          <w:r>
            <w:rPr>
              <w:rFonts w:hint="eastAsia"/>
            </w:rPr>
            <w:t>甘蓝型双低春油菜全程机械化生产技术规程</w:t>
          </w:r>
        </w:p>
      </w:sdtContent>
    </w:sdt>
    <w:bookmarkEnd w:id="24"/>
    <w:p>
      <w:pPr>
        <w:pStyle w:val="106"/>
        <w:spacing w:before="312" w:after="312"/>
      </w:pPr>
      <w:bookmarkStart w:id="25" w:name="_Toc24884218"/>
      <w:bookmarkStart w:id="26" w:name="_Toc26986771"/>
      <w:bookmarkStart w:id="27" w:name="_Toc26986530"/>
      <w:bookmarkStart w:id="28" w:name="_Toc26648465"/>
      <w:bookmarkStart w:id="29" w:name="_Toc64557418"/>
      <w:bookmarkStart w:id="30" w:name="_Toc64557340"/>
      <w:bookmarkStart w:id="31" w:name="_Toc64557314"/>
      <w:bookmarkStart w:id="32" w:name="_Toc64557392"/>
      <w:bookmarkStart w:id="33" w:name="_Toc26718930"/>
      <w:bookmarkStart w:id="34" w:name="_Toc64557366"/>
      <w:bookmarkStart w:id="35" w:name="_Toc17233325"/>
      <w:bookmarkStart w:id="36" w:name="_Toc24884211"/>
      <w:bookmarkStart w:id="37" w:name="_Toc17233333"/>
      <w:r>
        <w:rPr>
          <w:rFonts w:hint="eastAsia"/>
        </w:rPr>
        <w:t>范围</w:t>
      </w:r>
      <w:bookmarkEnd w:id="25"/>
      <w:bookmarkEnd w:id="26"/>
      <w:bookmarkEnd w:id="27"/>
      <w:bookmarkEnd w:id="28"/>
      <w:bookmarkEnd w:id="29"/>
      <w:bookmarkEnd w:id="30"/>
      <w:bookmarkEnd w:id="31"/>
      <w:bookmarkEnd w:id="32"/>
      <w:bookmarkEnd w:id="33"/>
      <w:bookmarkEnd w:id="34"/>
      <w:bookmarkEnd w:id="35"/>
      <w:bookmarkEnd w:id="36"/>
      <w:bookmarkEnd w:id="37"/>
    </w:p>
    <w:p>
      <w:pPr>
        <w:pStyle w:val="58"/>
        <w:ind w:firstLine="420"/>
      </w:pPr>
      <w:bookmarkStart w:id="38" w:name="_Toc17233334"/>
      <w:bookmarkStart w:id="39" w:name="_Toc26648466"/>
      <w:bookmarkStart w:id="40" w:name="_Toc24884212"/>
      <w:bookmarkStart w:id="41" w:name="_Toc24884219"/>
      <w:bookmarkStart w:id="42" w:name="_Toc17233326"/>
      <w:r>
        <w:rPr>
          <w:rFonts w:hint="eastAsia"/>
        </w:rPr>
        <w:t>本文件规定了新疆维吾尔自治区，甘蓝型双低春油菜全程机械化生产的播前准备、机械播种、田间管理、机械收获的实施要求。</w:t>
      </w:r>
    </w:p>
    <w:p>
      <w:pPr>
        <w:pStyle w:val="58"/>
        <w:ind w:firstLine="420"/>
      </w:pPr>
      <w:r>
        <w:rPr>
          <w:rFonts w:hint="eastAsia"/>
        </w:rPr>
        <w:t>本文件适用于≥0℃的有效积温2000℃以上的新疆甘蓝型双低春油菜耕作区。北方生态条件相似地区可参照执行。</w:t>
      </w:r>
    </w:p>
    <w:p>
      <w:pPr>
        <w:pStyle w:val="106"/>
        <w:spacing w:before="312" w:after="312"/>
      </w:pPr>
      <w:bookmarkStart w:id="43" w:name="_Toc26986772"/>
      <w:bookmarkStart w:id="44" w:name="_Toc26718931"/>
      <w:bookmarkStart w:id="45" w:name="_Toc64557315"/>
      <w:bookmarkStart w:id="46" w:name="_Toc64557367"/>
      <w:bookmarkStart w:id="47" w:name="_Toc64557419"/>
      <w:bookmarkStart w:id="48" w:name="_Toc64557393"/>
      <w:bookmarkStart w:id="49" w:name="_Toc64557341"/>
      <w:bookmarkStart w:id="50" w:name="_Toc26986531"/>
      <w:r>
        <w:rPr>
          <w:rFonts w:hint="eastAsia"/>
        </w:rPr>
        <w:t>规范性引用文件</w:t>
      </w:r>
      <w:bookmarkEnd w:id="38"/>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1BCE3B65AAB04925A53A0FDCAAC503E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pPr>
      <w:r>
        <w:rPr>
          <w:rFonts w:hint="eastAsia"/>
        </w:rPr>
        <w:t>GB 4407.2  经济作物种子第2部分：油料类</w:t>
      </w:r>
    </w:p>
    <w:p>
      <w:pPr>
        <w:pStyle w:val="58"/>
        <w:ind w:firstLine="420"/>
      </w:pPr>
      <w:r>
        <w:rPr>
          <w:rFonts w:hint="eastAsia"/>
        </w:rPr>
        <w:t>GB/T 8321.1  农药安全合理使用准则（一）</w:t>
      </w:r>
    </w:p>
    <w:p>
      <w:pPr>
        <w:pStyle w:val="58"/>
        <w:ind w:firstLine="420"/>
      </w:pPr>
      <w:r>
        <w:rPr>
          <w:rFonts w:hint="eastAsia"/>
        </w:rPr>
        <w:t>GB/T 8321.2  农药安全合理使用准则（二）</w:t>
      </w:r>
    </w:p>
    <w:p>
      <w:pPr>
        <w:pStyle w:val="58"/>
        <w:ind w:firstLine="420"/>
      </w:pPr>
      <w:r>
        <w:rPr>
          <w:rFonts w:hint="eastAsia"/>
        </w:rPr>
        <w:t>GB/T 8321.5  农药安全合理使用准则（五）</w:t>
      </w:r>
    </w:p>
    <w:p>
      <w:pPr>
        <w:pStyle w:val="58"/>
        <w:ind w:firstLine="420"/>
      </w:pPr>
      <w:r>
        <w:rPr>
          <w:rFonts w:hint="eastAsia"/>
        </w:rPr>
        <w:t>GB/T 8321.6  农药安全合理使用准则（六）</w:t>
      </w:r>
    </w:p>
    <w:p>
      <w:pPr>
        <w:pStyle w:val="58"/>
        <w:ind w:firstLine="420"/>
      </w:pPr>
      <w:r>
        <w:rPr>
          <w:rFonts w:hint="eastAsia"/>
        </w:rPr>
        <w:t>GB/T 8321.7  农药安全合理使用准则（七）</w:t>
      </w:r>
    </w:p>
    <w:p>
      <w:pPr>
        <w:pStyle w:val="58"/>
        <w:ind w:firstLine="420"/>
      </w:pPr>
      <w:r>
        <w:rPr>
          <w:rFonts w:hint="eastAsia"/>
        </w:rPr>
        <w:t>GB/T 8321.8  农药安全合理使用准则（八）</w:t>
      </w:r>
    </w:p>
    <w:p>
      <w:pPr>
        <w:pStyle w:val="58"/>
        <w:ind w:firstLine="420"/>
      </w:pPr>
      <w:r>
        <w:rPr>
          <w:rFonts w:hint="eastAsia"/>
        </w:rPr>
        <w:t>GB/T 8321.9  农药安全合理使用准则（九）</w:t>
      </w:r>
    </w:p>
    <w:p>
      <w:pPr>
        <w:pStyle w:val="58"/>
        <w:ind w:firstLine="420"/>
      </w:pPr>
      <w:r>
        <w:rPr>
          <w:rFonts w:hint="eastAsia"/>
        </w:rPr>
        <w:t>NY/T 496  肥料合理使用准则</w:t>
      </w:r>
    </w:p>
    <w:p>
      <w:pPr>
        <w:pStyle w:val="58"/>
        <w:ind w:firstLine="420"/>
      </w:pPr>
      <w:r>
        <w:rPr>
          <w:rFonts w:hint="eastAsia"/>
        </w:rPr>
        <w:t>NY/T 1087  油菜籽干燥与储藏技术规程</w:t>
      </w:r>
    </w:p>
    <w:p>
      <w:pPr>
        <w:pStyle w:val="58"/>
        <w:ind w:firstLine="420"/>
      </w:pPr>
      <w:r>
        <w:rPr>
          <w:rFonts w:hint="eastAsia"/>
        </w:rPr>
        <w:t>GB/T 11764-2008  油菜籽标准</w:t>
      </w:r>
    </w:p>
    <w:p>
      <w:pPr>
        <w:pStyle w:val="106"/>
        <w:spacing w:before="312" w:after="312"/>
      </w:pPr>
      <w:bookmarkStart w:id="51" w:name="_Toc64557368"/>
      <w:bookmarkStart w:id="52" w:name="_Toc64557394"/>
      <w:bookmarkStart w:id="53" w:name="_Toc64557420"/>
      <w:bookmarkStart w:id="54" w:name="_Toc64557316"/>
      <w:bookmarkStart w:id="55" w:name="_Toc64557342"/>
      <w:r>
        <w:rPr>
          <w:rFonts w:hint="eastAsia"/>
          <w:szCs w:val="21"/>
        </w:rPr>
        <w:t>术语和定义</w:t>
      </w:r>
      <w:bookmarkEnd w:id="51"/>
      <w:bookmarkEnd w:id="52"/>
      <w:bookmarkEnd w:id="53"/>
      <w:bookmarkEnd w:id="54"/>
      <w:bookmarkEnd w:id="55"/>
    </w:p>
    <w:sdt>
      <w:sdtPr>
        <w:id w:val="-1909835108"/>
        <w:placeholder>
          <w:docPart w:val="44B1E598E878445E9B8D082940525A4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56" w:name="_Toc26986532"/>
          <w:bookmarkEnd w:id="56"/>
          <w:r>
            <w:t>下列术语和定义适用于本文件。</w:t>
          </w:r>
        </w:p>
      </w:sdtContent>
    </w:sdt>
    <w:p>
      <w:pPr>
        <w:pStyle w:val="107"/>
        <w:spacing w:before="156" w:after="156"/>
      </w:pPr>
      <w:bookmarkStart w:id="57" w:name="_Toc64557317"/>
      <w:bookmarkStart w:id="58" w:name="_Toc64557421"/>
      <w:bookmarkStart w:id="59" w:name="_Toc64557369"/>
      <w:bookmarkStart w:id="60" w:name="_Toc64557395"/>
      <w:bookmarkStart w:id="61" w:name="_Toc64557343"/>
      <w:r>
        <w:rPr>
          <w:rFonts w:hint="eastAsia"/>
        </w:rPr>
        <w:t>土壤封闭除草 Soil pesticide spraying closed weeding</w:t>
      </w:r>
      <w:bookmarkEnd w:id="57"/>
      <w:bookmarkEnd w:id="58"/>
      <w:bookmarkEnd w:id="59"/>
      <w:bookmarkEnd w:id="60"/>
      <w:bookmarkEnd w:id="61"/>
    </w:p>
    <w:p>
      <w:pPr>
        <w:pStyle w:val="58"/>
        <w:ind w:firstLine="420"/>
      </w:pPr>
      <w:r>
        <w:rPr>
          <w:rFonts w:hint="eastAsia"/>
        </w:rPr>
        <w:t>指将除草剂均匀地喷洒到土壤上形在一定厚度的药层，当杂草种子的幼芽、幼苗及其根系被接触吸收而起到杀草作用。</w:t>
      </w:r>
    </w:p>
    <w:p>
      <w:pPr>
        <w:pStyle w:val="107"/>
        <w:spacing w:before="156" w:after="156"/>
      </w:pPr>
      <w:bookmarkStart w:id="62" w:name="_Toc64557422"/>
      <w:bookmarkStart w:id="63" w:name="_Toc64557370"/>
      <w:bookmarkStart w:id="64" w:name="_Toc64557318"/>
      <w:bookmarkStart w:id="65" w:name="_Toc64557396"/>
      <w:bookmarkStart w:id="66" w:name="_Toc64557344"/>
      <w:r>
        <w:rPr>
          <w:rFonts w:hint="eastAsia"/>
        </w:rPr>
        <w:t>缓释施肥 Slow release fertilizer</w:t>
      </w:r>
      <w:bookmarkEnd w:id="62"/>
      <w:bookmarkEnd w:id="63"/>
      <w:bookmarkEnd w:id="64"/>
      <w:bookmarkEnd w:id="65"/>
      <w:bookmarkEnd w:id="66"/>
    </w:p>
    <w:p>
      <w:pPr>
        <w:pStyle w:val="58"/>
        <w:ind w:firstLine="420"/>
      </w:pPr>
      <w:r>
        <w:rPr>
          <w:rFonts w:hint="eastAsia"/>
        </w:rPr>
        <w:t>指在化肥颗粒表面包上一层很薄的疏水物质制成包膜化肥，水分可以进入多孔的半透膜，溶解的养分向膜外扩散，不断供给作物，即对肥料养分释放速度进行调整，根据作物需求释放养分，达到元素供肥强度与作物生理需求的动态平衡。</w:t>
      </w:r>
    </w:p>
    <w:p>
      <w:pPr>
        <w:pStyle w:val="106"/>
        <w:spacing w:before="312" w:after="312"/>
      </w:pPr>
      <w:bookmarkStart w:id="67" w:name="_Toc64557397"/>
      <w:bookmarkStart w:id="68" w:name="_Toc64557345"/>
      <w:bookmarkStart w:id="69" w:name="_Toc64557423"/>
      <w:bookmarkStart w:id="70" w:name="_Toc64557319"/>
      <w:bookmarkStart w:id="71" w:name="_Toc64557371"/>
      <w:r>
        <w:rPr>
          <w:rFonts w:hint="eastAsia"/>
        </w:rPr>
        <w:t>播前准备</w:t>
      </w:r>
      <w:bookmarkEnd w:id="67"/>
      <w:bookmarkEnd w:id="68"/>
      <w:bookmarkEnd w:id="69"/>
      <w:bookmarkEnd w:id="70"/>
      <w:bookmarkEnd w:id="71"/>
    </w:p>
    <w:p>
      <w:pPr>
        <w:pStyle w:val="107"/>
        <w:spacing w:before="156" w:after="156"/>
      </w:pPr>
      <w:bookmarkStart w:id="72" w:name="_Toc64557372"/>
      <w:bookmarkStart w:id="73" w:name="_Toc64557346"/>
      <w:bookmarkStart w:id="74" w:name="_Toc64557398"/>
      <w:bookmarkStart w:id="75" w:name="_Toc64557424"/>
      <w:bookmarkStart w:id="76" w:name="_Toc64557320"/>
      <w:r>
        <w:rPr>
          <w:rFonts w:hint="eastAsia"/>
        </w:rPr>
        <w:t>土地选择</w:t>
      </w:r>
      <w:bookmarkEnd w:id="72"/>
      <w:bookmarkEnd w:id="73"/>
      <w:bookmarkEnd w:id="74"/>
      <w:bookmarkEnd w:id="75"/>
      <w:bookmarkEnd w:id="76"/>
    </w:p>
    <w:p>
      <w:pPr>
        <w:pStyle w:val="58"/>
        <w:ind w:firstLine="420"/>
      </w:pPr>
      <w:r>
        <w:rPr>
          <w:rFonts w:hint="eastAsia"/>
        </w:rPr>
        <w:t>油菜对土壤要求不太严格，但要实现高产目标，应选择有一定肥力且灌排水便利的地块。土壤含盐量小于0.5%，所选地块要求土层深厚、土壤肥沃、墒情较好的平地或岗坡地,避开风口和低洼地。油菜茬口一般以麦茬、饲草、马铃薯等作物为好,可实行轮作模式,减少重茬。</w:t>
      </w:r>
    </w:p>
    <w:p>
      <w:pPr>
        <w:pStyle w:val="107"/>
        <w:spacing w:before="156" w:after="156"/>
      </w:pPr>
      <w:bookmarkStart w:id="77" w:name="_Toc64557373"/>
      <w:bookmarkStart w:id="78" w:name="_Toc64557321"/>
      <w:bookmarkStart w:id="79" w:name="_Toc64557425"/>
      <w:bookmarkStart w:id="80" w:name="_Toc64557399"/>
      <w:bookmarkStart w:id="81" w:name="_Toc64557347"/>
      <w:r>
        <w:rPr>
          <w:rFonts w:hint="eastAsia"/>
        </w:rPr>
        <w:t>土地耕整</w:t>
      </w:r>
      <w:bookmarkEnd w:id="77"/>
      <w:bookmarkEnd w:id="78"/>
      <w:bookmarkEnd w:id="79"/>
      <w:bookmarkEnd w:id="80"/>
      <w:bookmarkEnd w:id="81"/>
    </w:p>
    <w:p>
      <w:pPr>
        <w:pStyle w:val="58"/>
        <w:ind w:firstLine="420"/>
      </w:pPr>
      <w:r>
        <w:rPr>
          <w:rFonts w:hint="eastAsia"/>
        </w:rPr>
        <w:t>灌溉田块宜在秋季前茬作物收获后，采用秋耕冬灌，翻深应在25cm以上，春季及时利用轮式拖拉机或者联合整地机进行浅耕、耙、耱、平整地面，整地的质量要求达到“齐、平、松、碎、净、墒”，保证播前底墒良好。旱作田块宜采用免耕播种，要求地表平整以确保出苗一致，地表起伏严重地块可结合播前土壤封闭处理进行机械化平整。播种前进行土壤封闭除草，用乙草胺120ml-150ml/667m</w:t>
      </w:r>
      <w:r>
        <w:rPr>
          <w:rFonts w:hint="eastAsia"/>
          <w:vertAlign w:val="superscript"/>
        </w:rPr>
        <w:t>2</w:t>
      </w:r>
      <w:r>
        <w:rPr>
          <w:rFonts w:hint="eastAsia"/>
        </w:rPr>
        <w:t>或金都尔80ml/667m</w:t>
      </w:r>
      <w:r>
        <w:rPr>
          <w:rFonts w:hint="eastAsia"/>
          <w:vertAlign w:val="superscript"/>
        </w:rPr>
        <w:t>2</w:t>
      </w:r>
      <w:r>
        <w:rPr>
          <w:rFonts w:hint="eastAsia"/>
        </w:rPr>
        <w:t>兑水，用带有液压喷药装置的拖拉机进行喷雾，喷后及时耙地，耙地不宜过深，使地表形成有药层。</w:t>
      </w:r>
    </w:p>
    <w:p>
      <w:pPr>
        <w:pStyle w:val="107"/>
        <w:spacing w:before="156" w:after="156"/>
      </w:pPr>
      <w:bookmarkStart w:id="82" w:name="_Toc64557374"/>
      <w:bookmarkStart w:id="83" w:name="_Toc64557322"/>
      <w:bookmarkStart w:id="84" w:name="_Toc64557400"/>
      <w:bookmarkStart w:id="85" w:name="_Toc64557348"/>
      <w:bookmarkStart w:id="86" w:name="_Toc64557426"/>
      <w:r>
        <w:rPr>
          <w:rFonts w:hint="eastAsia"/>
        </w:rPr>
        <w:t>品种选择</w:t>
      </w:r>
      <w:bookmarkEnd w:id="82"/>
      <w:bookmarkEnd w:id="83"/>
      <w:bookmarkEnd w:id="84"/>
      <w:bookmarkEnd w:id="85"/>
      <w:bookmarkEnd w:id="86"/>
    </w:p>
    <w:p>
      <w:pPr>
        <w:keepNext w:val="0"/>
        <w:keepLines w:val="0"/>
        <w:widowControl/>
        <w:suppressLineNumbers w:val="0"/>
        <w:ind w:firstLine="420" w:firstLineChars="20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油菜品种要求早熟、株高150cm左右、紧凑、抗病、抗虫、抗倒、优质、高产、高含油量、杂交油菜。生产上应选择青杂5</w:t>
      </w:r>
      <w:r>
        <w:rPr>
          <w:rFonts w:hint="default" w:ascii="宋体" w:hAnsi="Times New Roman" w:eastAsia="宋体" w:cs="Times New Roman"/>
          <w:kern w:val="0"/>
          <w:sz w:val="21"/>
          <w:szCs w:val="20"/>
          <w:lang w:val="en-US" w:eastAsia="zh-CN" w:bidi="ar-SA"/>
        </w:rPr>
        <w:t>号</w:t>
      </w:r>
      <w:r>
        <w:rPr>
          <w:rFonts w:hint="eastAsia" w:ascii="宋体" w:hAnsi="Times New Roman" w:eastAsia="宋体" w:cs="Times New Roman"/>
          <w:kern w:val="0"/>
          <w:sz w:val="21"/>
          <w:szCs w:val="20"/>
          <w:lang w:val="en-US" w:eastAsia="zh-CN" w:bidi="ar-SA"/>
        </w:rPr>
        <w:t>、</w:t>
      </w:r>
      <w:r>
        <w:rPr>
          <w:rFonts w:hint="default" w:ascii="宋体" w:hAnsi="Times New Roman" w:eastAsia="宋体" w:cs="Times New Roman"/>
          <w:kern w:val="0"/>
          <w:sz w:val="21"/>
          <w:szCs w:val="20"/>
          <w:lang w:val="en-US" w:eastAsia="zh-CN" w:bidi="ar-SA"/>
        </w:rPr>
        <w:t>青杂7号、新油17号、新油20号</w:t>
      </w:r>
      <w:r>
        <w:rPr>
          <w:rFonts w:hint="eastAsia" w:ascii="宋体" w:hAnsi="Times New Roman" w:cs="Times New Roman"/>
          <w:kern w:val="0"/>
          <w:sz w:val="21"/>
          <w:szCs w:val="20"/>
          <w:lang w:val="en-US" w:eastAsia="zh-CN" w:bidi="ar-SA"/>
        </w:rPr>
        <w:t>、</w:t>
      </w:r>
      <w:r>
        <w:rPr>
          <w:rFonts w:hint="default" w:ascii="宋体" w:hAnsi="Times New Roman" w:eastAsia="宋体" w:cs="Times New Roman"/>
          <w:kern w:val="0"/>
          <w:sz w:val="21"/>
          <w:szCs w:val="20"/>
          <w:lang w:val="en-US" w:eastAsia="zh-CN" w:bidi="ar-SA"/>
        </w:rPr>
        <w:t>华油杂76号</w:t>
      </w:r>
      <w:r>
        <w:rPr>
          <w:rFonts w:hint="eastAsia" w:ascii="宋体" w:hAnsi="Times New Roman" w:eastAsia="宋体" w:cs="Times New Roman"/>
          <w:kern w:val="0"/>
          <w:sz w:val="21"/>
          <w:szCs w:val="20"/>
          <w:lang w:val="en-US" w:eastAsia="zh-CN" w:bidi="ar-SA"/>
        </w:rPr>
        <w:t>等产量高、株高适中、抗倒性较好的油菜品种作栽培品种(附录A)。</w:t>
      </w:r>
    </w:p>
    <w:p>
      <w:pPr>
        <w:pStyle w:val="107"/>
        <w:spacing w:before="156" w:after="156"/>
      </w:pPr>
      <w:bookmarkStart w:id="87" w:name="_Toc64557401"/>
      <w:bookmarkStart w:id="88" w:name="_Toc64557375"/>
      <w:bookmarkStart w:id="89" w:name="_Toc64557349"/>
      <w:bookmarkStart w:id="90" w:name="_Toc64557323"/>
      <w:bookmarkStart w:id="91" w:name="_Toc64557427"/>
      <w:r>
        <w:rPr>
          <w:rFonts w:hint="eastAsia"/>
        </w:rPr>
        <w:t>种子包衣</w:t>
      </w:r>
      <w:bookmarkEnd w:id="87"/>
      <w:bookmarkEnd w:id="88"/>
      <w:bookmarkEnd w:id="89"/>
      <w:bookmarkEnd w:id="90"/>
      <w:bookmarkEnd w:id="91"/>
    </w:p>
    <w:p>
      <w:pPr>
        <w:pStyle w:val="58"/>
        <w:ind w:firstLine="420"/>
      </w:pPr>
      <w:r>
        <w:rPr>
          <w:rFonts w:hint="eastAsia"/>
        </w:rPr>
        <w:t>跳甲、茎象甲是新疆油菜产区苗期主要危害害虫，种子包衣是简便高效防治策略。选择相应防治药剂进行拌种或包衣处理，能及时灭杀种子表面病菌，提高播种后的抗病虫害能力。使用油菜产业技术体系岗位科学家最新研究药剂拌种包衣，可显著提升油菜苗期跳甲和茎象甲危害的防治效果，减少喷药次数，提高经济效益(附录A)。</w:t>
      </w:r>
    </w:p>
    <w:p>
      <w:pPr>
        <w:pStyle w:val="107"/>
        <w:spacing w:before="156" w:after="156"/>
      </w:pPr>
      <w:bookmarkStart w:id="92" w:name="_Toc64557376"/>
      <w:bookmarkStart w:id="93" w:name="_Toc64557350"/>
      <w:bookmarkStart w:id="94" w:name="_Toc64557428"/>
      <w:bookmarkStart w:id="95" w:name="_Toc64557324"/>
      <w:bookmarkStart w:id="96" w:name="_Toc64557402"/>
      <w:r>
        <w:rPr>
          <w:rFonts w:hint="eastAsia"/>
        </w:rPr>
        <w:t>机械调试</w:t>
      </w:r>
      <w:bookmarkEnd w:id="92"/>
      <w:bookmarkEnd w:id="93"/>
      <w:bookmarkEnd w:id="94"/>
      <w:bookmarkEnd w:id="95"/>
      <w:bookmarkEnd w:id="96"/>
    </w:p>
    <w:p>
      <w:pPr>
        <w:pStyle w:val="58"/>
        <w:ind w:firstLine="420"/>
      </w:pPr>
      <w:r>
        <w:rPr>
          <w:rFonts w:hint="eastAsia"/>
        </w:rPr>
        <w:t>由于播种机械生产厂家地域差异，有些性能达不到本地生产农艺要求需待改进为此根据各自条件改装深施肥、镇压轮、波纹盘等装置，以提高机械性能；另外必须根据本地区农艺要求和留苗要求，按照播种机排量的试验方法测定基肥施用量和油菜种子播量。当前免耕播种采用</w:t>
      </w:r>
      <w:r>
        <w:rPr>
          <w:rFonts w:hint="eastAsia"/>
          <w:lang w:val="en-US" w:eastAsia="zh-CN"/>
        </w:rPr>
        <w:t>德国豪狮</w:t>
      </w:r>
      <w:r>
        <w:rPr>
          <w:rFonts w:hint="eastAsia"/>
        </w:rPr>
        <w:t>、</w:t>
      </w:r>
      <w:r>
        <w:rPr>
          <w:rFonts w:hint="eastAsia"/>
          <w:lang w:val="en-US" w:eastAsia="zh-CN"/>
        </w:rPr>
        <w:t>河北耘耕2BMF</w:t>
      </w:r>
      <w:r>
        <w:rPr>
          <w:rFonts w:hint="eastAsia"/>
        </w:rPr>
        <w:t>-</w:t>
      </w:r>
      <w:r>
        <w:rPr>
          <w:rFonts w:hint="eastAsia"/>
          <w:lang w:val="en-US" w:eastAsia="zh-CN"/>
        </w:rPr>
        <w:t>30</w:t>
      </w:r>
      <w:r>
        <w:rPr>
          <w:rFonts w:hint="eastAsia"/>
        </w:rPr>
        <w:t>等型号免耕</w:t>
      </w:r>
      <w:r>
        <w:rPr>
          <w:rFonts w:hint="eastAsia"/>
          <w:lang w:val="en-US" w:eastAsia="zh-CN"/>
        </w:rPr>
        <w:t>施肥</w:t>
      </w:r>
      <w:r>
        <w:rPr>
          <w:rFonts w:hint="eastAsia"/>
        </w:rPr>
        <w:t>播种机进行免耕直接施肥播种作业。</w:t>
      </w:r>
    </w:p>
    <w:p>
      <w:pPr>
        <w:pStyle w:val="106"/>
        <w:spacing w:before="312" w:after="312"/>
      </w:pPr>
      <w:bookmarkStart w:id="97" w:name="_Toc64557403"/>
      <w:bookmarkStart w:id="98" w:name="_Toc64557377"/>
      <w:bookmarkStart w:id="99" w:name="_Toc64557351"/>
      <w:bookmarkStart w:id="100" w:name="_Toc64557429"/>
      <w:bookmarkStart w:id="101" w:name="_Toc64557325"/>
      <w:r>
        <w:rPr>
          <w:rFonts w:hint="eastAsia"/>
        </w:rPr>
        <w:t>机械化播种</w:t>
      </w:r>
      <w:bookmarkEnd w:id="97"/>
      <w:bookmarkEnd w:id="98"/>
      <w:bookmarkEnd w:id="99"/>
      <w:bookmarkEnd w:id="100"/>
      <w:bookmarkEnd w:id="101"/>
    </w:p>
    <w:p>
      <w:pPr>
        <w:pStyle w:val="107"/>
        <w:spacing w:before="156" w:after="156"/>
      </w:pPr>
      <w:bookmarkStart w:id="102" w:name="_Toc64557326"/>
      <w:bookmarkStart w:id="103" w:name="_Toc64557352"/>
      <w:bookmarkStart w:id="104" w:name="_Toc64557430"/>
      <w:bookmarkStart w:id="105" w:name="_Toc64557378"/>
      <w:bookmarkStart w:id="106" w:name="_Toc64557404"/>
      <w:r>
        <w:rPr>
          <w:rFonts w:hint="eastAsia"/>
        </w:rPr>
        <w:t>缓释施肥</w:t>
      </w:r>
      <w:bookmarkEnd w:id="102"/>
      <w:bookmarkEnd w:id="103"/>
      <w:bookmarkEnd w:id="104"/>
      <w:bookmarkEnd w:id="105"/>
      <w:bookmarkEnd w:id="106"/>
    </w:p>
    <w:p>
      <w:pPr>
        <w:pStyle w:val="58"/>
        <w:ind w:firstLine="420"/>
      </w:pPr>
      <w:r>
        <w:rPr>
          <w:rFonts w:hint="eastAsia"/>
        </w:rPr>
        <w:t>油菜生长发育需肥规律表现前少后多，传统施肥方式根据土质、气候和春前施肥情况，结合苗情，进行多次施肥，增加了施肥作业成本。</w:t>
      </w:r>
      <w:r>
        <w:rPr>
          <w:rFonts w:hint="eastAsia"/>
          <w:lang w:val="en-US" w:eastAsia="zh-CN"/>
        </w:rPr>
        <w:t>缓</w:t>
      </w:r>
      <w:r>
        <w:rPr>
          <w:rFonts w:hint="eastAsia"/>
        </w:rPr>
        <w:t>控释肥可实现苗期缓慢释放、蕾苔期后大量释放，具有施用次数少、全程提供油菜生长发育所需养分的优势。试验表明，采用NPK总养分46%（N</w:t>
      </w:r>
      <w:r>
        <w:rPr>
          <w:rFonts w:hint="eastAsia"/>
          <w:vertAlign w:val="subscript"/>
        </w:rPr>
        <w:t>2</w:t>
      </w:r>
      <w:r>
        <w:rPr>
          <w:rFonts w:hint="eastAsia"/>
        </w:rPr>
        <w:t>5%-P</w:t>
      </w:r>
      <w:r>
        <w:rPr>
          <w:rFonts w:hint="eastAsia"/>
          <w:vertAlign w:val="subscript"/>
        </w:rPr>
        <w:t>2</w:t>
      </w:r>
      <w:r>
        <w:rPr>
          <w:rFonts w:hint="eastAsia"/>
        </w:rPr>
        <w:t>O</w:t>
      </w:r>
      <w:r>
        <w:rPr>
          <w:rFonts w:hint="eastAsia"/>
          <w:vertAlign w:val="subscript"/>
        </w:rPr>
        <w:t>5</w:t>
      </w:r>
      <w:r>
        <w:rPr>
          <w:rFonts w:hint="eastAsia"/>
        </w:rPr>
        <w:t>12%-K</w:t>
      </w:r>
      <w:r>
        <w:rPr>
          <w:rFonts w:hint="eastAsia"/>
          <w:vertAlign w:val="subscript"/>
        </w:rPr>
        <w:t>2</w:t>
      </w:r>
      <w:r>
        <w:rPr>
          <w:rFonts w:hint="eastAsia"/>
        </w:rPr>
        <w:t>O 9%-微量B）的“全营养长效缓释型油菜配方肥”，每0.067hm</w:t>
      </w:r>
      <w:r>
        <w:rPr>
          <w:rFonts w:hint="eastAsia"/>
          <w:vertAlign w:val="superscript"/>
        </w:rPr>
        <w:t>2</w:t>
      </w:r>
      <w:r>
        <w:rPr>
          <w:rFonts w:hint="eastAsia"/>
        </w:rPr>
        <w:t>施用缓释肥40kg，可显著节本增效。(附录A)。</w:t>
      </w:r>
    </w:p>
    <w:p>
      <w:pPr>
        <w:pStyle w:val="107"/>
        <w:spacing w:before="156" w:after="156"/>
      </w:pPr>
      <w:bookmarkStart w:id="107" w:name="_Toc64557431"/>
      <w:bookmarkStart w:id="108" w:name="_Toc64557353"/>
      <w:bookmarkStart w:id="109" w:name="_Toc64557405"/>
      <w:bookmarkStart w:id="110" w:name="_Toc64557327"/>
      <w:bookmarkStart w:id="111" w:name="_Toc64557379"/>
      <w:r>
        <w:rPr>
          <w:rFonts w:hint="eastAsia"/>
        </w:rPr>
        <w:t>适期播种</w:t>
      </w:r>
      <w:bookmarkEnd w:id="107"/>
      <w:bookmarkEnd w:id="108"/>
      <w:bookmarkEnd w:id="109"/>
      <w:bookmarkEnd w:id="110"/>
      <w:bookmarkEnd w:id="111"/>
    </w:p>
    <w:p>
      <w:pPr>
        <w:pStyle w:val="58"/>
        <w:ind w:firstLine="420"/>
      </w:pPr>
      <w:r>
        <w:rPr>
          <w:rFonts w:hint="eastAsia"/>
        </w:rPr>
        <w:t>春油菜区的播种期主要依据当地耕作制度和自然气候特点来决定必须保证油菜苗期不受晚霜、低温冻害，又能在秋霜前正常成熟油菜花角期与当地水分和光照充足期同步。多年气象因素表明，自治区最佳播期的气象指标是日平均气温稳定通过为安全播期，无霜期较短的地区应在早春积雪融化后表土解冻时顶凌播种。另外要做到适期早播，因甘蓝型油菜苗期耐冻性较成熟期强，适期早播可以争取生长积温确保正常成熟。</w:t>
      </w:r>
    </w:p>
    <w:p>
      <w:pPr>
        <w:pStyle w:val="107"/>
        <w:spacing w:before="156" w:after="156"/>
      </w:pPr>
      <w:bookmarkStart w:id="112" w:name="_Toc64557328"/>
      <w:bookmarkStart w:id="113" w:name="_Toc64557432"/>
      <w:bookmarkStart w:id="114" w:name="_Toc64557354"/>
      <w:bookmarkStart w:id="115" w:name="_Toc64557380"/>
      <w:bookmarkStart w:id="116" w:name="_Toc64557406"/>
      <w:r>
        <w:rPr>
          <w:rFonts w:hint="eastAsia"/>
        </w:rPr>
        <w:t>播种方式</w:t>
      </w:r>
      <w:bookmarkEnd w:id="112"/>
      <w:bookmarkEnd w:id="113"/>
      <w:bookmarkEnd w:id="114"/>
      <w:bookmarkEnd w:id="115"/>
      <w:bookmarkEnd w:id="116"/>
    </w:p>
    <w:p>
      <w:pPr>
        <w:pStyle w:val="58"/>
        <w:ind w:firstLine="420"/>
      </w:pPr>
      <w:r>
        <w:rPr>
          <w:rFonts w:hint="eastAsia"/>
        </w:rPr>
        <w:t>根据不同品种，采用适宜播量。一般利用精量汽播机、条播机、免耕机进行播种，播种量依据不同品种确定。播种要求，行距1</w:t>
      </w:r>
      <w:r>
        <w:rPr>
          <w:rFonts w:hint="eastAsia"/>
          <w:lang w:val="en-US" w:eastAsia="zh-CN"/>
        </w:rPr>
        <w:t>5</w:t>
      </w:r>
      <w:r>
        <w:rPr>
          <w:rFonts w:hint="eastAsia"/>
        </w:rPr>
        <w:t>～20cm，株距3～5cm，覆土厚度2cm～3cm，播种做到合墒、播匀、浅盖、不漏籽。</w:t>
      </w:r>
    </w:p>
    <w:p>
      <w:pPr>
        <w:pStyle w:val="107"/>
        <w:spacing w:before="156" w:after="156"/>
      </w:pPr>
      <w:bookmarkStart w:id="117" w:name="_Toc64557407"/>
      <w:bookmarkStart w:id="118" w:name="_Toc64557381"/>
      <w:bookmarkStart w:id="119" w:name="_Toc64557329"/>
      <w:bookmarkStart w:id="120" w:name="_Toc64557355"/>
      <w:bookmarkStart w:id="121" w:name="_Toc64557433"/>
      <w:r>
        <w:rPr>
          <w:rFonts w:hint="eastAsia"/>
        </w:rPr>
        <w:t>播种密度</w:t>
      </w:r>
      <w:bookmarkEnd w:id="117"/>
      <w:bookmarkEnd w:id="118"/>
      <w:bookmarkEnd w:id="119"/>
      <w:bookmarkEnd w:id="120"/>
      <w:bookmarkEnd w:id="121"/>
    </w:p>
    <w:p>
      <w:pPr>
        <w:pStyle w:val="58"/>
        <w:ind w:firstLine="420"/>
      </w:pPr>
      <w:r>
        <w:rPr>
          <w:rFonts w:hint="eastAsia"/>
        </w:rPr>
        <w:t>应根据气候、土壤肥力、栽培方式和管理水平确定合理的种植密度建立一个合理的群体结构，以提高群体的光合利用率和产量。新疆油菜产区，新油17号推荐播种密度60万株/hm</w:t>
      </w:r>
      <w:r>
        <w:rPr>
          <w:rFonts w:hint="eastAsia"/>
          <w:vertAlign w:val="superscript"/>
        </w:rPr>
        <w:t>2</w:t>
      </w:r>
      <w:r>
        <w:rPr>
          <w:rFonts w:hint="eastAsia"/>
        </w:rPr>
        <w:t>-90万株/hm</w:t>
      </w:r>
      <w:r>
        <w:rPr>
          <w:rFonts w:hint="eastAsia"/>
          <w:vertAlign w:val="superscript"/>
        </w:rPr>
        <w:t>2</w:t>
      </w:r>
      <w:r>
        <w:rPr>
          <w:rFonts w:hint="eastAsia"/>
        </w:rPr>
        <w:t>。</w:t>
      </w:r>
    </w:p>
    <w:p>
      <w:pPr>
        <w:pStyle w:val="107"/>
        <w:spacing w:before="156" w:after="156"/>
      </w:pPr>
      <w:bookmarkStart w:id="122" w:name="_Toc64557330"/>
      <w:bookmarkStart w:id="123" w:name="_Toc64557356"/>
      <w:bookmarkStart w:id="124" w:name="_Toc64557382"/>
      <w:bookmarkStart w:id="125" w:name="_Toc64557434"/>
      <w:bookmarkStart w:id="126" w:name="_Toc64557408"/>
      <w:r>
        <w:rPr>
          <w:rFonts w:hint="eastAsia"/>
        </w:rPr>
        <w:t>播种质量</w:t>
      </w:r>
      <w:bookmarkEnd w:id="122"/>
      <w:bookmarkEnd w:id="123"/>
      <w:bookmarkEnd w:id="124"/>
      <w:bookmarkEnd w:id="125"/>
      <w:bookmarkEnd w:id="126"/>
    </w:p>
    <w:p>
      <w:pPr>
        <w:pStyle w:val="58"/>
        <w:ind w:firstLine="420"/>
      </w:pPr>
      <w:r>
        <w:rPr>
          <w:rFonts w:hint="eastAsia"/>
        </w:rPr>
        <w:t>为便于后期的机械作业，机械操作人员要做到播行笔直，起落整齐，深浅一致，下籽均匀，不重不漏，覆土良好。</w:t>
      </w:r>
    </w:p>
    <w:p>
      <w:pPr>
        <w:pStyle w:val="106"/>
        <w:spacing w:before="312" w:after="312"/>
      </w:pPr>
      <w:bookmarkStart w:id="127" w:name="_Toc64557331"/>
      <w:bookmarkStart w:id="128" w:name="_Toc64557409"/>
      <w:bookmarkStart w:id="129" w:name="_Toc64557435"/>
      <w:bookmarkStart w:id="130" w:name="_Toc64557357"/>
      <w:bookmarkStart w:id="131" w:name="_Toc64557383"/>
      <w:r>
        <w:rPr>
          <w:rFonts w:hint="eastAsia"/>
        </w:rPr>
        <w:t>适度管理</w:t>
      </w:r>
      <w:bookmarkEnd w:id="127"/>
      <w:bookmarkEnd w:id="128"/>
      <w:bookmarkEnd w:id="129"/>
      <w:bookmarkEnd w:id="130"/>
      <w:bookmarkEnd w:id="131"/>
    </w:p>
    <w:p>
      <w:pPr>
        <w:pStyle w:val="107"/>
        <w:spacing w:before="156" w:after="156"/>
      </w:pPr>
      <w:bookmarkStart w:id="132" w:name="_Toc64557358"/>
      <w:bookmarkStart w:id="133" w:name="_Toc64557436"/>
      <w:bookmarkStart w:id="134" w:name="_Toc64557410"/>
      <w:bookmarkStart w:id="135" w:name="_Toc64557384"/>
      <w:bookmarkStart w:id="136" w:name="_Toc64557332"/>
      <w:r>
        <w:rPr>
          <w:rFonts w:hint="eastAsia"/>
        </w:rPr>
        <w:t>杂草管理</w:t>
      </w:r>
      <w:bookmarkEnd w:id="132"/>
      <w:bookmarkEnd w:id="133"/>
      <w:bookmarkEnd w:id="134"/>
      <w:bookmarkEnd w:id="135"/>
      <w:bookmarkEnd w:id="136"/>
    </w:p>
    <w:p>
      <w:pPr>
        <w:pStyle w:val="58"/>
        <w:ind w:firstLine="420"/>
        <w:rPr>
          <w:rFonts w:hint="eastAsia"/>
        </w:rPr>
      </w:pPr>
      <w:r>
        <w:rPr>
          <w:rFonts w:hint="eastAsia"/>
        </w:rPr>
        <w:t>由于免耕油菜田单双子叶杂草混生生长。若播种前前茬杂草已出土发芽且密度大可在播种前结合耙地施用41%草甘磷1200～1500ml/hm</w:t>
      </w:r>
      <w:r>
        <w:rPr>
          <w:rFonts w:hint="eastAsia"/>
          <w:vertAlign w:val="superscript"/>
        </w:rPr>
        <w:t>2</w:t>
      </w:r>
      <w:r>
        <w:rPr>
          <w:rFonts w:hint="eastAsia"/>
        </w:rPr>
        <w:t>，加水450kg/hm</w:t>
      </w:r>
      <w:r>
        <w:rPr>
          <w:rFonts w:hint="eastAsia"/>
          <w:vertAlign w:val="superscript"/>
        </w:rPr>
        <w:t>2</w:t>
      </w:r>
      <w:r>
        <w:rPr>
          <w:rFonts w:hint="eastAsia"/>
        </w:rPr>
        <w:t>喷雾防治。油菜播后苗前使用乙草胺1500～2250ml/hm</w:t>
      </w:r>
      <w:r>
        <w:rPr>
          <w:rFonts w:hint="eastAsia"/>
          <w:vertAlign w:val="superscript"/>
        </w:rPr>
        <w:t>2</w:t>
      </w:r>
      <w:r>
        <w:rPr>
          <w:rFonts w:hint="eastAsia"/>
        </w:rPr>
        <w:t>，加水450-600kg/hm</w:t>
      </w:r>
      <w:r>
        <w:rPr>
          <w:rFonts w:hint="eastAsia"/>
          <w:vertAlign w:val="superscript"/>
        </w:rPr>
        <w:t>2</w:t>
      </w:r>
      <w:r>
        <w:rPr>
          <w:rFonts w:hint="eastAsia"/>
        </w:rPr>
        <w:t>喷雾防治，进行土壤封闭处理防除未出土杂草，这是春油菜产区杂草防控的关键措施之一。苗期化学灭草，应根据不同杂草群落采用不同除草剂混合配方,在油菜</w:t>
      </w:r>
      <w:r>
        <w:rPr>
          <w:rFonts w:hint="eastAsia"/>
          <w:lang w:val="en-US" w:eastAsia="zh-CN"/>
        </w:rPr>
        <w:t>3</w:t>
      </w:r>
      <w:r>
        <w:rPr>
          <w:rFonts w:hint="eastAsia"/>
        </w:rPr>
        <w:t>～5叶期灭草,亩用24%烯草酮乳油50-60ml或10.8%氟吡甲禾灵乳油35－40ml，兑水25-30kg，喷雾防除野燕麦、看麦娘等单子叶杂草；亩用75%二氯吡啶酸水分散粒剂15克或28.6%氨氯·二氯吡啶酸乳油50-60ml，兑水25-30kg，喷雾防除野油菜、苣荬菜、灰藜等阔叶杂草；两种药剂轮换施用间隔2-3d。</w:t>
      </w:r>
    </w:p>
    <w:p>
      <w:pPr>
        <w:pStyle w:val="107"/>
        <w:spacing w:before="156" w:after="156"/>
      </w:pPr>
      <w:bookmarkStart w:id="137" w:name="_Toc64557333"/>
      <w:bookmarkStart w:id="138" w:name="_Toc64557385"/>
      <w:bookmarkStart w:id="139" w:name="_Toc64557437"/>
      <w:bookmarkStart w:id="140" w:name="_Toc64557411"/>
      <w:bookmarkStart w:id="141" w:name="_Toc64557359"/>
      <w:r>
        <w:rPr>
          <w:rFonts w:hint="eastAsia"/>
        </w:rPr>
        <w:t>病虫害管理</w:t>
      </w:r>
      <w:bookmarkEnd w:id="137"/>
      <w:bookmarkEnd w:id="138"/>
      <w:bookmarkEnd w:id="139"/>
      <w:bookmarkEnd w:id="140"/>
      <w:bookmarkEnd w:id="141"/>
    </w:p>
    <w:p>
      <w:pPr>
        <w:pStyle w:val="58"/>
        <w:ind w:firstLine="420"/>
      </w:pPr>
      <w:r>
        <w:rPr>
          <w:rFonts w:hint="eastAsia"/>
        </w:rPr>
        <w:t>春油菜病害主要有菌核病和霜霉病，白粉病在雨水多年份的油菜角果期大量发生。油菜虫害主要有地老虎、跳甲、小菜蛾、角野螟、甘蓝夜蛾、草地螟、蚜虫等。防治治策略要根据各种害虫的为害特点及规律，结合农业和生物防治，抓住关键时期有的放矢进行化学防治，以达到“防早、防小、防少，防了”的效果。农业防治采用合理轮作倒茬，彻底清除田间地头的杂草，以减少和杜绝虫源。化学防治要基于预测预报，及时掌握病虫发生规律及早做好药械准备工作把病虫害消灭在初发期，早防统防，提高防效、节约成本。虫害防治方法参照附录A进行，农药使用应符合GB/T8321.2、GB/T8321.8、GB/T8321.9及农业部相关公告的规定。</w:t>
      </w:r>
    </w:p>
    <w:p>
      <w:pPr>
        <w:pStyle w:val="107"/>
        <w:spacing w:before="156" w:after="156"/>
      </w:pPr>
      <w:bookmarkStart w:id="142" w:name="_Toc64557412"/>
      <w:bookmarkStart w:id="143" w:name="_Toc64557360"/>
      <w:bookmarkStart w:id="144" w:name="_Toc64557386"/>
      <w:bookmarkStart w:id="145" w:name="_Toc64557438"/>
      <w:bookmarkStart w:id="146" w:name="_Toc64557334"/>
      <w:r>
        <w:rPr>
          <w:rFonts w:hint="eastAsia"/>
        </w:rPr>
        <w:t>抗倒伏管理</w:t>
      </w:r>
      <w:bookmarkEnd w:id="142"/>
      <w:bookmarkEnd w:id="143"/>
      <w:bookmarkEnd w:id="144"/>
      <w:bookmarkEnd w:id="145"/>
      <w:bookmarkEnd w:id="146"/>
    </w:p>
    <w:p>
      <w:pPr>
        <w:pStyle w:val="58"/>
        <w:ind w:firstLine="420"/>
      </w:pPr>
      <w:r>
        <w:rPr>
          <w:rFonts w:hint="eastAsia"/>
        </w:rPr>
        <w:t>油菜灌浆后期地上部增重，倒伏风险加剧，在这一时期，灌水避开大风天气可有效防止倒伏的发生。油菜苗期施用多效唑也可延缓其生长，降低苗高，颈增粗，有利于培育壮苗，多效唑一般只适于高肥条件下油菜生长过旺、有倒伏威胁的田块，可避免或减轻倒伏造成的损失而间接增产，施用过量,有时会导致减产，因此在油菜上施用要严格按照施用量采用机械化或飞防喷施。</w:t>
      </w:r>
    </w:p>
    <w:p>
      <w:pPr>
        <w:pStyle w:val="107"/>
        <w:spacing w:before="156" w:after="156"/>
      </w:pPr>
      <w:bookmarkStart w:id="147" w:name="_Toc64557439"/>
      <w:bookmarkStart w:id="148" w:name="_Toc64557335"/>
      <w:bookmarkStart w:id="149" w:name="_Toc64557387"/>
      <w:bookmarkStart w:id="150" w:name="_Toc64557413"/>
      <w:bookmarkStart w:id="151" w:name="_Toc64557361"/>
      <w:r>
        <w:rPr>
          <w:rFonts w:hint="eastAsia"/>
        </w:rPr>
        <w:t>生长调控管理</w:t>
      </w:r>
      <w:bookmarkEnd w:id="147"/>
      <w:bookmarkEnd w:id="148"/>
      <w:bookmarkEnd w:id="149"/>
      <w:bookmarkEnd w:id="150"/>
      <w:bookmarkEnd w:id="151"/>
    </w:p>
    <w:p>
      <w:pPr>
        <w:pStyle w:val="58"/>
        <w:ind w:firstLine="420"/>
      </w:pPr>
      <w:r>
        <w:rPr>
          <w:rFonts w:hint="eastAsia"/>
        </w:rPr>
        <w:t>灌浆期及角果期，喷施适量磷钾硼肥，可以促进角果籽粒发育，提高籽粒品质。喷施时期分别在灌浆期、结角期，分1</w:t>
      </w:r>
      <w:r>
        <w:rPr>
          <w:rFonts w:hint="eastAsia" w:hAnsi="宋体"/>
        </w:rPr>
        <w:t>～</w:t>
      </w:r>
      <w:r>
        <w:rPr>
          <w:rFonts w:hint="eastAsia"/>
        </w:rPr>
        <w:t>2次，结合化学灭虫、防病喷施磷酸二氢钾1.5kg/hm</w:t>
      </w:r>
      <w:r>
        <w:rPr>
          <w:rFonts w:hint="eastAsia"/>
          <w:vertAlign w:val="superscript"/>
        </w:rPr>
        <w:t>2</w:t>
      </w:r>
      <w:r>
        <w:rPr>
          <w:rFonts w:hint="eastAsia"/>
        </w:rPr>
        <w:t>、硼650g/hm</w:t>
      </w:r>
      <w:r>
        <w:rPr>
          <w:rFonts w:hint="eastAsia"/>
          <w:vertAlign w:val="superscript"/>
        </w:rPr>
        <w:t>2</w:t>
      </w:r>
      <w:r>
        <w:rPr>
          <w:rFonts w:hint="eastAsia"/>
        </w:rPr>
        <w:t xml:space="preserve">。  </w:t>
      </w:r>
    </w:p>
    <w:p>
      <w:pPr>
        <w:pStyle w:val="58"/>
        <w:ind w:firstLine="420"/>
      </w:pPr>
      <w:r>
        <w:rPr>
          <w:rFonts w:hint="eastAsia"/>
        </w:rPr>
        <w:t>化学催熟剂中含有抑制植物生长，改变植物光合系统的成分，也有促进物质转化和增加种子质量等作用。晚熟品种采用化学催熟剂在收获前7～10d施用，有提早成熟，增加粒重和种子含油量的作用。</w:t>
      </w:r>
    </w:p>
    <w:p>
      <w:pPr>
        <w:pStyle w:val="106"/>
        <w:spacing w:before="312" w:after="312"/>
      </w:pPr>
      <w:bookmarkStart w:id="152" w:name="_Toc64557336"/>
      <w:bookmarkStart w:id="153" w:name="_Toc64557440"/>
      <w:bookmarkStart w:id="154" w:name="_Toc64557388"/>
      <w:bookmarkStart w:id="155" w:name="_Toc64557362"/>
      <w:bookmarkStart w:id="156" w:name="_Toc64557414"/>
      <w:r>
        <w:rPr>
          <w:rFonts w:hint="eastAsia"/>
        </w:rPr>
        <w:t>机械化收获</w:t>
      </w:r>
      <w:bookmarkEnd w:id="152"/>
      <w:bookmarkEnd w:id="153"/>
      <w:bookmarkEnd w:id="154"/>
      <w:bookmarkEnd w:id="155"/>
      <w:bookmarkEnd w:id="156"/>
    </w:p>
    <w:p>
      <w:pPr>
        <w:pStyle w:val="107"/>
        <w:spacing w:before="156" w:after="156"/>
      </w:pPr>
      <w:bookmarkStart w:id="157" w:name="_Toc64557441"/>
      <w:bookmarkStart w:id="158" w:name="_Toc64557337"/>
      <w:bookmarkStart w:id="159" w:name="_Toc64557389"/>
      <w:bookmarkStart w:id="160" w:name="_Toc64557363"/>
      <w:bookmarkStart w:id="161" w:name="_Toc64557415"/>
      <w:r>
        <w:rPr>
          <w:rFonts w:hint="eastAsia"/>
        </w:rPr>
        <w:t>机械收获</w:t>
      </w:r>
      <w:bookmarkEnd w:id="157"/>
      <w:bookmarkEnd w:id="158"/>
      <w:bookmarkEnd w:id="159"/>
      <w:bookmarkEnd w:id="160"/>
      <w:bookmarkEnd w:id="161"/>
    </w:p>
    <w:p>
      <w:pPr>
        <w:pStyle w:val="58"/>
        <w:ind w:firstLine="420"/>
      </w:pPr>
      <w:r>
        <w:rPr>
          <w:rFonts w:hint="eastAsia"/>
        </w:rPr>
        <w:t>新疆油菜产区“连片面积大，土地平整，无霜期短”等特点，采用携带粉碎装置的大型联合收获机械，开展油菜收获与秸秆还田示范，减少用工，提高机械收获率、缩短收获时间。采用联合收割机直接收获时,油菜成熟度需达到90%左右,要求收割脱粒干净,总损失率小于5%,割茬高度在10cm～30cm,秸秆可粉碎还田，作业面积达100亩/小时。采用分段收获时应在全田70%～80%角果外观颜色呈黄绿或淡黄，种皮也由绿色转为红褐色，采用割晒机割晒作业将割倒的油菜就地晾晒后熟5～7天（根据天气晾晒时间可以再延长），成熟度达到后，用捡拾收获机断捡拾、脱粒及清选作业。</w:t>
      </w:r>
    </w:p>
    <w:p>
      <w:pPr>
        <w:pStyle w:val="107"/>
        <w:spacing w:before="156" w:after="156"/>
      </w:pPr>
      <w:bookmarkStart w:id="162" w:name="_Toc64557364"/>
      <w:bookmarkStart w:id="163" w:name="_Toc64557442"/>
      <w:bookmarkStart w:id="164" w:name="_Toc64557416"/>
      <w:bookmarkStart w:id="165" w:name="_Toc64557338"/>
      <w:bookmarkStart w:id="166" w:name="_Toc64557390"/>
      <w:r>
        <w:rPr>
          <w:rFonts w:hint="eastAsia"/>
        </w:rPr>
        <w:t>清选入库</w:t>
      </w:r>
      <w:bookmarkEnd w:id="162"/>
      <w:bookmarkEnd w:id="163"/>
      <w:bookmarkEnd w:id="164"/>
      <w:bookmarkEnd w:id="165"/>
      <w:bookmarkEnd w:id="166"/>
    </w:p>
    <w:p>
      <w:pPr>
        <w:pStyle w:val="58"/>
        <w:ind w:firstLine="420"/>
      </w:pPr>
      <w:r>
        <w:rPr>
          <w:rFonts w:hint="eastAsia"/>
        </w:rPr>
        <w:t>刚收获的油菜籽由于籽粒成熟度不一致，水分含量高，杂质多，如不及时处理很容易发热霉变。所以应争取在最短的时间内将籽粒含水量降至安全水分，以确保商品油菜籽质量。储藏技术按照NY/T 1087的规定执行。</w:t>
      </w:r>
    </w:p>
    <w:p>
      <w:pPr>
        <w:pStyle w:val="58"/>
        <w:ind w:firstLine="420"/>
      </w:pPr>
    </w:p>
    <w:p>
      <w:pPr>
        <w:pStyle w:val="58"/>
        <w:ind w:firstLine="420"/>
        <w:sectPr>
          <w:pgSz w:w="11906" w:h="16838"/>
          <w:pgMar w:top="567" w:right="1134" w:bottom="1134" w:left="1134" w:header="1418" w:footer="1134" w:gutter="284"/>
          <w:pgNumType w:start="1"/>
          <w:cols w:space="425" w:num="1"/>
          <w:formProt w:val="0"/>
          <w:docGrid w:type="lines" w:linePitch="312" w:charSpace="0"/>
        </w:sectPr>
      </w:pPr>
    </w:p>
    <w:bookmarkEnd w:id="23"/>
    <w:p>
      <w:pPr>
        <w:pStyle w:val="200"/>
        <w:rPr>
          <w:vanish w:val="0"/>
        </w:rPr>
      </w:pPr>
      <w:bookmarkStart w:id="167" w:name="BookMark5"/>
    </w:p>
    <w:p>
      <w:pPr>
        <w:pStyle w:val="201"/>
        <w:rPr>
          <w:vanish w:val="0"/>
        </w:rPr>
      </w:pPr>
    </w:p>
    <w:p>
      <w:pPr>
        <w:pStyle w:val="78"/>
        <w:spacing w:before="78" w:after="156"/>
      </w:pPr>
      <w:r>
        <w:br w:type="textWrapping"/>
      </w:r>
      <w:bookmarkStart w:id="168" w:name="_Toc64557391"/>
      <w:bookmarkStart w:id="169" w:name="_Toc64557443"/>
      <w:bookmarkStart w:id="170" w:name="_Toc64557365"/>
      <w:bookmarkStart w:id="171" w:name="_Toc64557417"/>
      <w:bookmarkStart w:id="172" w:name="_Toc64557339"/>
      <w:r>
        <w:rPr>
          <w:rFonts w:hint="eastAsia"/>
        </w:rPr>
        <w:t>（资料性）</w:t>
      </w:r>
      <w:r>
        <w:br w:type="textWrapping"/>
      </w:r>
      <w:r>
        <w:rPr>
          <w:rFonts w:hint="eastAsia"/>
        </w:rPr>
        <w:t>甘蓝型双低春油菜全程机械化生产技术规程</w:t>
      </w:r>
      <w:bookmarkEnd w:id="168"/>
      <w:bookmarkEnd w:id="169"/>
      <w:bookmarkEnd w:id="170"/>
      <w:bookmarkEnd w:id="171"/>
      <w:bookmarkEnd w:id="172"/>
    </w:p>
    <w:p>
      <w:pPr>
        <w:pStyle w:val="79"/>
        <w:spacing w:before="156" w:after="156"/>
      </w:pPr>
      <w:r>
        <w:rPr>
          <w:rFonts w:hint="eastAsia"/>
        </w:rPr>
        <w:t>油菜直播生产中常见的草害、虫害防治时期、防治药剂、用量和用药方法</w:t>
      </w:r>
    </w:p>
    <w:tbl>
      <w:tblPr>
        <w:tblStyle w:val="34"/>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3"/>
        <w:gridCol w:w="1743"/>
        <w:gridCol w:w="4935"/>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593"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exact"/>
              <w:jc w:val="center"/>
              <w:rPr>
                <w:rFonts w:cs="Calibri"/>
                <w:b/>
                <w:bCs/>
                <w:color w:val="000000"/>
                <w:kern w:val="0"/>
                <w:sz w:val="18"/>
                <w:szCs w:val="18"/>
              </w:rPr>
            </w:pPr>
            <w:r>
              <w:rPr>
                <w:rFonts w:hint="eastAsia" w:ascii="宋体" w:hAnsi="宋体" w:cs="Calibri"/>
                <w:b/>
                <w:bCs/>
                <w:color w:val="000000"/>
                <w:kern w:val="0"/>
                <w:sz w:val="18"/>
                <w:szCs w:val="18"/>
              </w:rPr>
              <w:t>主要</w:t>
            </w:r>
            <w:r>
              <w:rPr>
                <w:rFonts w:cs="Calibri"/>
                <w:b/>
                <w:bCs/>
                <w:color w:val="000000"/>
                <w:kern w:val="0"/>
                <w:sz w:val="18"/>
                <w:szCs w:val="18"/>
              </w:rPr>
              <w:t>草害、虫害</w:t>
            </w:r>
          </w:p>
        </w:tc>
        <w:tc>
          <w:tcPr>
            <w:tcW w:w="1743" w:type="dxa"/>
            <w:tcBorders>
              <w:top w:val="single" w:color="auto" w:sz="4" w:space="0"/>
              <w:left w:val="nil"/>
              <w:bottom w:val="single" w:color="auto" w:sz="4" w:space="0"/>
              <w:right w:val="single" w:color="auto" w:sz="4" w:space="0"/>
            </w:tcBorders>
            <w:vAlign w:val="center"/>
          </w:tcPr>
          <w:p>
            <w:pPr>
              <w:widowControl/>
              <w:adjustRightInd/>
              <w:spacing w:line="240" w:lineRule="exact"/>
              <w:jc w:val="center"/>
              <w:rPr>
                <w:rFonts w:cs="Calibri"/>
                <w:b/>
                <w:bCs/>
                <w:color w:val="000000"/>
                <w:kern w:val="0"/>
                <w:sz w:val="18"/>
                <w:szCs w:val="18"/>
              </w:rPr>
            </w:pPr>
            <w:r>
              <w:rPr>
                <w:rFonts w:cs="Calibri"/>
                <w:b/>
                <w:bCs/>
                <w:color w:val="000000"/>
                <w:kern w:val="0"/>
                <w:sz w:val="18"/>
                <w:szCs w:val="18"/>
              </w:rPr>
              <w:t>防治时期</w:t>
            </w:r>
          </w:p>
        </w:tc>
        <w:tc>
          <w:tcPr>
            <w:tcW w:w="4935" w:type="dxa"/>
            <w:tcBorders>
              <w:top w:val="single" w:color="auto" w:sz="4" w:space="0"/>
              <w:left w:val="nil"/>
              <w:bottom w:val="single" w:color="auto" w:sz="4" w:space="0"/>
              <w:right w:val="single" w:color="auto" w:sz="4" w:space="0"/>
            </w:tcBorders>
            <w:vAlign w:val="center"/>
          </w:tcPr>
          <w:p>
            <w:pPr>
              <w:widowControl/>
              <w:adjustRightInd/>
              <w:spacing w:line="240" w:lineRule="exact"/>
              <w:jc w:val="center"/>
              <w:rPr>
                <w:rFonts w:cs="Calibri"/>
                <w:b/>
                <w:bCs/>
                <w:color w:val="000000"/>
                <w:kern w:val="0"/>
                <w:sz w:val="18"/>
                <w:szCs w:val="18"/>
              </w:rPr>
            </w:pPr>
            <w:r>
              <w:rPr>
                <w:rFonts w:cs="Calibri"/>
                <w:b/>
                <w:bCs/>
                <w:color w:val="000000"/>
                <w:kern w:val="0"/>
                <w:sz w:val="18"/>
                <w:szCs w:val="18"/>
              </w:rPr>
              <w:t>防治药剂及每667m</w:t>
            </w:r>
            <w:r>
              <w:rPr>
                <w:rFonts w:cs="Calibri"/>
                <w:b/>
                <w:bCs/>
                <w:color w:val="000000"/>
                <w:kern w:val="0"/>
                <w:sz w:val="18"/>
                <w:szCs w:val="18"/>
                <w:vertAlign w:val="superscript"/>
              </w:rPr>
              <w:t>2</w:t>
            </w:r>
            <w:r>
              <w:rPr>
                <w:rFonts w:cs="Calibri"/>
                <w:b/>
                <w:bCs/>
                <w:color w:val="000000"/>
                <w:kern w:val="0"/>
                <w:sz w:val="18"/>
                <w:szCs w:val="18"/>
              </w:rPr>
              <w:t>用量</w:t>
            </w:r>
          </w:p>
        </w:tc>
        <w:tc>
          <w:tcPr>
            <w:tcW w:w="1077" w:type="dxa"/>
            <w:tcBorders>
              <w:top w:val="single" w:color="auto" w:sz="4" w:space="0"/>
              <w:left w:val="nil"/>
              <w:bottom w:val="single" w:color="auto" w:sz="4" w:space="0"/>
              <w:right w:val="single" w:color="auto" w:sz="4" w:space="0"/>
            </w:tcBorders>
            <w:vAlign w:val="center"/>
          </w:tcPr>
          <w:p>
            <w:pPr>
              <w:widowControl/>
              <w:adjustRightInd/>
              <w:spacing w:line="240" w:lineRule="exact"/>
              <w:jc w:val="center"/>
              <w:rPr>
                <w:rFonts w:cs="Calibri"/>
                <w:b/>
                <w:bCs/>
                <w:color w:val="000000"/>
                <w:kern w:val="0"/>
                <w:sz w:val="18"/>
                <w:szCs w:val="18"/>
              </w:rPr>
            </w:pPr>
            <w:r>
              <w:rPr>
                <w:rFonts w:cs="Calibri"/>
                <w:b/>
                <w:bCs/>
                <w:color w:val="000000"/>
                <w:kern w:val="0"/>
                <w:sz w:val="18"/>
                <w:szCs w:val="18"/>
              </w:rPr>
              <w:t>用药方法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593" w:type="dxa"/>
            <w:tcBorders>
              <w:top w:val="single" w:color="auto" w:sz="4" w:space="0"/>
              <w:left w:val="single" w:color="auto" w:sz="4" w:space="0"/>
              <w:bottom w:val="single" w:color="auto" w:sz="4" w:space="0"/>
              <w:right w:val="single" w:color="auto" w:sz="4" w:space="0"/>
            </w:tcBorders>
            <w:vAlign w:val="center"/>
          </w:tcPr>
          <w:p>
            <w:pPr>
              <w:widowControl/>
              <w:adjustRightInd/>
              <w:spacing w:line="240" w:lineRule="exact"/>
              <w:jc w:val="center"/>
              <w:rPr>
                <w:rFonts w:cs="Calibri"/>
                <w:color w:val="000000"/>
                <w:kern w:val="0"/>
                <w:sz w:val="18"/>
                <w:szCs w:val="18"/>
              </w:rPr>
            </w:pPr>
            <w:r>
              <w:rPr>
                <w:rFonts w:hint="eastAsia" w:cs="Calibri"/>
                <w:color w:val="000000"/>
                <w:kern w:val="0"/>
                <w:sz w:val="18"/>
                <w:szCs w:val="18"/>
                <w:lang w:val="en-US" w:eastAsia="zh-CN"/>
              </w:rPr>
              <w:t>草害</w:t>
            </w:r>
          </w:p>
        </w:tc>
        <w:tc>
          <w:tcPr>
            <w:tcW w:w="1743" w:type="dxa"/>
            <w:tcBorders>
              <w:top w:val="single" w:color="auto" w:sz="4" w:space="0"/>
              <w:left w:val="nil"/>
              <w:bottom w:val="single" w:color="auto" w:sz="4" w:space="0"/>
              <w:right w:val="single" w:color="auto" w:sz="4" w:space="0"/>
            </w:tcBorders>
            <w:vAlign w:val="center"/>
          </w:tcPr>
          <w:p>
            <w:pPr>
              <w:widowControl/>
              <w:adjustRightInd/>
              <w:spacing w:line="240" w:lineRule="exact"/>
              <w:jc w:val="center"/>
              <w:rPr>
                <w:rFonts w:cs="Calibri"/>
                <w:color w:val="000000"/>
                <w:kern w:val="0"/>
                <w:sz w:val="18"/>
                <w:szCs w:val="18"/>
              </w:rPr>
            </w:pPr>
            <w:r>
              <w:rPr>
                <w:rFonts w:hint="eastAsia" w:cs="Calibri"/>
                <w:color w:val="000000"/>
                <w:kern w:val="0"/>
                <w:sz w:val="18"/>
                <w:szCs w:val="18"/>
                <w:lang w:val="en-US" w:eastAsia="zh-CN"/>
              </w:rPr>
              <w:t>播种前</w:t>
            </w:r>
          </w:p>
        </w:tc>
        <w:tc>
          <w:tcPr>
            <w:tcW w:w="4935" w:type="dxa"/>
            <w:tcBorders>
              <w:top w:val="single" w:color="auto" w:sz="4" w:space="0"/>
              <w:left w:val="nil"/>
              <w:bottom w:val="single" w:color="auto" w:sz="4" w:space="0"/>
              <w:right w:val="single" w:color="auto" w:sz="4" w:space="0"/>
            </w:tcBorders>
            <w:vAlign w:val="center"/>
          </w:tcPr>
          <w:p>
            <w:pPr>
              <w:widowControl/>
              <w:adjustRightInd/>
              <w:spacing w:line="240" w:lineRule="exact"/>
              <w:jc w:val="left"/>
              <w:rPr>
                <w:rFonts w:cs="Calibri"/>
                <w:color w:val="000000"/>
                <w:sz w:val="18"/>
                <w:szCs w:val="18"/>
              </w:rPr>
            </w:pPr>
            <w:r>
              <w:rPr>
                <w:rFonts w:hint="eastAsia" w:cs="Calibri"/>
                <w:color w:val="000000"/>
                <w:sz w:val="18"/>
                <w:szCs w:val="18"/>
                <w:lang w:val="en-US" w:eastAsia="zh-CN"/>
              </w:rPr>
              <w:t>41%草甘膦8</w:t>
            </w:r>
            <w:r>
              <w:rPr>
                <w:rFonts w:cs="Calibri"/>
                <w:color w:val="000000"/>
                <w:sz w:val="18"/>
                <w:szCs w:val="18"/>
              </w:rPr>
              <w:t>0</w:t>
            </w:r>
            <w:r>
              <w:rPr>
                <w:rFonts w:cs="Calibri"/>
                <w:color w:val="000000"/>
                <w:kern w:val="0"/>
                <w:sz w:val="18"/>
                <w:szCs w:val="18"/>
              </w:rPr>
              <w:t>ml</w:t>
            </w:r>
            <w:r>
              <w:rPr>
                <w:rFonts w:cs="Calibri"/>
                <w:color w:val="000000"/>
                <w:sz w:val="18"/>
                <w:szCs w:val="18"/>
              </w:rPr>
              <w:t>～</w:t>
            </w:r>
            <w:r>
              <w:rPr>
                <w:rFonts w:hint="eastAsia" w:cs="Calibri"/>
                <w:color w:val="000000"/>
                <w:sz w:val="18"/>
                <w:szCs w:val="18"/>
                <w:lang w:val="en-US" w:eastAsia="zh-CN"/>
              </w:rPr>
              <w:t>10</w:t>
            </w:r>
            <w:r>
              <w:rPr>
                <w:rFonts w:cs="Calibri"/>
                <w:color w:val="000000"/>
                <w:sz w:val="18"/>
                <w:szCs w:val="18"/>
              </w:rPr>
              <w:t>0ml</w:t>
            </w:r>
            <w:r>
              <w:rPr>
                <w:rFonts w:ascii="宋体" w:hAnsi="宋体" w:cs="Calibri"/>
                <w:color w:val="000000"/>
                <w:sz w:val="18"/>
                <w:szCs w:val="18"/>
              </w:rPr>
              <w:t>兑水</w:t>
            </w:r>
            <w:r>
              <w:rPr>
                <w:rFonts w:hint="eastAsia" w:cs="Calibri"/>
                <w:color w:val="000000"/>
                <w:sz w:val="18"/>
                <w:szCs w:val="18"/>
                <w:lang w:val="en-US" w:eastAsia="zh-CN"/>
              </w:rPr>
              <w:t>3</w:t>
            </w:r>
            <w:r>
              <w:rPr>
                <w:rFonts w:cs="Calibri"/>
                <w:color w:val="000000"/>
                <w:sz w:val="18"/>
                <w:szCs w:val="18"/>
              </w:rPr>
              <w:t>0kg</w:t>
            </w:r>
          </w:p>
        </w:tc>
        <w:tc>
          <w:tcPr>
            <w:tcW w:w="1077" w:type="dxa"/>
            <w:tcBorders>
              <w:top w:val="single" w:color="auto" w:sz="4" w:space="0"/>
              <w:left w:val="nil"/>
              <w:bottom w:val="single" w:color="auto" w:sz="4" w:space="0"/>
              <w:right w:val="single" w:color="auto" w:sz="4" w:space="0"/>
            </w:tcBorders>
            <w:vAlign w:val="center"/>
          </w:tcPr>
          <w:p>
            <w:pPr>
              <w:widowControl/>
              <w:adjustRightInd/>
              <w:spacing w:line="240" w:lineRule="exact"/>
              <w:jc w:val="center"/>
              <w:rPr>
                <w:rFonts w:cs="Calibri"/>
                <w:color w:val="000000"/>
                <w:sz w:val="18"/>
                <w:szCs w:val="18"/>
              </w:rPr>
            </w:pPr>
            <w:r>
              <w:rPr>
                <w:rFonts w:hint="eastAsia" w:cs="Calibri"/>
                <w:color w:val="000000"/>
                <w:sz w:val="18"/>
                <w:szCs w:val="18"/>
                <w:lang w:val="en-US" w:eastAsia="zh-CN"/>
              </w:rPr>
              <w:t>喷雾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593" w:type="dxa"/>
            <w:tcBorders>
              <w:top w:val="single" w:color="auto" w:sz="4" w:space="0"/>
              <w:left w:val="single" w:color="auto" w:sz="4" w:space="0"/>
              <w:bottom w:val="single" w:color="auto" w:sz="4" w:space="0"/>
              <w:right w:val="single" w:color="auto" w:sz="4" w:space="0"/>
            </w:tcBorders>
            <w:vAlign w:val="center"/>
          </w:tcPr>
          <w:p>
            <w:pPr>
              <w:adjustRightInd/>
              <w:spacing w:line="240" w:lineRule="exact"/>
              <w:jc w:val="center"/>
              <w:rPr>
                <w:rFonts w:cs="Calibri"/>
                <w:color w:val="000000"/>
                <w:kern w:val="0"/>
                <w:sz w:val="18"/>
                <w:szCs w:val="18"/>
              </w:rPr>
            </w:pPr>
            <w:r>
              <w:rPr>
                <w:rFonts w:cs="Calibri"/>
                <w:color w:val="000000"/>
                <w:kern w:val="0"/>
                <w:sz w:val="18"/>
                <w:szCs w:val="18"/>
              </w:rPr>
              <w:t>禾本科杂草</w:t>
            </w:r>
          </w:p>
        </w:tc>
        <w:tc>
          <w:tcPr>
            <w:tcW w:w="1743" w:type="dxa"/>
            <w:tcBorders>
              <w:top w:val="single" w:color="auto" w:sz="4" w:space="0"/>
              <w:left w:val="nil"/>
              <w:bottom w:val="single" w:color="auto" w:sz="4" w:space="0"/>
              <w:right w:val="single" w:color="auto" w:sz="4" w:space="0"/>
            </w:tcBorders>
            <w:vAlign w:val="center"/>
          </w:tcPr>
          <w:p>
            <w:pPr>
              <w:adjustRightInd/>
              <w:spacing w:line="240" w:lineRule="exact"/>
              <w:jc w:val="center"/>
              <w:rPr>
                <w:rFonts w:cs="Calibri"/>
                <w:color w:val="000000"/>
                <w:kern w:val="0"/>
                <w:sz w:val="18"/>
                <w:szCs w:val="18"/>
              </w:rPr>
            </w:pPr>
            <w:r>
              <w:rPr>
                <w:rFonts w:hint="eastAsia" w:cs="Calibri"/>
                <w:color w:val="000000"/>
                <w:kern w:val="0"/>
                <w:sz w:val="18"/>
                <w:szCs w:val="18"/>
                <w:lang w:val="en-US" w:eastAsia="zh-CN"/>
              </w:rPr>
              <w:t>油菜3</w:t>
            </w:r>
            <w:r>
              <w:rPr>
                <w:rFonts w:cs="Calibri"/>
                <w:color w:val="000000"/>
                <w:sz w:val="18"/>
                <w:szCs w:val="18"/>
              </w:rPr>
              <w:t>叶</w:t>
            </w:r>
            <w:r>
              <w:rPr>
                <w:rFonts w:cs="Calibri"/>
                <w:color w:val="000000"/>
                <w:kern w:val="0"/>
                <w:sz w:val="18"/>
                <w:szCs w:val="18"/>
              </w:rPr>
              <w:t>～</w:t>
            </w:r>
            <w:r>
              <w:rPr>
                <w:rFonts w:hint="eastAsia" w:cs="Calibri"/>
                <w:color w:val="000000"/>
                <w:kern w:val="0"/>
                <w:sz w:val="18"/>
                <w:szCs w:val="18"/>
                <w:lang w:val="en-US" w:eastAsia="zh-CN"/>
              </w:rPr>
              <w:t>5</w:t>
            </w:r>
            <w:r>
              <w:rPr>
                <w:rFonts w:ascii="宋体" w:hAnsi="宋体" w:cs="Calibri"/>
                <w:color w:val="000000"/>
                <w:kern w:val="0"/>
                <w:sz w:val="18"/>
                <w:szCs w:val="18"/>
              </w:rPr>
              <w:t>叶期</w:t>
            </w:r>
          </w:p>
        </w:tc>
        <w:tc>
          <w:tcPr>
            <w:tcW w:w="4935" w:type="dxa"/>
            <w:tcBorders>
              <w:top w:val="single" w:color="auto" w:sz="4" w:space="0"/>
              <w:left w:val="nil"/>
              <w:bottom w:val="single" w:color="auto" w:sz="4" w:space="0"/>
              <w:right w:val="single" w:color="auto" w:sz="4" w:space="0"/>
            </w:tcBorders>
            <w:vAlign w:val="center"/>
          </w:tcPr>
          <w:p>
            <w:pPr>
              <w:adjustRightInd/>
              <w:spacing w:line="240" w:lineRule="exact"/>
              <w:rPr>
                <w:rFonts w:cs="Calibri"/>
                <w:color w:val="000000"/>
                <w:sz w:val="18"/>
                <w:szCs w:val="18"/>
              </w:rPr>
            </w:pPr>
            <w:r>
              <w:rPr>
                <w:rFonts w:hint="eastAsia" w:cs="Calibri"/>
                <w:color w:val="000000"/>
                <w:sz w:val="18"/>
                <w:szCs w:val="18"/>
                <w:lang w:val="en-US" w:eastAsia="zh-CN"/>
              </w:rPr>
              <w:t>烯草酮乳油50-60ml或10.8%氟吡甲禾灵乳油35－40ml，兑水25-30kg</w:t>
            </w:r>
          </w:p>
        </w:tc>
        <w:tc>
          <w:tcPr>
            <w:tcW w:w="1077" w:type="dxa"/>
            <w:tcBorders>
              <w:top w:val="single" w:color="auto" w:sz="4" w:space="0"/>
              <w:left w:val="nil"/>
              <w:bottom w:val="single" w:color="auto" w:sz="4" w:space="0"/>
              <w:right w:val="single" w:color="auto" w:sz="4" w:space="0"/>
            </w:tcBorders>
            <w:vAlign w:val="center"/>
          </w:tcPr>
          <w:p>
            <w:pPr>
              <w:adjustRightInd/>
              <w:spacing w:line="240" w:lineRule="exact"/>
              <w:jc w:val="center"/>
              <w:rPr>
                <w:rFonts w:cs="Calibri"/>
                <w:color w:val="000000"/>
                <w:sz w:val="18"/>
                <w:szCs w:val="18"/>
              </w:rPr>
            </w:pPr>
            <w:r>
              <w:rPr>
                <w:rFonts w:hint="eastAsia" w:cs="Calibri"/>
                <w:color w:val="000000"/>
                <w:sz w:val="18"/>
                <w:szCs w:val="18"/>
                <w:lang w:val="en-US" w:eastAsia="zh-CN"/>
              </w:rPr>
              <w:t>喷雾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593" w:type="dxa"/>
            <w:tcBorders>
              <w:top w:val="single" w:color="auto" w:sz="4" w:space="0"/>
              <w:left w:val="single" w:color="auto" w:sz="4" w:space="0"/>
              <w:bottom w:val="single" w:color="auto" w:sz="4" w:space="0"/>
              <w:right w:val="single" w:color="auto" w:sz="4" w:space="0"/>
            </w:tcBorders>
            <w:vAlign w:val="center"/>
          </w:tcPr>
          <w:p>
            <w:pPr>
              <w:adjustRightInd/>
              <w:spacing w:line="240" w:lineRule="exact"/>
              <w:jc w:val="center"/>
              <w:rPr>
                <w:rFonts w:cs="Calibri"/>
                <w:color w:val="000000"/>
                <w:kern w:val="0"/>
                <w:sz w:val="18"/>
                <w:szCs w:val="18"/>
              </w:rPr>
            </w:pPr>
            <w:r>
              <w:rPr>
                <w:rFonts w:hint="eastAsia" w:cs="Calibri"/>
                <w:color w:val="000000"/>
                <w:sz w:val="18"/>
                <w:szCs w:val="18"/>
                <w:lang w:val="en-US" w:eastAsia="zh-CN"/>
              </w:rPr>
              <w:t>阔叶</w:t>
            </w:r>
            <w:r>
              <w:rPr>
                <w:rFonts w:cs="Calibri"/>
                <w:color w:val="000000"/>
                <w:sz w:val="18"/>
                <w:szCs w:val="18"/>
              </w:rPr>
              <w:t>杂草</w:t>
            </w:r>
          </w:p>
        </w:tc>
        <w:tc>
          <w:tcPr>
            <w:tcW w:w="1743" w:type="dxa"/>
            <w:tcBorders>
              <w:top w:val="single" w:color="auto" w:sz="4" w:space="0"/>
              <w:left w:val="nil"/>
              <w:bottom w:val="single" w:color="auto" w:sz="4" w:space="0"/>
              <w:right w:val="single" w:color="auto" w:sz="4" w:space="0"/>
            </w:tcBorders>
            <w:vAlign w:val="center"/>
          </w:tcPr>
          <w:p>
            <w:pPr>
              <w:adjustRightInd/>
              <w:spacing w:line="240" w:lineRule="exact"/>
              <w:jc w:val="center"/>
              <w:rPr>
                <w:rFonts w:cs="Calibri"/>
                <w:color w:val="000000"/>
                <w:kern w:val="0"/>
                <w:sz w:val="18"/>
                <w:szCs w:val="18"/>
              </w:rPr>
            </w:pPr>
            <w:r>
              <w:rPr>
                <w:rFonts w:cs="Calibri"/>
                <w:color w:val="000000"/>
                <w:sz w:val="18"/>
                <w:szCs w:val="18"/>
              </w:rPr>
              <w:t>杂草</w:t>
            </w:r>
            <w:r>
              <w:rPr>
                <w:rFonts w:hint="eastAsia" w:cs="Calibri"/>
                <w:color w:val="000000"/>
                <w:sz w:val="18"/>
                <w:szCs w:val="18"/>
                <w:lang w:val="en-US" w:eastAsia="zh-CN"/>
              </w:rPr>
              <w:t>3</w:t>
            </w:r>
            <w:r>
              <w:rPr>
                <w:rFonts w:ascii="宋体" w:hAnsi="宋体" w:cs="Calibri"/>
                <w:color w:val="000000"/>
                <w:sz w:val="18"/>
                <w:szCs w:val="18"/>
              </w:rPr>
              <w:t>叶</w:t>
            </w:r>
            <w:r>
              <w:rPr>
                <w:rFonts w:cs="Calibri"/>
                <w:color w:val="000000"/>
                <w:kern w:val="0"/>
                <w:sz w:val="18"/>
                <w:szCs w:val="18"/>
              </w:rPr>
              <w:t>～</w:t>
            </w:r>
            <w:r>
              <w:rPr>
                <w:rFonts w:hint="eastAsia" w:cs="Calibri"/>
                <w:color w:val="000000"/>
                <w:sz w:val="18"/>
                <w:szCs w:val="18"/>
                <w:lang w:val="en-US" w:eastAsia="zh-CN"/>
              </w:rPr>
              <w:t>5</w:t>
            </w:r>
            <w:r>
              <w:rPr>
                <w:rFonts w:ascii="宋体" w:hAnsi="宋体" w:cs="Calibri"/>
                <w:color w:val="000000"/>
                <w:sz w:val="18"/>
                <w:szCs w:val="18"/>
              </w:rPr>
              <w:t>叶期</w:t>
            </w:r>
          </w:p>
        </w:tc>
        <w:tc>
          <w:tcPr>
            <w:tcW w:w="4935" w:type="dxa"/>
            <w:tcBorders>
              <w:top w:val="single" w:color="auto" w:sz="4" w:space="0"/>
              <w:left w:val="nil"/>
              <w:bottom w:val="single" w:color="auto" w:sz="4" w:space="0"/>
              <w:right w:val="single" w:color="auto" w:sz="4" w:space="0"/>
            </w:tcBorders>
            <w:vAlign w:val="center"/>
          </w:tcPr>
          <w:p>
            <w:pPr>
              <w:adjustRightInd/>
              <w:spacing w:line="240" w:lineRule="exact"/>
              <w:rPr>
                <w:rFonts w:cs="Calibri"/>
                <w:color w:val="000000"/>
                <w:sz w:val="18"/>
                <w:szCs w:val="18"/>
              </w:rPr>
            </w:pPr>
            <w:r>
              <w:rPr>
                <w:rFonts w:hint="eastAsia" w:cs="Calibri"/>
                <w:color w:val="000000"/>
                <w:sz w:val="18"/>
                <w:szCs w:val="18"/>
                <w:lang w:val="en-US" w:eastAsia="zh-CN"/>
              </w:rPr>
              <w:t>75%二氯吡啶酸水分散粒剂15克或28.6%氨氯·二氯吡啶酸乳油50-60ml，兑水25-30kg</w:t>
            </w:r>
          </w:p>
        </w:tc>
        <w:tc>
          <w:tcPr>
            <w:tcW w:w="1077" w:type="dxa"/>
            <w:tcBorders>
              <w:top w:val="single" w:color="auto" w:sz="4" w:space="0"/>
              <w:left w:val="nil"/>
              <w:bottom w:val="single" w:color="auto" w:sz="4" w:space="0"/>
              <w:right w:val="single" w:color="auto" w:sz="4" w:space="0"/>
            </w:tcBorders>
            <w:vAlign w:val="center"/>
          </w:tcPr>
          <w:p>
            <w:pPr>
              <w:adjustRightInd/>
              <w:spacing w:line="240" w:lineRule="exact"/>
              <w:jc w:val="center"/>
              <w:rPr>
                <w:rFonts w:cs="Calibri"/>
                <w:color w:val="000000"/>
                <w:sz w:val="18"/>
                <w:szCs w:val="18"/>
              </w:rPr>
            </w:pPr>
            <w:r>
              <w:rPr>
                <w:rFonts w:hint="eastAsia" w:cs="Calibri"/>
                <w:color w:val="000000"/>
                <w:sz w:val="18"/>
                <w:szCs w:val="18"/>
                <w:lang w:val="en-US" w:eastAsia="zh-CN"/>
              </w:rPr>
              <w:t>喷雾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593" w:type="dxa"/>
            <w:tcBorders>
              <w:top w:val="single" w:color="auto" w:sz="4" w:space="0"/>
              <w:left w:val="single" w:color="auto" w:sz="4" w:space="0"/>
              <w:bottom w:val="single" w:color="auto" w:sz="4" w:space="0"/>
              <w:right w:val="single" w:color="auto" w:sz="4" w:space="0"/>
            </w:tcBorders>
            <w:vAlign w:val="center"/>
          </w:tcPr>
          <w:p>
            <w:pPr>
              <w:adjustRightInd/>
              <w:spacing w:line="240" w:lineRule="exact"/>
              <w:jc w:val="center"/>
              <w:rPr>
                <w:rFonts w:cs="Calibri"/>
                <w:color w:val="000000"/>
                <w:sz w:val="18"/>
                <w:szCs w:val="18"/>
              </w:rPr>
            </w:pPr>
            <w:r>
              <w:rPr>
                <w:rFonts w:hint="eastAsia" w:ascii="宋体" w:hAnsi="宋体" w:cs="Calibri"/>
                <w:color w:val="000000"/>
                <w:sz w:val="18"/>
                <w:szCs w:val="18"/>
              </w:rPr>
              <w:t>跳甲</w:t>
            </w:r>
          </w:p>
        </w:tc>
        <w:tc>
          <w:tcPr>
            <w:tcW w:w="1743" w:type="dxa"/>
            <w:tcBorders>
              <w:top w:val="single" w:color="auto" w:sz="4" w:space="0"/>
              <w:left w:val="nil"/>
              <w:bottom w:val="single" w:color="auto" w:sz="4" w:space="0"/>
              <w:right w:val="single" w:color="auto" w:sz="4" w:space="0"/>
            </w:tcBorders>
            <w:vAlign w:val="center"/>
          </w:tcPr>
          <w:p>
            <w:pPr>
              <w:adjustRightInd/>
              <w:spacing w:line="240" w:lineRule="exact"/>
              <w:jc w:val="center"/>
              <w:rPr>
                <w:rFonts w:cs="Calibri"/>
                <w:color w:val="000000"/>
                <w:sz w:val="18"/>
                <w:szCs w:val="18"/>
              </w:rPr>
            </w:pPr>
            <w:r>
              <w:rPr>
                <w:rFonts w:cs="Calibri"/>
                <w:color w:val="000000"/>
                <w:sz w:val="18"/>
                <w:szCs w:val="18"/>
              </w:rPr>
              <w:t>幼虫</w:t>
            </w:r>
            <w:r>
              <w:rPr>
                <w:rFonts w:hint="eastAsia" w:ascii="宋体" w:hAnsi="宋体" w:cs="Calibri"/>
                <w:color w:val="000000"/>
                <w:sz w:val="18"/>
                <w:szCs w:val="18"/>
              </w:rPr>
              <w:t>3龄以前</w:t>
            </w:r>
          </w:p>
        </w:tc>
        <w:tc>
          <w:tcPr>
            <w:tcW w:w="4935" w:type="dxa"/>
            <w:tcBorders>
              <w:top w:val="single" w:color="auto" w:sz="4" w:space="0"/>
              <w:left w:val="nil"/>
              <w:bottom w:val="single" w:color="auto" w:sz="4" w:space="0"/>
              <w:right w:val="single" w:color="auto" w:sz="4" w:space="0"/>
            </w:tcBorders>
            <w:vAlign w:val="center"/>
          </w:tcPr>
          <w:p>
            <w:pPr>
              <w:adjustRightInd/>
              <w:spacing w:line="240" w:lineRule="exact"/>
              <w:rPr>
                <w:rFonts w:cs="Calibri"/>
                <w:color w:val="000000"/>
                <w:sz w:val="18"/>
                <w:szCs w:val="18"/>
              </w:rPr>
            </w:pPr>
            <w:r>
              <w:rPr>
                <w:rFonts w:cs="Calibri"/>
                <w:color w:val="000000"/>
                <w:sz w:val="18"/>
                <w:szCs w:val="18"/>
              </w:rPr>
              <w:t>48%</w:t>
            </w:r>
            <w:r>
              <w:rPr>
                <w:rFonts w:ascii="宋体" w:hAnsi="宋体" w:cs="Calibri"/>
                <w:color w:val="000000"/>
                <w:sz w:val="18"/>
                <w:szCs w:val="18"/>
              </w:rPr>
              <w:t>的</w:t>
            </w:r>
            <w:r>
              <w:rPr>
                <w:rFonts w:hint="eastAsia" w:ascii="宋体" w:hAnsi="宋体" w:cs="Calibri"/>
                <w:color w:val="000000"/>
                <w:sz w:val="18"/>
                <w:szCs w:val="18"/>
              </w:rPr>
              <w:t>高效氯氰菊酯</w:t>
            </w:r>
            <w:r>
              <w:rPr>
                <w:rFonts w:hint="eastAsia" w:cs="Calibri"/>
                <w:color w:val="000000"/>
                <w:sz w:val="18"/>
                <w:szCs w:val="18"/>
              </w:rPr>
              <w:t>300</w:t>
            </w:r>
            <w:r>
              <w:rPr>
                <w:rFonts w:cs="Calibri"/>
                <w:color w:val="000000"/>
                <w:kern w:val="0"/>
                <w:sz w:val="18"/>
                <w:szCs w:val="18"/>
              </w:rPr>
              <w:t>ml</w:t>
            </w:r>
            <w:r>
              <w:rPr>
                <w:rFonts w:ascii="宋体" w:hAnsi="宋体" w:cs="Calibri"/>
                <w:color w:val="000000"/>
                <w:kern w:val="0"/>
                <w:sz w:val="18"/>
                <w:szCs w:val="18"/>
              </w:rPr>
              <w:t>～</w:t>
            </w:r>
            <w:r>
              <w:rPr>
                <w:rFonts w:hint="eastAsia" w:ascii="宋体" w:hAnsi="宋体" w:cs="Calibri"/>
                <w:color w:val="000000"/>
                <w:sz w:val="18"/>
                <w:szCs w:val="18"/>
              </w:rPr>
              <w:t>45</w:t>
            </w:r>
            <w:r>
              <w:rPr>
                <w:rFonts w:cs="Calibri"/>
                <w:color w:val="000000"/>
                <w:sz w:val="18"/>
                <w:szCs w:val="18"/>
              </w:rPr>
              <w:t>0ml</w:t>
            </w:r>
            <w:r>
              <w:rPr>
                <w:rFonts w:ascii="宋体" w:hAnsi="宋体" w:cs="Calibri"/>
                <w:color w:val="000000"/>
                <w:sz w:val="18"/>
                <w:szCs w:val="18"/>
              </w:rPr>
              <w:t>兑水</w:t>
            </w:r>
            <w:r>
              <w:rPr>
                <w:rFonts w:hint="eastAsia" w:ascii="宋体" w:hAnsi="宋体" w:cs="Calibri"/>
                <w:color w:val="000000"/>
                <w:sz w:val="18"/>
                <w:szCs w:val="18"/>
              </w:rPr>
              <w:t>450</w:t>
            </w:r>
            <w:r>
              <w:rPr>
                <w:rFonts w:cs="Calibri"/>
                <w:color w:val="000000"/>
                <w:sz w:val="18"/>
                <w:szCs w:val="18"/>
              </w:rPr>
              <w:t>kg</w:t>
            </w:r>
          </w:p>
        </w:tc>
        <w:tc>
          <w:tcPr>
            <w:tcW w:w="1077" w:type="dxa"/>
            <w:tcBorders>
              <w:top w:val="single" w:color="auto" w:sz="4" w:space="0"/>
              <w:left w:val="nil"/>
              <w:bottom w:val="single" w:color="auto" w:sz="4" w:space="0"/>
              <w:right w:val="single" w:color="auto" w:sz="4" w:space="0"/>
            </w:tcBorders>
            <w:vAlign w:val="center"/>
          </w:tcPr>
          <w:p>
            <w:pPr>
              <w:adjustRightInd/>
              <w:spacing w:line="240" w:lineRule="exact"/>
              <w:jc w:val="center"/>
              <w:rPr>
                <w:rFonts w:cs="Calibri"/>
                <w:color w:val="000000"/>
                <w:sz w:val="18"/>
                <w:szCs w:val="18"/>
              </w:rPr>
            </w:pPr>
            <w:r>
              <w:rPr>
                <w:rFonts w:hint="eastAsia" w:cs="Calibri"/>
                <w:color w:val="000000"/>
                <w:sz w:val="18"/>
                <w:szCs w:val="18"/>
                <w:lang w:val="en-US" w:eastAsia="zh-CN"/>
              </w:rPr>
              <w:t>喷雾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593" w:type="dxa"/>
            <w:tcBorders>
              <w:top w:val="single" w:color="auto" w:sz="4" w:space="0"/>
              <w:left w:val="single" w:color="auto" w:sz="4" w:space="0"/>
              <w:bottom w:val="single" w:color="auto" w:sz="4" w:space="0"/>
              <w:right w:val="single" w:color="auto" w:sz="4" w:space="0"/>
            </w:tcBorders>
            <w:vAlign w:val="center"/>
          </w:tcPr>
          <w:p>
            <w:pPr>
              <w:adjustRightInd/>
              <w:spacing w:line="240" w:lineRule="exact"/>
              <w:jc w:val="center"/>
              <w:rPr>
                <w:rFonts w:cs="Calibri"/>
                <w:color w:val="000000"/>
                <w:sz w:val="18"/>
                <w:szCs w:val="18"/>
              </w:rPr>
            </w:pPr>
            <w:r>
              <w:rPr>
                <w:rFonts w:cs="Calibri"/>
                <w:color w:val="000000"/>
                <w:sz w:val="18"/>
                <w:szCs w:val="18"/>
              </w:rPr>
              <w:t>蚜虫</w:t>
            </w:r>
          </w:p>
        </w:tc>
        <w:tc>
          <w:tcPr>
            <w:tcW w:w="1743" w:type="dxa"/>
            <w:tcBorders>
              <w:top w:val="single" w:color="auto" w:sz="4" w:space="0"/>
              <w:left w:val="nil"/>
              <w:bottom w:val="single" w:color="auto" w:sz="4" w:space="0"/>
              <w:right w:val="single" w:color="auto" w:sz="4" w:space="0"/>
            </w:tcBorders>
            <w:vAlign w:val="center"/>
          </w:tcPr>
          <w:p>
            <w:pPr>
              <w:adjustRightInd/>
              <w:spacing w:line="240" w:lineRule="exact"/>
              <w:jc w:val="center"/>
              <w:rPr>
                <w:rFonts w:cs="Calibri"/>
                <w:color w:val="000000"/>
                <w:sz w:val="18"/>
                <w:szCs w:val="18"/>
              </w:rPr>
            </w:pPr>
            <w:r>
              <w:rPr>
                <w:rFonts w:cs="Calibri"/>
                <w:color w:val="000000"/>
                <w:sz w:val="18"/>
                <w:szCs w:val="18"/>
              </w:rPr>
              <w:t>蚜虫株率达8%</w:t>
            </w:r>
          </w:p>
        </w:tc>
        <w:tc>
          <w:tcPr>
            <w:tcW w:w="4935" w:type="dxa"/>
            <w:tcBorders>
              <w:top w:val="single" w:color="auto" w:sz="4" w:space="0"/>
              <w:left w:val="nil"/>
              <w:bottom w:val="single" w:color="auto" w:sz="4" w:space="0"/>
              <w:right w:val="single" w:color="auto" w:sz="4" w:space="0"/>
            </w:tcBorders>
            <w:vAlign w:val="center"/>
          </w:tcPr>
          <w:p>
            <w:pPr>
              <w:adjustRightInd/>
              <w:spacing w:line="240" w:lineRule="exact"/>
              <w:rPr>
                <w:rFonts w:cs="Calibri"/>
                <w:color w:val="000000"/>
                <w:sz w:val="18"/>
                <w:szCs w:val="18"/>
              </w:rPr>
            </w:pPr>
            <w:r>
              <w:rPr>
                <w:rFonts w:cs="Calibri"/>
                <w:color w:val="000000"/>
                <w:sz w:val="18"/>
                <w:szCs w:val="18"/>
              </w:rPr>
              <w:t>10%</w:t>
            </w:r>
            <w:r>
              <w:rPr>
                <w:rFonts w:ascii="宋体" w:hAnsi="宋体" w:cs="Calibri"/>
                <w:color w:val="000000"/>
                <w:sz w:val="18"/>
                <w:szCs w:val="18"/>
              </w:rPr>
              <w:t>的吡虫啉可湿性粉剂</w:t>
            </w:r>
            <w:r>
              <w:rPr>
                <w:rFonts w:cs="Calibri"/>
                <w:color w:val="000000"/>
                <w:sz w:val="18"/>
                <w:szCs w:val="18"/>
              </w:rPr>
              <w:t>40g</w:t>
            </w:r>
            <w:r>
              <w:rPr>
                <w:rFonts w:cs="Calibri"/>
                <w:color w:val="000000"/>
                <w:kern w:val="0"/>
                <w:sz w:val="18"/>
                <w:szCs w:val="18"/>
              </w:rPr>
              <w:t>～</w:t>
            </w:r>
            <w:r>
              <w:rPr>
                <w:rFonts w:cs="Calibri"/>
                <w:color w:val="000000"/>
                <w:sz w:val="18"/>
                <w:szCs w:val="18"/>
              </w:rPr>
              <w:t>60g</w:t>
            </w:r>
            <w:r>
              <w:rPr>
                <w:rFonts w:ascii="宋体" w:hAnsi="宋体" w:cs="Calibri"/>
                <w:color w:val="000000"/>
                <w:sz w:val="18"/>
                <w:szCs w:val="18"/>
              </w:rPr>
              <w:t>兑水</w:t>
            </w:r>
            <w:r>
              <w:rPr>
                <w:rFonts w:cs="Calibri"/>
                <w:color w:val="000000"/>
                <w:sz w:val="18"/>
                <w:szCs w:val="18"/>
              </w:rPr>
              <w:t>40kg</w:t>
            </w:r>
            <w:r>
              <w:rPr>
                <w:rFonts w:cs="Calibri"/>
                <w:color w:val="000000"/>
                <w:kern w:val="0"/>
                <w:sz w:val="18"/>
                <w:szCs w:val="18"/>
              </w:rPr>
              <w:t>～</w:t>
            </w:r>
            <w:r>
              <w:rPr>
                <w:rFonts w:cs="Calibri"/>
                <w:color w:val="000000"/>
                <w:sz w:val="18"/>
                <w:szCs w:val="18"/>
              </w:rPr>
              <w:t>50kg</w:t>
            </w:r>
          </w:p>
        </w:tc>
        <w:tc>
          <w:tcPr>
            <w:tcW w:w="1077" w:type="dxa"/>
            <w:tcBorders>
              <w:top w:val="single" w:color="auto" w:sz="4" w:space="0"/>
              <w:left w:val="nil"/>
              <w:bottom w:val="single" w:color="auto" w:sz="4" w:space="0"/>
              <w:right w:val="single" w:color="auto" w:sz="4" w:space="0"/>
            </w:tcBorders>
            <w:vAlign w:val="center"/>
          </w:tcPr>
          <w:p>
            <w:pPr>
              <w:adjustRightInd/>
              <w:spacing w:line="240" w:lineRule="exact"/>
              <w:jc w:val="center"/>
              <w:rPr>
                <w:rFonts w:cs="Calibri"/>
                <w:color w:val="000000"/>
                <w:sz w:val="18"/>
                <w:szCs w:val="18"/>
              </w:rPr>
            </w:pPr>
            <w:r>
              <w:rPr>
                <w:rFonts w:hint="eastAsia" w:cs="Calibri"/>
                <w:color w:val="000000"/>
                <w:sz w:val="18"/>
                <w:szCs w:val="18"/>
                <w:lang w:val="en-US" w:eastAsia="zh-CN"/>
              </w:rPr>
              <w:t>喷雾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593" w:type="dxa"/>
            <w:tcBorders>
              <w:top w:val="single" w:color="auto" w:sz="4" w:space="0"/>
              <w:left w:val="single" w:color="auto" w:sz="4" w:space="0"/>
              <w:bottom w:val="single" w:color="auto" w:sz="4" w:space="0"/>
              <w:right w:val="single" w:color="auto" w:sz="4" w:space="0"/>
            </w:tcBorders>
            <w:vAlign w:val="center"/>
          </w:tcPr>
          <w:p>
            <w:pPr>
              <w:adjustRightInd/>
              <w:spacing w:line="240" w:lineRule="exact"/>
              <w:jc w:val="center"/>
              <w:rPr>
                <w:rFonts w:cs="Calibri"/>
                <w:color w:val="000000"/>
                <w:sz w:val="18"/>
                <w:szCs w:val="18"/>
              </w:rPr>
            </w:pPr>
            <w:r>
              <w:rPr>
                <w:rFonts w:cs="Calibri"/>
                <w:color w:val="000000"/>
                <w:sz w:val="18"/>
                <w:szCs w:val="18"/>
              </w:rPr>
              <w:t>菜青虫</w:t>
            </w:r>
          </w:p>
        </w:tc>
        <w:tc>
          <w:tcPr>
            <w:tcW w:w="1743" w:type="dxa"/>
            <w:tcBorders>
              <w:top w:val="single" w:color="auto" w:sz="4" w:space="0"/>
              <w:left w:val="nil"/>
              <w:bottom w:val="single" w:color="auto" w:sz="4" w:space="0"/>
              <w:right w:val="single" w:color="auto" w:sz="4" w:space="0"/>
            </w:tcBorders>
            <w:vAlign w:val="center"/>
          </w:tcPr>
          <w:p>
            <w:pPr>
              <w:adjustRightInd/>
              <w:spacing w:line="240" w:lineRule="exact"/>
              <w:jc w:val="center"/>
              <w:rPr>
                <w:rFonts w:cs="Calibri"/>
                <w:color w:val="000000"/>
                <w:sz w:val="18"/>
                <w:szCs w:val="18"/>
              </w:rPr>
            </w:pPr>
            <w:r>
              <w:rPr>
                <w:rFonts w:cs="Calibri"/>
                <w:color w:val="000000"/>
                <w:sz w:val="18"/>
                <w:szCs w:val="18"/>
              </w:rPr>
              <w:t>幼虫</w:t>
            </w:r>
            <w:r>
              <w:rPr>
                <w:rFonts w:hint="eastAsia" w:ascii="宋体" w:hAnsi="宋体" w:cs="Calibri"/>
                <w:color w:val="000000"/>
                <w:sz w:val="18"/>
                <w:szCs w:val="18"/>
              </w:rPr>
              <w:t>3龄以前</w:t>
            </w:r>
          </w:p>
        </w:tc>
        <w:tc>
          <w:tcPr>
            <w:tcW w:w="4935" w:type="dxa"/>
            <w:tcBorders>
              <w:top w:val="single" w:color="auto" w:sz="4" w:space="0"/>
              <w:left w:val="nil"/>
              <w:bottom w:val="single" w:color="auto" w:sz="4" w:space="0"/>
              <w:right w:val="single" w:color="auto" w:sz="4" w:space="0"/>
            </w:tcBorders>
            <w:vAlign w:val="center"/>
          </w:tcPr>
          <w:p>
            <w:pPr>
              <w:adjustRightInd/>
              <w:spacing w:line="240" w:lineRule="exact"/>
              <w:rPr>
                <w:rFonts w:cs="Calibri"/>
                <w:color w:val="000000"/>
                <w:sz w:val="18"/>
                <w:szCs w:val="18"/>
              </w:rPr>
            </w:pPr>
            <w:r>
              <w:rPr>
                <w:rFonts w:cs="Calibri"/>
                <w:color w:val="000000"/>
                <w:sz w:val="18"/>
                <w:szCs w:val="18"/>
              </w:rPr>
              <w:t>2.5%</w:t>
            </w:r>
            <w:r>
              <w:rPr>
                <w:rFonts w:ascii="宋体" w:hAnsi="宋体" w:cs="Calibri"/>
                <w:color w:val="000000"/>
                <w:sz w:val="18"/>
                <w:szCs w:val="18"/>
              </w:rPr>
              <w:t>的溴氰菊酯乳油</w:t>
            </w:r>
            <w:r>
              <w:rPr>
                <w:rFonts w:cs="Calibri"/>
                <w:color w:val="000000"/>
                <w:sz w:val="18"/>
                <w:szCs w:val="18"/>
              </w:rPr>
              <w:t>20</w:t>
            </w:r>
            <w:r>
              <w:rPr>
                <w:rFonts w:cs="Calibri"/>
                <w:color w:val="000000"/>
                <w:kern w:val="0"/>
                <w:sz w:val="18"/>
                <w:szCs w:val="18"/>
              </w:rPr>
              <w:t>ml</w:t>
            </w:r>
            <w:r>
              <w:rPr>
                <w:rFonts w:ascii="宋体" w:hAnsi="宋体" w:cs="Calibri"/>
                <w:color w:val="000000"/>
                <w:kern w:val="0"/>
                <w:sz w:val="18"/>
                <w:szCs w:val="18"/>
              </w:rPr>
              <w:t>～</w:t>
            </w:r>
            <w:r>
              <w:rPr>
                <w:rFonts w:cs="Calibri"/>
                <w:color w:val="000000"/>
                <w:sz w:val="18"/>
                <w:szCs w:val="18"/>
              </w:rPr>
              <w:t>25ml</w:t>
            </w:r>
            <w:r>
              <w:rPr>
                <w:rFonts w:ascii="宋体" w:hAnsi="宋体" w:cs="Calibri"/>
                <w:color w:val="000000"/>
                <w:sz w:val="18"/>
                <w:szCs w:val="18"/>
              </w:rPr>
              <w:t>兑水</w:t>
            </w:r>
            <w:r>
              <w:rPr>
                <w:rFonts w:cs="Calibri"/>
                <w:color w:val="000000"/>
                <w:sz w:val="18"/>
                <w:szCs w:val="18"/>
              </w:rPr>
              <w:t>40kg</w:t>
            </w:r>
            <w:r>
              <w:rPr>
                <w:rFonts w:cs="Calibri"/>
                <w:color w:val="000000"/>
                <w:kern w:val="0"/>
                <w:sz w:val="18"/>
                <w:szCs w:val="18"/>
              </w:rPr>
              <w:t>～</w:t>
            </w:r>
            <w:r>
              <w:rPr>
                <w:rFonts w:cs="Calibri"/>
                <w:color w:val="000000"/>
                <w:sz w:val="18"/>
                <w:szCs w:val="18"/>
              </w:rPr>
              <w:t>50kg</w:t>
            </w:r>
          </w:p>
        </w:tc>
        <w:tc>
          <w:tcPr>
            <w:tcW w:w="1077" w:type="dxa"/>
            <w:tcBorders>
              <w:top w:val="single" w:color="auto" w:sz="4" w:space="0"/>
              <w:left w:val="nil"/>
              <w:bottom w:val="single" w:color="auto" w:sz="4" w:space="0"/>
              <w:right w:val="single" w:color="auto" w:sz="4" w:space="0"/>
            </w:tcBorders>
            <w:vAlign w:val="center"/>
          </w:tcPr>
          <w:p>
            <w:pPr>
              <w:adjustRightInd/>
              <w:spacing w:line="240" w:lineRule="exact"/>
              <w:jc w:val="center"/>
              <w:rPr>
                <w:rFonts w:cs="Calibri"/>
                <w:color w:val="000000"/>
                <w:sz w:val="18"/>
                <w:szCs w:val="18"/>
              </w:rPr>
            </w:pPr>
            <w:r>
              <w:rPr>
                <w:rFonts w:hint="eastAsia" w:cs="Calibri"/>
                <w:color w:val="000000"/>
                <w:sz w:val="18"/>
                <w:szCs w:val="18"/>
                <w:lang w:val="en-US" w:eastAsia="zh-CN"/>
              </w:rPr>
              <w:t>喷雾</w:t>
            </w:r>
          </w:p>
        </w:tc>
      </w:tr>
    </w:tbl>
    <w:p>
      <w:pPr>
        <w:pStyle w:val="79"/>
        <w:spacing w:before="156" w:after="156"/>
      </w:pPr>
      <w:r>
        <w:rPr>
          <w:rFonts w:hint="eastAsia"/>
        </w:rPr>
        <w:t>油菜品种比较试验</w:t>
      </w:r>
    </w:p>
    <w:tbl>
      <w:tblPr>
        <w:tblStyle w:val="34"/>
        <w:tblW w:w="93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2392"/>
        <w:gridCol w:w="2392"/>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widowControl/>
              <w:adjustRightInd/>
              <w:spacing w:line="300" w:lineRule="exact"/>
              <w:jc w:val="center"/>
              <w:rPr>
                <w:rFonts w:ascii="Times New Roman" w:hAnsi="Times New Roman"/>
                <w:b/>
                <w:bCs/>
                <w:color w:val="000000"/>
                <w:kern w:val="0"/>
                <w:sz w:val="18"/>
                <w:szCs w:val="18"/>
              </w:rPr>
            </w:pPr>
            <w:r>
              <w:rPr>
                <w:rFonts w:ascii="Times New Roman" w:hAnsi="宋体"/>
                <w:b/>
                <w:bCs/>
                <w:color w:val="000000"/>
                <w:kern w:val="0"/>
                <w:sz w:val="18"/>
                <w:szCs w:val="18"/>
              </w:rPr>
              <w:t>品种</w:t>
            </w:r>
          </w:p>
        </w:tc>
        <w:tc>
          <w:tcPr>
            <w:tcW w:w="2392" w:type="dxa"/>
            <w:tcBorders>
              <w:top w:val="single" w:color="auto" w:sz="4" w:space="0"/>
              <w:left w:val="nil"/>
              <w:bottom w:val="single" w:color="auto" w:sz="4" w:space="0"/>
              <w:right w:val="single" w:color="auto" w:sz="4" w:space="0"/>
            </w:tcBorders>
          </w:tcPr>
          <w:p>
            <w:pPr>
              <w:widowControl/>
              <w:adjustRightInd/>
              <w:spacing w:line="300" w:lineRule="exact"/>
              <w:jc w:val="center"/>
              <w:rPr>
                <w:rFonts w:ascii="Times New Roman" w:hAnsi="宋体"/>
                <w:b/>
                <w:bCs/>
                <w:color w:val="000000"/>
                <w:kern w:val="0"/>
                <w:sz w:val="18"/>
                <w:szCs w:val="18"/>
              </w:rPr>
            </w:pPr>
            <w:r>
              <w:rPr>
                <w:rFonts w:hint="eastAsia" w:ascii="Times New Roman" w:hAnsi="宋体" w:cs="Calibri"/>
                <w:b/>
                <w:bCs/>
                <w:color w:val="000000"/>
                <w:kern w:val="0"/>
                <w:sz w:val="18"/>
                <w:szCs w:val="18"/>
              </w:rPr>
              <w:t>株高</w:t>
            </w:r>
            <w:r>
              <w:rPr>
                <w:rFonts w:hint="eastAsia" w:ascii="Times New Roman" w:hAnsi="Times New Roman" w:cs="Calibri"/>
                <w:color w:val="000000"/>
                <w:sz w:val="18"/>
                <w:szCs w:val="18"/>
              </w:rPr>
              <w:t>cm</w:t>
            </w:r>
          </w:p>
        </w:tc>
        <w:tc>
          <w:tcPr>
            <w:tcW w:w="2392" w:type="dxa"/>
            <w:tcBorders>
              <w:top w:val="single" w:color="auto" w:sz="4" w:space="0"/>
              <w:left w:val="nil"/>
              <w:bottom w:val="single" w:color="auto" w:sz="4" w:space="0"/>
              <w:right w:val="single" w:color="auto" w:sz="4" w:space="0"/>
            </w:tcBorders>
            <w:vAlign w:val="center"/>
          </w:tcPr>
          <w:p>
            <w:pPr>
              <w:widowControl/>
              <w:adjustRightInd/>
              <w:spacing w:line="300" w:lineRule="exact"/>
              <w:jc w:val="center"/>
              <w:rPr>
                <w:rFonts w:ascii="Times New Roman" w:hAnsi="Times New Roman"/>
                <w:b/>
                <w:bCs/>
                <w:color w:val="000000"/>
                <w:kern w:val="0"/>
                <w:sz w:val="18"/>
                <w:szCs w:val="18"/>
              </w:rPr>
            </w:pPr>
            <w:r>
              <w:rPr>
                <w:rFonts w:ascii="Times New Roman" w:hAnsi="宋体"/>
                <w:b/>
                <w:bCs/>
                <w:color w:val="000000"/>
                <w:kern w:val="0"/>
                <w:sz w:val="18"/>
                <w:szCs w:val="18"/>
              </w:rPr>
              <w:t>产量</w:t>
            </w:r>
            <w:r>
              <w:rPr>
                <w:rFonts w:ascii="Times New Roman" w:hAnsi="Times New Roman"/>
                <w:color w:val="000000"/>
                <w:sz w:val="18"/>
                <w:szCs w:val="18"/>
              </w:rPr>
              <w:t>kg</w:t>
            </w:r>
          </w:p>
        </w:tc>
        <w:tc>
          <w:tcPr>
            <w:tcW w:w="2166" w:type="dxa"/>
            <w:tcBorders>
              <w:top w:val="single" w:color="auto" w:sz="4" w:space="0"/>
              <w:left w:val="nil"/>
              <w:bottom w:val="single" w:color="auto" w:sz="4" w:space="0"/>
              <w:right w:val="single" w:color="auto" w:sz="4" w:space="0"/>
            </w:tcBorders>
            <w:vAlign w:val="center"/>
          </w:tcPr>
          <w:p>
            <w:pPr>
              <w:widowControl/>
              <w:adjustRightInd/>
              <w:spacing w:line="300" w:lineRule="exact"/>
              <w:jc w:val="center"/>
              <w:rPr>
                <w:rFonts w:ascii="Times New Roman" w:hAnsi="Times New Roman"/>
                <w:b/>
                <w:bCs/>
                <w:color w:val="000000"/>
                <w:kern w:val="0"/>
                <w:sz w:val="18"/>
                <w:szCs w:val="18"/>
              </w:rPr>
            </w:pPr>
            <w:r>
              <w:rPr>
                <w:rFonts w:ascii="Times New Roman" w:hAnsi="宋体"/>
                <w:b/>
                <w:bCs/>
                <w:color w:val="000000"/>
                <w:kern w:val="0"/>
                <w:sz w:val="18"/>
                <w:szCs w:val="18"/>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宋体"/>
                <w:color w:val="000000"/>
                <w:sz w:val="18"/>
                <w:szCs w:val="18"/>
              </w:rPr>
              <w:t>华油杂</w:t>
            </w:r>
            <w:r>
              <w:rPr>
                <w:rFonts w:ascii="Times New Roman" w:hAnsi="Times New Roman"/>
                <w:color w:val="000000"/>
                <w:sz w:val="18"/>
                <w:szCs w:val="18"/>
              </w:rPr>
              <w:t>76</w:t>
            </w:r>
            <w:r>
              <w:rPr>
                <w:rFonts w:ascii="Times New Roman" w:hAnsi="宋体"/>
                <w:color w:val="000000"/>
                <w:sz w:val="18"/>
                <w:szCs w:val="18"/>
              </w:rPr>
              <w:t>号</w:t>
            </w:r>
          </w:p>
        </w:tc>
        <w:tc>
          <w:tcPr>
            <w:tcW w:w="2392" w:type="dxa"/>
            <w:tcBorders>
              <w:top w:val="single" w:color="auto" w:sz="4" w:space="0"/>
              <w:left w:val="nil"/>
              <w:bottom w:val="single" w:color="auto" w:sz="4" w:space="0"/>
              <w:right w:val="single" w:color="auto" w:sz="4" w:space="0"/>
            </w:tcBorders>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161.3</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 xml:space="preserve">202.41 </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宋体"/>
                <w:color w:val="000000"/>
                <w:sz w:val="18"/>
                <w:szCs w:val="18"/>
              </w:rPr>
              <w:t>青杂</w:t>
            </w:r>
            <w:r>
              <w:rPr>
                <w:rFonts w:ascii="Times New Roman" w:hAnsi="Times New Roman"/>
                <w:color w:val="000000"/>
                <w:sz w:val="18"/>
                <w:szCs w:val="18"/>
              </w:rPr>
              <w:t>5</w:t>
            </w:r>
            <w:r>
              <w:rPr>
                <w:rFonts w:ascii="Times New Roman" w:hAnsi="宋体"/>
                <w:color w:val="000000"/>
                <w:sz w:val="18"/>
                <w:szCs w:val="18"/>
              </w:rPr>
              <w:t>号</w:t>
            </w:r>
          </w:p>
        </w:tc>
        <w:tc>
          <w:tcPr>
            <w:tcW w:w="2392" w:type="dxa"/>
            <w:tcBorders>
              <w:top w:val="single" w:color="auto" w:sz="4" w:space="0"/>
              <w:left w:val="nil"/>
              <w:bottom w:val="single" w:color="auto" w:sz="4" w:space="0"/>
              <w:right w:val="single" w:color="auto" w:sz="4" w:space="0"/>
            </w:tcBorders>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 xml:space="preserve">164.7 </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 xml:space="preserve">200.42 </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宋体"/>
                <w:color w:val="000000"/>
                <w:sz w:val="18"/>
                <w:szCs w:val="18"/>
              </w:rPr>
              <w:t>青杂</w:t>
            </w:r>
            <w:r>
              <w:rPr>
                <w:rFonts w:ascii="Times New Roman" w:hAnsi="Times New Roman"/>
                <w:color w:val="000000"/>
                <w:sz w:val="18"/>
                <w:szCs w:val="18"/>
              </w:rPr>
              <w:t>7</w:t>
            </w:r>
            <w:r>
              <w:rPr>
                <w:rFonts w:ascii="Times New Roman" w:hAnsi="宋体"/>
                <w:color w:val="000000"/>
                <w:sz w:val="18"/>
                <w:szCs w:val="18"/>
              </w:rPr>
              <w:t>号</w:t>
            </w:r>
          </w:p>
        </w:tc>
        <w:tc>
          <w:tcPr>
            <w:tcW w:w="2392" w:type="dxa"/>
            <w:tcBorders>
              <w:top w:val="single" w:color="auto" w:sz="4" w:space="0"/>
              <w:left w:val="nil"/>
              <w:bottom w:val="single" w:color="auto" w:sz="4" w:space="0"/>
              <w:right w:val="single" w:color="auto" w:sz="4" w:space="0"/>
            </w:tcBorders>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 xml:space="preserve">135.2 </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198.21</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宋体"/>
                <w:color w:val="000000"/>
                <w:sz w:val="18"/>
                <w:szCs w:val="18"/>
              </w:rPr>
              <w:t>新油</w:t>
            </w:r>
            <w:r>
              <w:rPr>
                <w:rFonts w:ascii="Times New Roman" w:hAnsi="Times New Roman"/>
                <w:color w:val="000000"/>
                <w:sz w:val="18"/>
                <w:szCs w:val="18"/>
              </w:rPr>
              <w:t>20</w:t>
            </w:r>
            <w:r>
              <w:rPr>
                <w:rFonts w:ascii="Times New Roman" w:hAnsi="宋体"/>
                <w:color w:val="000000"/>
                <w:sz w:val="18"/>
                <w:szCs w:val="18"/>
              </w:rPr>
              <w:t>号</w:t>
            </w:r>
          </w:p>
        </w:tc>
        <w:tc>
          <w:tcPr>
            <w:tcW w:w="2392" w:type="dxa"/>
            <w:tcBorders>
              <w:top w:val="single" w:color="auto" w:sz="4" w:space="0"/>
              <w:left w:val="nil"/>
              <w:bottom w:val="single" w:color="auto" w:sz="4" w:space="0"/>
              <w:right w:val="single" w:color="auto" w:sz="4" w:space="0"/>
            </w:tcBorders>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 xml:space="preserve">131.0 </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198.21</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宋体"/>
                <w:color w:val="000000"/>
                <w:sz w:val="18"/>
                <w:szCs w:val="18"/>
              </w:rPr>
              <w:t>中油</w:t>
            </w:r>
            <w:r>
              <w:rPr>
                <w:rFonts w:ascii="Times New Roman" w:hAnsi="Times New Roman"/>
                <w:color w:val="000000"/>
                <w:sz w:val="18"/>
                <w:szCs w:val="18"/>
              </w:rPr>
              <w:t>26</w:t>
            </w:r>
            <w:r>
              <w:rPr>
                <w:rFonts w:ascii="Times New Roman" w:hAnsi="宋体"/>
                <w:color w:val="000000"/>
                <w:sz w:val="18"/>
                <w:szCs w:val="18"/>
              </w:rPr>
              <w:t>号</w:t>
            </w:r>
          </w:p>
        </w:tc>
        <w:tc>
          <w:tcPr>
            <w:tcW w:w="2392" w:type="dxa"/>
            <w:tcBorders>
              <w:top w:val="single" w:color="auto" w:sz="4" w:space="0"/>
              <w:left w:val="nil"/>
              <w:bottom w:val="single" w:color="auto" w:sz="4" w:space="0"/>
              <w:right w:val="single" w:color="auto" w:sz="4" w:space="0"/>
            </w:tcBorders>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 xml:space="preserve">140.5 </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 xml:space="preserve">184.99 </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宋体"/>
                <w:color w:val="000000"/>
                <w:sz w:val="18"/>
                <w:szCs w:val="18"/>
              </w:rPr>
              <w:t>华油杂</w:t>
            </w:r>
            <w:r>
              <w:rPr>
                <w:rFonts w:ascii="Times New Roman" w:hAnsi="Times New Roman"/>
                <w:color w:val="000000"/>
                <w:sz w:val="18"/>
                <w:szCs w:val="18"/>
              </w:rPr>
              <w:t>62</w:t>
            </w:r>
            <w:r>
              <w:rPr>
                <w:rFonts w:ascii="Times New Roman" w:hAnsi="宋体"/>
                <w:color w:val="000000"/>
                <w:sz w:val="18"/>
                <w:szCs w:val="18"/>
              </w:rPr>
              <w:t>号</w:t>
            </w:r>
          </w:p>
        </w:tc>
        <w:tc>
          <w:tcPr>
            <w:tcW w:w="2392" w:type="dxa"/>
            <w:tcBorders>
              <w:top w:val="single" w:color="auto" w:sz="4" w:space="0"/>
              <w:left w:val="nil"/>
              <w:bottom w:val="single" w:color="auto" w:sz="4" w:space="0"/>
              <w:right w:val="single" w:color="auto" w:sz="4" w:space="0"/>
            </w:tcBorders>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 xml:space="preserve">139.0 </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 xml:space="preserve">172.98 </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宋体"/>
                <w:color w:val="000000"/>
                <w:sz w:val="18"/>
                <w:szCs w:val="18"/>
              </w:rPr>
              <w:t>新油</w:t>
            </w:r>
            <w:r>
              <w:rPr>
                <w:rFonts w:ascii="Times New Roman" w:hAnsi="Times New Roman"/>
                <w:color w:val="000000"/>
                <w:sz w:val="18"/>
                <w:szCs w:val="18"/>
              </w:rPr>
              <w:t>17</w:t>
            </w:r>
            <w:r>
              <w:rPr>
                <w:rFonts w:ascii="Times New Roman" w:hAnsi="宋体"/>
                <w:color w:val="000000"/>
                <w:sz w:val="18"/>
                <w:szCs w:val="18"/>
              </w:rPr>
              <w:t>号</w:t>
            </w:r>
          </w:p>
        </w:tc>
        <w:tc>
          <w:tcPr>
            <w:tcW w:w="2392" w:type="dxa"/>
            <w:tcBorders>
              <w:top w:val="single" w:color="auto" w:sz="4" w:space="0"/>
              <w:left w:val="nil"/>
              <w:bottom w:val="single" w:color="auto" w:sz="4" w:space="0"/>
              <w:right w:val="single" w:color="auto" w:sz="4" w:space="0"/>
            </w:tcBorders>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 xml:space="preserve">120.9 </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 xml:space="preserve">167.58 </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宋体"/>
                <w:color w:val="000000"/>
                <w:sz w:val="18"/>
                <w:szCs w:val="18"/>
              </w:rPr>
              <w:t>青杂</w:t>
            </w:r>
            <w:r>
              <w:rPr>
                <w:rFonts w:ascii="Times New Roman" w:hAnsi="Times New Roman"/>
                <w:color w:val="000000"/>
                <w:sz w:val="18"/>
                <w:szCs w:val="18"/>
              </w:rPr>
              <w:t>4</w:t>
            </w:r>
            <w:r>
              <w:rPr>
                <w:rFonts w:ascii="Times New Roman" w:hAnsi="宋体"/>
                <w:color w:val="000000"/>
                <w:sz w:val="18"/>
                <w:szCs w:val="18"/>
              </w:rPr>
              <w:t>号</w:t>
            </w:r>
          </w:p>
        </w:tc>
        <w:tc>
          <w:tcPr>
            <w:tcW w:w="2392" w:type="dxa"/>
            <w:tcBorders>
              <w:top w:val="single" w:color="auto" w:sz="4" w:space="0"/>
              <w:left w:val="nil"/>
              <w:bottom w:val="single" w:color="auto" w:sz="4" w:space="0"/>
              <w:right w:val="single" w:color="auto" w:sz="4" w:space="0"/>
            </w:tcBorders>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 xml:space="preserve">129.1 </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 xml:space="preserve">143.55 </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8</w:t>
            </w:r>
          </w:p>
        </w:tc>
      </w:tr>
    </w:tbl>
    <w:p>
      <w:pPr>
        <w:pStyle w:val="79"/>
        <w:spacing w:before="156" w:after="156"/>
      </w:pPr>
      <w:r>
        <w:rPr>
          <w:rFonts w:hint="eastAsia"/>
        </w:rPr>
        <w:t>油菜种衣剂筛选试验</w:t>
      </w:r>
    </w:p>
    <w:tbl>
      <w:tblPr>
        <w:tblStyle w:val="34"/>
        <w:tblW w:w="93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2392"/>
        <w:gridCol w:w="2392"/>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widowControl/>
              <w:adjustRightInd/>
              <w:spacing w:line="300" w:lineRule="exact"/>
              <w:jc w:val="center"/>
              <w:rPr>
                <w:rFonts w:ascii="Times New Roman" w:hAnsi="Times New Roman"/>
                <w:b/>
                <w:bCs/>
                <w:color w:val="000000"/>
                <w:kern w:val="0"/>
                <w:sz w:val="18"/>
                <w:szCs w:val="18"/>
              </w:rPr>
            </w:pPr>
            <w:r>
              <w:rPr>
                <w:rFonts w:hint="eastAsia" w:ascii="Times New Roman" w:hAnsi="宋体" w:cs="Calibri"/>
                <w:b/>
                <w:bCs/>
                <w:color w:val="000000"/>
                <w:kern w:val="0"/>
                <w:sz w:val="18"/>
                <w:szCs w:val="18"/>
              </w:rPr>
              <w:t>处理</w:t>
            </w:r>
          </w:p>
        </w:tc>
        <w:tc>
          <w:tcPr>
            <w:tcW w:w="2392" w:type="dxa"/>
            <w:tcBorders>
              <w:top w:val="single" w:color="auto" w:sz="4" w:space="0"/>
              <w:left w:val="nil"/>
              <w:bottom w:val="single" w:color="auto" w:sz="4" w:space="0"/>
              <w:right w:val="single" w:color="auto" w:sz="4" w:space="0"/>
            </w:tcBorders>
          </w:tcPr>
          <w:p>
            <w:pPr>
              <w:widowControl/>
              <w:adjustRightInd/>
              <w:spacing w:line="300" w:lineRule="exact"/>
              <w:jc w:val="center"/>
              <w:rPr>
                <w:rFonts w:ascii="Times New Roman" w:hAnsi="宋体"/>
                <w:b/>
                <w:bCs/>
                <w:color w:val="000000"/>
                <w:kern w:val="0"/>
                <w:sz w:val="18"/>
                <w:szCs w:val="18"/>
              </w:rPr>
            </w:pPr>
            <w:r>
              <w:rPr>
                <w:rFonts w:ascii="Times New Roman" w:hAnsi="宋体"/>
                <w:b/>
                <w:bCs/>
                <w:color w:val="000000"/>
                <w:kern w:val="0"/>
                <w:sz w:val="18"/>
                <w:szCs w:val="18"/>
              </w:rPr>
              <w:t>产量</w:t>
            </w:r>
            <w:r>
              <w:rPr>
                <w:rFonts w:hint="eastAsia" w:ascii="Times New Roman" w:hAnsi="宋体" w:cs="Calibri"/>
                <w:b/>
                <w:bCs/>
                <w:color w:val="000000"/>
                <w:kern w:val="0"/>
                <w:sz w:val="18"/>
                <w:szCs w:val="18"/>
              </w:rPr>
              <w:t>kg</w:t>
            </w:r>
          </w:p>
        </w:tc>
        <w:tc>
          <w:tcPr>
            <w:tcW w:w="2392" w:type="dxa"/>
            <w:tcBorders>
              <w:top w:val="single" w:color="auto" w:sz="4" w:space="0"/>
              <w:left w:val="nil"/>
              <w:bottom w:val="single" w:color="auto" w:sz="4" w:space="0"/>
              <w:right w:val="single" w:color="auto" w:sz="4" w:space="0"/>
            </w:tcBorders>
            <w:vAlign w:val="center"/>
          </w:tcPr>
          <w:p>
            <w:pPr>
              <w:widowControl/>
              <w:adjustRightInd/>
              <w:spacing w:line="300" w:lineRule="exact"/>
              <w:jc w:val="center"/>
              <w:rPr>
                <w:rFonts w:ascii="Times New Roman" w:hAnsi="宋体"/>
                <w:b/>
                <w:bCs/>
                <w:color w:val="000000"/>
                <w:kern w:val="0"/>
                <w:sz w:val="18"/>
                <w:szCs w:val="18"/>
              </w:rPr>
            </w:pPr>
            <w:r>
              <w:rPr>
                <w:rFonts w:hint="eastAsia" w:ascii="Times New Roman" w:hAnsi="宋体" w:cs="Calibri"/>
                <w:b/>
                <w:bCs/>
                <w:color w:val="000000"/>
                <w:kern w:val="0"/>
                <w:sz w:val="18"/>
                <w:szCs w:val="18"/>
              </w:rPr>
              <w:t>对照增减</w:t>
            </w:r>
            <w:r>
              <w:rPr>
                <w:rFonts w:ascii="Times New Roman" w:hAnsi="宋体"/>
                <w:b/>
                <w:bCs/>
                <w:color w:val="000000"/>
                <w:kern w:val="0"/>
                <w:sz w:val="18"/>
                <w:szCs w:val="18"/>
              </w:rPr>
              <w:t>(%)</w:t>
            </w:r>
          </w:p>
        </w:tc>
        <w:tc>
          <w:tcPr>
            <w:tcW w:w="2166" w:type="dxa"/>
            <w:tcBorders>
              <w:top w:val="single" w:color="auto" w:sz="4" w:space="0"/>
              <w:left w:val="nil"/>
              <w:bottom w:val="single" w:color="auto" w:sz="4" w:space="0"/>
              <w:right w:val="single" w:color="auto" w:sz="4" w:space="0"/>
            </w:tcBorders>
            <w:vAlign w:val="center"/>
          </w:tcPr>
          <w:p>
            <w:pPr>
              <w:widowControl/>
              <w:adjustRightInd/>
              <w:spacing w:line="300" w:lineRule="exact"/>
              <w:jc w:val="center"/>
              <w:rPr>
                <w:rFonts w:ascii="Times New Roman" w:hAnsi="Times New Roman"/>
                <w:b/>
                <w:bCs/>
                <w:color w:val="000000"/>
                <w:kern w:val="0"/>
                <w:sz w:val="18"/>
                <w:szCs w:val="18"/>
              </w:rPr>
            </w:pPr>
            <w:r>
              <w:rPr>
                <w:rFonts w:ascii="Times New Roman" w:hAnsi="宋体"/>
                <w:b/>
                <w:bCs/>
                <w:color w:val="000000"/>
                <w:kern w:val="0"/>
                <w:sz w:val="18"/>
                <w:szCs w:val="18"/>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种衣剂</w:t>
            </w:r>
            <w:r>
              <w:rPr>
                <w:rFonts w:hint="eastAsia" w:ascii="Times New Roman" w:hAnsi="Times New Roman"/>
                <w:color w:val="000000"/>
                <w:sz w:val="18"/>
                <w:szCs w:val="18"/>
              </w:rPr>
              <w:t>1</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209.45</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b/>
                <w:bCs/>
                <w:color w:val="000000"/>
                <w:kern w:val="0"/>
                <w:sz w:val="18"/>
                <w:szCs w:val="18"/>
              </w:rPr>
            </w:pPr>
            <w:r>
              <w:rPr>
                <w:rFonts w:hint="eastAsia" w:ascii="Times New Roman" w:hAnsi="宋体" w:cs="Calibri"/>
                <w:color w:val="000000"/>
                <w:sz w:val="18"/>
                <w:szCs w:val="18"/>
              </w:rPr>
              <w:t>72.15</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种衣剂</w:t>
            </w:r>
            <w:r>
              <w:rPr>
                <w:rFonts w:hint="eastAsia" w:ascii="Times New Roman" w:hAnsi="Times New Roman"/>
                <w:color w:val="000000"/>
                <w:sz w:val="18"/>
                <w:szCs w:val="18"/>
              </w:rPr>
              <w:t>2</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177.79</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46.12</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种衣剂</w:t>
            </w:r>
            <w:r>
              <w:rPr>
                <w:rFonts w:hint="eastAsia" w:ascii="Times New Roman" w:hAnsi="Times New Roman"/>
                <w:color w:val="000000"/>
                <w:sz w:val="18"/>
                <w:szCs w:val="18"/>
              </w:rPr>
              <w:t>3</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166.68</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36.99</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种衣剂</w:t>
            </w:r>
            <w:r>
              <w:rPr>
                <w:rFonts w:hint="eastAsia" w:ascii="Times New Roman" w:hAnsi="Times New Roman"/>
                <w:color w:val="000000"/>
                <w:sz w:val="18"/>
                <w:szCs w:val="18"/>
              </w:rPr>
              <w:t>4</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150.01</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23.29</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种衣剂</w:t>
            </w:r>
            <w:r>
              <w:rPr>
                <w:rFonts w:hint="eastAsia" w:ascii="Times New Roman" w:hAnsi="Times New Roman"/>
                <w:color w:val="000000"/>
                <w:sz w:val="18"/>
                <w:szCs w:val="18"/>
              </w:rPr>
              <w:t>5</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170.01</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39.73</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无种衣剂</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121.67</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宋体"/>
                <w:color w:val="000000"/>
                <w:sz w:val="18"/>
                <w:szCs w:val="18"/>
              </w:rPr>
            </w:pPr>
            <w:r>
              <w:rPr>
                <w:rFonts w:hint="eastAsia" w:ascii="Times New Roman" w:hAnsi="宋体" w:cs="Calibri"/>
                <w:color w:val="000000"/>
                <w:sz w:val="18"/>
                <w:szCs w:val="18"/>
              </w:rPr>
              <w:t>6</w:t>
            </w:r>
          </w:p>
        </w:tc>
      </w:tr>
    </w:tbl>
    <w:p>
      <w:pPr>
        <w:pStyle w:val="79"/>
        <w:spacing w:before="156" w:after="156"/>
      </w:pPr>
      <w:r>
        <w:rPr>
          <w:rFonts w:hint="eastAsia"/>
        </w:rPr>
        <w:t>油菜缓释肥施用试验</w:t>
      </w:r>
    </w:p>
    <w:tbl>
      <w:tblPr>
        <w:tblStyle w:val="34"/>
        <w:tblW w:w="93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2392"/>
        <w:gridCol w:w="2392"/>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widowControl/>
              <w:adjustRightInd/>
              <w:spacing w:line="300" w:lineRule="exact"/>
              <w:jc w:val="center"/>
              <w:rPr>
                <w:rFonts w:ascii="Times New Roman" w:hAnsi="Times New Roman"/>
                <w:b/>
                <w:bCs/>
                <w:color w:val="000000"/>
                <w:kern w:val="0"/>
                <w:sz w:val="18"/>
                <w:szCs w:val="18"/>
              </w:rPr>
            </w:pPr>
            <w:r>
              <w:rPr>
                <w:rFonts w:hint="eastAsia" w:ascii="Times New Roman" w:hAnsi="宋体" w:cs="Calibri"/>
                <w:b/>
                <w:bCs/>
                <w:color w:val="000000"/>
                <w:kern w:val="0"/>
                <w:sz w:val="18"/>
                <w:szCs w:val="18"/>
              </w:rPr>
              <w:t>施用量</w:t>
            </w:r>
          </w:p>
        </w:tc>
        <w:tc>
          <w:tcPr>
            <w:tcW w:w="2392" w:type="dxa"/>
            <w:tcBorders>
              <w:top w:val="single" w:color="auto" w:sz="4" w:space="0"/>
              <w:left w:val="nil"/>
              <w:bottom w:val="single" w:color="auto" w:sz="4" w:space="0"/>
              <w:right w:val="single" w:color="auto" w:sz="4" w:space="0"/>
            </w:tcBorders>
          </w:tcPr>
          <w:p>
            <w:pPr>
              <w:widowControl/>
              <w:adjustRightInd/>
              <w:spacing w:line="300" w:lineRule="exact"/>
              <w:jc w:val="center"/>
              <w:rPr>
                <w:rFonts w:ascii="Times New Roman" w:hAnsi="宋体"/>
                <w:b/>
                <w:bCs/>
                <w:color w:val="000000"/>
                <w:kern w:val="0"/>
                <w:sz w:val="18"/>
                <w:szCs w:val="18"/>
              </w:rPr>
            </w:pPr>
            <w:r>
              <w:rPr>
                <w:rFonts w:ascii="Times New Roman" w:hAnsi="宋体"/>
                <w:b/>
                <w:bCs/>
                <w:color w:val="000000"/>
                <w:kern w:val="0"/>
                <w:sz w:val="18"/>
                <w:szCs w:val="18"/>
              </w:rPr>
              <w:t>产量</w:t>
            </w:r>
            <w:r>
              <w:rPr>
                <w:rFonts w:hint="eastAsia" w:ascii="Times New Roman" w:hAnsi="宋体" w:cs="Calibri"/>
                <w:b/>
                <w:bCs/>
                <w:color w:val="000000"/>
                <w:kern w:val="0"/>
                <w:sz w:val="18"/>
                <w:szCs w:val="18"/>
              </w:rPr>
              <w:t>kg</w:t>
            </w:r>
          </w:p>
        </w:tc>
        <w:tc>
          <w:tcPr>
            <w:tcW w:w="2392" w:type="dxa"/>
            <w:tcBorders>
              <w:top w:val="single" w:color="auto" w:sz="4" w:space="0"/>
              <w:left w:val="nil"/>
              <w:bottom w:val="single" w:color="auto" w:sz="4" w:space="0"/>
              <w:right w:val="single" w:color="auto" w:sz="4" w:space="0"/>
            </w:tcBorders>
            <w:vAlign w:val="center"/>
          </w:tcPr>
          <w:p>
            <w:pPr>
              <w:widowControl/>
              <w:adjustRightInd/>
              <w:spacing w:line="300" w:lineRule="exact"/>
              <w:jc w:val="center"/>
              <w:rPr>
                <w:rFonts w:ascii="Times New Roman" w:hAnsi="宋体"/>
                <w:b/>
                <w:bCs/>
                <w:color w:val="000000"/>
                <w:kern w:val="0"/>
                <w:sz w:val="18"/>
                <w:szCs w:val="18"/>
              </w:rPr>
            </w:pPr>
            <w:r>
              <w:rPr>
                <w:rFonts w:hint="eastAsia" w:ascii="Times New Roman" w:hAnsi="宋体" w:cs="Calibri"/>
                <w:b/>
                <w:bCs/>
                <w:color w:val="000000"/>
                <w:kern w:val="0"/>
                <w:sz w:val="18"/>
                <w:szCs w:val="18"/>
              </w:rPr>
              <w:t>对照增减</w:t>
            </w:r>
            <w:r>
              <w:rPr>
                <w:rFonts w:ascii="Times New Roman" w:hAnsi="宋体"/>
                <w:b/>
                <w:bCs/>
                <w:color w:val="000000"/>
                <w:kern w:val="0"/>
                <w:sz w:val="18"/>
                <w:szCs w:val="18"/>
              </w:rPr>
              <w:t>(%)</w:t>
            </w:r>
          </w:p>
        </w:tc>
        <w:tc>
          <w:tcPr>
            <w:tcW w:w="2166" w:type="dxa"/>
            <w:tcBorders>
              <w:top w:val="single" w:color="auto" w:sz="4" w:space="0"/>
              <w:left w:val="nil"/>
              <w:bottom w:val="single" w:color="auto" w:sz="4" w:space="0"/>
              <w:right w:val="single" w:color="auto" w:sz="4" w:space="0"/>
            </w:tcBorders>
            <w:vAlign w:val="center"/>
          </w:tcPr>
          <w:p>
            <w:pPr>
              <w:widowControl/>
              <w:adjustRightInd/>
              <w:spacing w:line="300" w:lineRule="exact"/>
              <w:jc w:val="center"/>
              <w:rPr>
                <w:rFonts w:ascii="Times New Roman" w:hAnsi="Times New Roman"/>
                <w:b/>
                <w:bCs/>
                <w:color w:val="000000"/>
                <w:kern w:val="0"/>
                <w:sz w:val="18"/>
                <w:szCs w:val="18"/>
              </w:rPr>
            </w:pPr>
            <w:r>
              <w:rPr>
                <w:rFonts w:ascii="Times New Roman" w:hAnsi="宋体"/>
                <w:b/>
                <w:bCs/>
                <w:color w:val="000000"/>
                <w:kern w:val="0"/>
                <w:sz w:val="18"/>
                <w:szCs w:val="18"/>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不施肥对照</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66.7</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0.00</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农民习惯施肥</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103.3</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54.87</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油菜示范专用肥</w:t>
            </w:r>
            <w:r>
              <w:rPr>
                <w:rFonts w:hint="eastAsia" w:ascii="Times New Roman" w:hAnsi="Times New Roman" w:cs="Calibri"/>
                <w:color w:val="000000"/>
                <w:sz w:val="18"/>
                <w:szCs w:val="18"/>
              </w:rPr>
              <w:t>-20</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93.3</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39.88</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油菜示范专用肥</w:t>
            </w:r>
            <w:r>
              <w:rPr>
                <w:rFonts w:hint="eastAsia" w:ascii="Times New Roman" w:hAnsi="Times New Roman" w:cs="Calibri"/>
                <w:color w:val="000000"/>
                <w:sz w:val="18"/>
                <w:szCs w:val="18"/>
              </w:rPr>
              <w:t>-30</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110.0</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64.92</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油菜示范专用肥</w:t>
            </w:r>
            <w:r>
              <w:rPr>
                <w:rFonts w:hint="eastAsia" w:ascii="Times New Roman" w:hAnsi="Times New Roman" w:cs="Calibri"/>
                <w:color w:val="000000"/>
                <w:sz w:val="18"/>
                <w:szCs w:val="18"/>
              </w:rPr>
              <w:t>-40</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126.7</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89.96</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油菜示范专用肥</w:t>
            </w:r>
            <w:r>
              <w:rPr>
                <w:rFonts w:hint="eastAsia" w:ascii="Times New Roman" w:hAnsi="Times New Roman" w:cs="Calibri"/>
                <w:color w:val="000000"/>
                <w:sz w:val="18"/>
                <w:szCs w:val="18"/>
              </w:rPr>
              <w:t>-50</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116.7</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74.96</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392" w:type="dxa"/>
            <w:tcBorders>
              <w:top w:val="single" w:color="auto" w:sz="4" w:space="0"/>
              <w:left w:val="single" w:color="auto" w:sz="4" w:space="0"/>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油菜示范专用肥</w:t>
            </w:r>
            <w:r>
              <w:rPr>
                <w:rFonts w:hint="eastAsia" w:ascii="Times New Roman" w:hAnsi="Times New Roman" w:cs="Calibri"/>
                <w:color w:val="000000"/>
                <w:sz w:val="18"/>
                <w:szCs w:val="18"/>
              </w:rPr>
              <w:t>-60</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100.0</w:t>
            </w:r>
          </w:p>
        </w:tc>
        <w:tc>
          <w:tcPr>
            <w:tcW w:w="2392"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ascii="Times New Roman" w:hAnsi="Times New Roman"/>
                <w:color w:val="000000"/>
                <w:sz w:val="18"/>
                <w:szCs w:val="18"/>
              </w:rPr>
              <w:t>49.93</w:t>
            </w:r>
          </w:p>
        </w:tc>
        <w:tc>
          <w:tcPr>
            <w:tcW w:w="2166" w:type="dxa"/>
            <w:tcBorders>
              <w:top w:val="single" w:color="auto" w:sz="4" w:space="0"/>
              <w:left w:val="nil"/>
              <w:bottom w:val="single" w:color="auto" w:sz="4" w:space="0"/>
              <w:right w:val="single" w:color="auto" w:sz="4" w:space="0"/>
            </w:tcBorders>
            <w:vAlign w:val="center"/>
          </w:tcPr>
          <w:p>
            <w:pPr>
              <w:adjustRightInd/>
              <w:spacing w:line="300" w:lineRule="exact"/>
              <w:jc w:val="center"/>
              <w:rPr>
                <w:rFonts w:ascii="Times New Roman" w:hAnsi="Times New Roman"/>
                <w:color w:val="000000"/>
                <w:sz w:val="18"/>
                <w:szCs w:val="18"/>
              </w:rPr>
            </w:pPr>
            <w:r>
              <w:rPr>
                <w:rFonts w:hint="eastAsia" w:ascii="Times New Roman" w:hAnsi="Times New Roman" w:cs="Calibri"/>
                <w:color w:val="000000"/>
                <w:sz w:val="18"/>
                <w:szCs w:val="18"/>
              </w:rPr>
              <w:t>5</w:t>
            </w:r>
          </w:p>
        </w:tc>
      </w:tr>
      <w:bookmarkEnd w:id="167"/>
    </w:tbl>
    <w:p>
      <w:pPr>
        <w:pStyle w:val="58"/>
        <w:ind w:firstLine="0" w:firstLineChars="0"/>
        <w:jc w:val="center"/>
      </w:pPr>
      <w:bookmarkStart w:id="173" w:name="BookMark8"/>
      <w:r>
        <w:rPr>
          <w:rFonts w:hint="eastAsia"/>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3"/>
    </w:p>
    <w:sectPr>
      <w:pgSz w:w="11906" w:h="16838"/>
      <w:pgMar w:top="567"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attachedTemplate r:id="rId1"/>
  <w:documentProtection w:edit="forms" w:enforcement="1" w:cryptProviderType="rsaAES" w:cryptAlgorithmClass="hash" w:cryptAlgorithmType="typeAny" w:cryptAlgorithmSid="14" w:cryptSpinCount="100000" w:hash="fayHFkTbf05RoTAOO9Y1Gs0EnmkHcXzm3/vJP6NEZJbzC4p9JhjiOq2ql69QiywX3/X4v1630kAmdoAbLXDG2A==" w:salt="GQNbU/O0Pv8zMRAZkIO70Q=="/>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wY2MzYzg5MWQ2YTRhZTRhMzJjYzA4NDQ5ZTVlZjgifQ=="/>
  </w:docVars>
  <w:rsids>
    <w:rsidRoot w:val="003D691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915"/>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D7A15"/>
    <w:rsid w:val="007E0BF1"/>
    <w:rsid w:val="007E390F"/>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BC6"/>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3E1"/>
    <w:rsid w:val="009273B3"/>
    <w:rsid w:val="009305B5"/>
    <w:rsid w:val="009377CA"/>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884"/>
    <w:rsid w:val="00A30EFC"/>
    <w:rsid w:val="00A31984"/>
    <w:rsid w:val="00A32D73"/>
    <w:rsid w:val="00A3367B"/>
    <w:rsid w:val="00A357CF"/>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DF9"/>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8C54B6"/>
    <w:rsid w:val="071C3310"/>
    <w:rsid w:val="07247C28"/>
    <w:rsid w:val="09B63701"/>
    <w:rsid w:val="12BA7692"/>
    <w:rsid w:val="1A534654"/>
    <w:rsid w:val="1A9A2283"/>
    <w:rsid w:val="1ADD03C2"/>
    <w:rsid w:val="2375388E"/>
    <w:rsid w:val="24FB7DC2"/>
    <w:rsid w:val="283C2BCC"/>
    <w:rsid w:val="2DEC299E"/>
    <w:rsid w:val="2F8A246F"/>
    <w:rsid w:val="31A4605A"/>
    <w:rsid w:val="35EA1EB9"/>
    <w:rsid w:val="44F805A4"/>
    <w:rsid w:val="5B77749C"/>
    <w:rsid w:val="5C0C4088"/>
    <w:rsid w:val="5C4E644E"/>
    <w:rsid w:val="5C922B4F"/>
    <w:rsid w:val="5F8959EF"/>
    <w:rsid w:val="68016A6B"/>
    <w:rsid w:val="6C8960C4"/>
    <w:rsid w:val="70E602A9"/>
    <w:rsid w:val="770C71DA"/>
    <w:rsid w:val="771F4EC3"/>
    <w:rsid w:val="7CB579CC"/>
    <w:rsid w:val="7E90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5">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6">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link w:val="38"/>
    <w:qFormat/>
    <w:uiPriority w:val="0"/>
    <w:pPr>
      <w:keepNext/>
      <w:keepLines/>
      <w:spacing w:before="260" w:after="260" w:line="416" w:lineRule="auto"/>
      <w:outlineLvl w:val="2"/>
    </w:pPr>
    <w:rPr>
      <w:b/>
      <w:bCs/>
      <w:sz w:val="32"/>
      <w:szCs w:val="32"/>
    </w:rPr>
  </w:style>
  <w:style w:type="paragraph" w:styleId="4">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9">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10">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11">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2">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3"/>
    <w:qFormat/>
    <w:uiPriority w:val="0"/>
    <w:pPr>
      <w:ind w:firstLine="420" w:firstLineChars="200"/>
    </w:pPr>
  </w:style>
  <w:style w:type="paragraph" w:styleId="3">
    <w:name w:val="Body Text Indent"/>
    <w:basedOn w:val="1"/>
    <w:next w:val="4"/>
    <w:qFormat/>
    <w:uiPriority w:val="0"/>
    <w:pPr>
      <w:spacing w:after="120"/>
      <w:ind w:left="420" w:leftChars="200"/>
    </w:pPr>
    <w:rPr>
      <w:rFonts w:ascii="Times New Roman" w:hAnsi="Times New Roman"/>
    </w:r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88"/>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7"/>
    <w:semiHidden/>
    <w:unhideWhenUsed/>
    <w:qFormat/>
    <w:uiPriority w:val="99"/>
    <w:rPr>
      <w:sz w:val="18"/>
      <w:szCs w:val="18"/>
    </w:rPr>
  </w:style>
  <w:style w:type="paragraph" w:styleId="19">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5"/>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table" w:styleId="35">
    <w:name w:val="Table Grid"/>
    <w:basedOn w:val="3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6">
    <w:name w:val="标题 1 字符"/>
    <w:link w:val="5"/>
    <w:qFormat/>
    <w:uiPriority w:val="0"/>
    <w:rPr>
      <w:rFonts w:ascii="Times New Roman" w:hAnsi="Times New Roman" w:eastAsia="宋体" w:cs="Times New Roman"/>
      <w:b/>
      <w:bCs/>
      <w:kern w:val="44"/>
      <w:sz w:val="44"/>
      <w:szCs w:val="44"/>
    </w:rPr>
  </w:style>
  <w:style w:type="character" w:customStyle="1" w:styleId="37">
    <w:name w:val="标题 2 字符"/>
    <w:link w:val="6"/>
    <w:qFormat/>
    <w:uiPriority w:val="0"/>
    <w:rPr>
      <w:rFonts w:ascii="Arial" w:hAnsi="Arial" w:eastAsia="黑体" w:cs="Times New Roman"/>
      <w:b/>
      <w:bCs/>
      <w:sz w:val="32"/>
      <w:szCs w:val="32"/>
    </w:rPr>
  </w:style>
  <w:style w:type="character" w:customStyle="1" w:styleId="38">
    <w:name w:val="标题 3 字符"/>
    <w:link w:val="7"/>
    <w:qFormat/>
    <w:uiPriority w:val="0"/>
    <w:rPr>
      <w:rFonts w:ascii="Times New Roman" w:hAnsi="Times New Roman" w:eastAsia="宋体" w:cs="Times New Roman"/>
      <w:b/>
      <w:bCs/>
      <w:sz w:val="32"/>
      <w:szCs w:val="32"/>
    </w:rPr>
  </w:style>
  <w:style w:type="character" w:customStyle="1" w:styleId="39">
    <w:name w:val="标题 4 字符"/>
    <w:link w:val="4"/>
    <w:qFormat/>
    <w:uiPriority w:val="0"/>
    <w:rPr>
      <w:rFonts w:ascii="Arial" w:hAnsi="Arial" w:eastAsia="黑体" w:cs="Times New Roman"/>
      <w:b/>
      <w:bCs/>
      <w:sz w:val="28"/>
      <w:szCs w:val="28"/>
    </w:rPr>
  </w:style>
  <w:style w:type="character" w:customStyle="1" w:styleId="40">
    <w:name w:val="标题 5 字符"/>
    <w:link w:val="8"/>
    <w:qFormat/>
    <w:uiPriority w:val="0"/>
    <w:rPr>
      <w:rFonts w:ascii="Times New Roman" w:hAnsi="Times New Roman" w:eastAsia="宋体" w:cs="Times New Roman"/>
      <w:b/>
      <w:bCs/>
      <w:sz w:val="28"/>
      <w:szCs w:val="28"/>
    </w:rPr>
  </w:style>
  <w:style w:type="character" w:customStyle="1" w:styleId="41">
    <w:name w:val="标题 6 字符"/>
    <w:link w:val="9"/>
    <w:qFormat/>
    <w:uiPriority w:val="0"/>
    <w:rPr>
      <w:rFonts w:ascii="Arial" w:hAnsi="Arial" w:eastAsia="黑体" w:cs="Times New Roman"/>
      <w:b/>
      <w:bCs/>
      <w:sz w:val="24"/>
      <w:szCs w:val="24"/>
    </w:rPr>
  </w:style>
  <w:style w:type="character" w:customStyle="1" w:styleId="42">
    <w:name w:val="标题 7 字符"/>
    <w:link w:val="10"/>
    <w:qFormat/>
    <w:uiPriority w:val="0"/>
    <w:rPr>
      <w:rFonts w:ascii="Times New Roman" w:hAnsi="Times New Roman" w:eastAsia="宋体" w:cs="Times New Roman"/>
      <w:b/>
      <w:bCs/>
      <w:sz w:val="24"/>
      <w:szCs w:val="24"/>
    </w:rPr>
  </w:style>
  <w:style w:type="character" w:customStyle="1" w:styleId="43">
    <w:name w:val="标题 8 字符"/>
    <w:link w:val="11"/>
    <w:qFormat/>
    <w:uiPriority w:val="0"/>
    <w:rPr>
      <w:rFonts w:ascii="Arial" w:hAnsi="Arial" w:eastAsia="黑体" w:cs="Times New Roman"/>
      <w:sz w:val="24"/>
      <w:szCs w:val="24"/>
    </w:rPr>
  </w:style>
  <w:style w:type="character" w:customStyle="1" w:styleId="44">
    <w:name w:val="标题 9 字符"/>
    <w:link w:val="12"/>
    <w:qFormat/>
    <w:uiPriority w:val="0"/>
    <w:rPr>
      <w:rFonts w:ascii="Arial" w:hAnsi="Arial" w:eastAsia="黑体" w:cs="Times New Roman"/>
      <w:szCs w:val="21"/>
    </w:rPr>
  </w:style>
  <w:style w:type="character" w:customStyle="1" w:styleId="45">
    <w:name w:val="页眉 字符"/>
    <w:link w:val="20"/>
    <w:qFormat/>
    <w:uiPriority w:val="99"/>
    <w:rPr>
      <w:rFonts w:ascii="Times New Roman" w:hAnsi="Times New Roman" w:eastAsia="宋体" w:cs="Times New Roman"/>
      <w:sz w:val="18"/>
      <w:szCs w:val="18"/>
    </w:rPr>
  </w:style>
  <w:style w:type="character" w:customStyle="1" w:styleId="46">
    <w:name w:val="页脚 字符"/>
    <w:link w:val="19"/>
    <w:qFormat/>
    <w:uiPriority w:val="99"/>
    <w:rPr>
      <w:rFonts w:ascii="宋体" w:hAnsi="Times New Roman" w:eastAsia="宋体" w:cs="Times New Roman"/>
      <w:sz w:val="18"/>
      <w:szCs w:val="18"/>
    </w:rPr>
  </w:style>
  <w:style w:type="character" w:customStyle="1" w:styleId="47">
    <w:name w:val="批注框文本 字符"/>
    <w:link w:val="18"/>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7"/>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5"/>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3"/>
    <w:semiHidden/>
    <w:qFormat/>
    <w:uiPriority w:val="0"/>
    <w:rPr>
      <w:rFonts w:ascii="宋体" w:hAnsi="Times New Roman" w:eastAsia="宋体" w:cs="Times New Roman"/>
      <w:sz w:val="18"/>
      <w:szCs w:val="18"/>
    </w:rPr>
  </w:style>
  <w:style w:type="paragraph" w:customStyle="1" w:styleId="102">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8"/>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8"/>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E8E722CD6294E64811DC18D36E9A7B7"/>
        <w:style w:val=""/>
        <w:category>
          <w:name w:val="常规"/>
          <w:gallery w:val="placeholder"/>
        </w:category>
        <w:types>
          <w:type w:val="bbPlcHdr"/>
        </w:types>
        <w:behaviors>
          <w:behavior w:val="content"/>
        </w:behaviors>
        <w:description w:val=""/>
        <w:guid w:val="{A8F9EBE1-996B-459D-B7BC-F8A878DC5EC5}"/>
      </w:docPartPr>
      <w:docPartBody>
        <w:p>
          <w:pPr>
            <w:pStyle w:val="5"/>
          </w:pPr>
          <w:r>
            <w:rPr>
              <w:rStyle w:val="4"/>
              <w:rFonts w:hint="eastAsia"/>
            </w:rPr>
            <w:t>单击或点击此处输入文字。</w:t>
          </w:r>
        </w:p>
      </w:docPartBody>
    </w:docPart>
    <w:docPart>
      <w:docPartPr>
        <w:name w:val="1BCE3B65AAB04925A53A0FDCAAC503E2"/>
        <w:style w:val=""/>
        <w:category>
          <w:name w:val="常规"/>
          <w:gallery w:val="placeholder"/>
        </w:category>
        <w:types>
          <w:type w:val="bbPlcHdr"/>
        </w:types>
        <w:behaviors>
          <w:behavior w:val="content"/>
        </w:behaviors>
        <w:description w:val=""/>
        <w:guid w:val="{A8C37212-3B3F-4C9E-8897-022D31A84A3B}"/>
      </w:docPartPr>
      <w:docPartBody>
        <w:p>
          <w:pPr>
            <w:pStyle w:val="6"/>
          </w:pPr>
          <w:r>
            <w:rPr>
              <w:rStyle w:val="4"/>
              <w:rFonts w:hint="eastAsia"/>
            </w:rPr>
            <w:t>选择一项。</w:t>
          </w:r>
        </w:p>
      </w:docPartBody>
    </w:docPart>
    <w:docPart>
      <w:docPartPr>
        <w:name w:val="44B1E598E878445E9B8D082940525A41"/>
        <w:style w:val=""/>
        <w:category>
          <w:name w:val="常规"/>
          <w:gallery w:val="placeholder"/>
        </w:category>
        <w:types>
          <w:type w:val="bbPlcHdr"/>
        </w:types>
        <w:behaviors>
          <w:behavior w:val="content"/>
        </w:behaviors>
        <w:description w:val=""/>
        <w:guid w:val="{11B4146E-4BB0-47B1-8EAD-89E421C295F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B75"/>
    <w:rsid w:val="00036B75"/>
    <w:rsid w:val="006159A5"/>
    <w:rsid w:val="00D61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E8E722CD6294E64811DC18D36E9A7B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BCE3B65AAB04925A53A0FDCAAC503E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4B1E598E878445E9B8D082940525A4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EAA66F-20E6-48E1-8D17-A523E553FFC0}">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1130</Words>
  <Characters>6445</Characters>
  <Lines>53</Lines>
  <Paragraphs>15</Paragraphs>
  <TotalTime>4</TotalTime>
  <ScaleCrop>false</ScaleCrop>
  <LinksUpToDate>false</LinksUpToDate>
  <CharactersWithSpaces>7560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2021-02-18T07:56:00Z</dcterms:created>
  <dc:creator>贾东海</dc:creator>
  <dc:description>&lt;config cover="true" show_menu="true" version="1.0.0" doctype="SDKXY"&gt;_x000d_
&lt;/config&gt;</dc:description>
  <cp:lastModifiedBy>Administrator</cp:lastModifiedBy>
  <cp:lastPrinted>2020-08-30T10:00:00Z</cp:lastPrinted>
  <dcterms:modified xsi:type="dcterms:W3CDTF">2024-11-13T02:49:18Z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2052-11.1.0.8214</vt:lpwstr>
  </property>
  <property fmtid="{D5CDD505-2E9C-101B-9397-08002B2CF9AE}" pid="15" name="ICV">
    <vt:lpwstr>92802860801B4D209691D698D2B8096C_12</vt:lpwstr>
  </property>
</Properties>
</file>